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Provencher v. St. Paul's Hospital, [2015] B.C.J. No. 1113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6-10,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S071882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2015 BCSC 916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Denis A. Provencher, Plaintiff, and St. Paul's Hospital, Paladin Security and Security guard E.R. St. Paul's Emergency Room Paladin Security and Paul M. Eigeldinger,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Damages — Types of damages — General damages — For personal injuries — Considerations — Aggravation of pre-existing injury — Cost of future care — Loss of housekeeping ability — Non-pecuniary loss — Pain and suffering — Plaintiff was awarded damages totalling $39,000 for assault and battery — Plaintiff sustained head laceration, aggravation of his previous musculoskeletal injuries and a psychological injury when he was thrown on ground by defendant security guard — Plaintiff was awarded $35,000 for pain and suffering and $4,000 for cost of future care for counselling.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To person — Assault — Battery — Self-defence — Justification — Action for damages for assault allowed in part — Plaintiff alleged he was ejected from emergency ward of the hospital by defendant security guard and that he fell to the ground suffering a head injury — Defendant disputed that plaintiff injured his head — Court accepted plaintiff's version of incident — Plaintiff had established the requisite elements of assault and battery — In the circumstances, the defendant was not permitted to use reasonable force to remove the plaintiff from the hospital premises.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assault. The plaintiff alleged that he was assaulted by the defendant Eigeldinger, a security guard at a hospital. The plaintiff alleged that the injuries he sustained included migraine headaches, vertigo, tinnitus, hearing problems, short-term memory loss, and post-traumatic stress disorder. He also argued that he suffered an aggravation of his pre-existing musculoskeletal injuries to his neck and back. The plaintiff went to the emergency ward at the hospital too seek medical attention due to pain. He sat down without checking in. Shortly thereafter, the plaintiff was confronted by the defendant. Not realizing the defendant was a security guard, the plaintiff told him that he was there to visit someone and gave him a false name. The plaintiff was then ejected by the defendant. The plaintiff alleged that as a result of the force used, he fell backwards, resulting in a head laceration that required stitches. The defendant denied that the plaintiff suffered a head injury in the struggle and claimed the plaintiff was verbally and physically combative. The plaintiff suffered from chronic neck and back pain, neuralgia, and problems with his hips since 1985.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totalling $39,000. The court accepted the evidence of the plaintiff that he sustained a laceration on the back of his head which required staples. The nature of the plaintiff's head injury corroborated his version of events. The defendants were unable to provide any explanation as to how the plaintiff sustained a head injury. The plaintiff had established the requisite elements of assault and battery. In the circumstances, the defendant was not permitted to use reasonable force to remove the plaintiff from the hospital premises. The defendant was also not acting in self-defence. The force applied was excessive in any event and exceeded what was reasonably necessary in all the circumstances. As a result of the incident, the plaintiff experienced some aggravation of his pre-existing cervical, back, and hip pain. The plaintiff did not suffer a traumatic brain injury or tinnitus as a result of the assault. The plaintiff sustained a head injury, an aggravation of his previous musculoskeletal injuries and psychological injury as a result of the incident. He was awarded $35,000 for pain and suffering. No award for loss of housekeeping ability was made. The evidence established that for some years prior to the incident, the plaintiff clearly required housekeeping services because his medical condition severely impacted his daily living activities. There was no evidence tendered as to the value of the household services that the plaintiff could no longer perform. The plaintiff was awarded $4,000 for the cost of psychological treatment and counselling.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Plaintiff Appearing in Person: D. Provencher.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Urquhart, S.Orr.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D.J. DARDI J."/>
            <w:bookmarkEnd w:id="5"/>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Dennis Provencher, seeks damages in relation to an incident that occurred in the early morning hours of March 17, 2006. The plaintiff alleges that he was assaulted by the defendant, Paul Eigeldinger, in the emergency room area at St. Paul's Hospital (the "Incident"). Mr. Eigeldinger is employed as a security guard by Paladin Security Group Ltd. ("Paladin").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an assault and battery and claims general damages for the injuries he sustained. He also claims damages for the loss of housekeeping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asserts that the injuries he sustained include migraine headaches, vertigo, tinnitus, hearing problems, short-term memory loss, and post-traumatic stress disorder. In addition he claims that he suffered an aggravation of his pre-existing musculoskeletal injuries to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represented himself throughout this proceeding. The defendants were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case was complicated by the fact that witnesses were required to recall material events after more than eight years after the Incident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embarking on the analysis of the issues in this case, it is necessary to review the evidence and my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and the two security guards involved in the Incident, Paul Eigeldinger and Michael Bain, gave starkly conflicting testimony on the material events of March 17, 2006. Accordingly, the pivotal issue for determination is the assessment of their conflicting testimony.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early morning hours of March 17, 2006, the plaintiff was suffering from a headache and neck and chest pain radiating down into his shoulder. The plaintiff had previously experienced similar symptoms, which had required medical attention. The plaintiff decided to seek medical assistance, and attended at the emergency ward of St. Paul's Hospital ("St. Paul's"). At the material time, the plaintiff was wearing a baseball hat, a hoodie, pants, a long coat, and boots.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Incident, the plaintiff was 58 years old. He has lived in the same apartment in the west end of Vancouver since 2001. He related to the court that he is an active member of that community. He was not working at the material time as he has been on disability since approximately 2005. The plaintiff has some physical limitations, and uses a cane. Based on my observations, the plaintiff was smaller in stature than the two security guards.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As part of his medical treatment plan, the plaintiff has been prescribed certain medications. At the time of the Incident, he had taken his regular medication. However, he had not taken any Dilaudid. He does not take this particular medication, which is an opioid, when he drinks alcohol. The plaintiff admitted to drinking two beers before going to St. Paul's.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entered the St. Paul's emergency room and sat down without checking in, as he was tired and there were two people already in line to admit themselves. Within five to seven minutes of sitting down the plaintiff's pain began to subside. The plaintiff had no intention of causing any disturbance. Mr. Eigeldinger abruptly jumped in front of the plaintiff without identifying himself and asked him what he was doing in the emergency ward. The plaintiff did not realize Mr. Eigeldinger was a security guard. Therefore the plaintiff told him that he was there to visit someone and gave him a false name in order to have Mr. Eigeldinger stop bothering him. The plaintiff then observed Mr. Eigeldinger walk to a counter near the nurses' station. It was only then that the plaintiff realized that Mr. Eigeldinger might have been a security guard.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Within a few minutes, Mr. Eigeldinger turned around and walked back towards the plaintiff. Mr. Eigeldinger loudly exclaimed "You're not allowed in here!" and grabbed the plaintiff in a bear hug, lifting him out of his chair. Mr. Eigeldinger carried the plaintiff through the doors into the parking lot and ejected him from St. Paul's. As he was being ejected, the plaintiff fell backwards onto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According to the plaintiff "everything went black" and when he woke up he was lying on the ground looking up at the sky. The plaintiff says he lost consciousness for an unknown period of time. The plaintiff claims that he sustained a laceration to the back of his head during the Incident. He woke up and felt blood "pouring out of his head". He felt he was "left for dead". When he got himself up he saw no one. The plaintiff describes feeling "dizzy and wobbly" upon regaining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stood up and staggered towards the emergency room entrance. As he did so, he observed Mr. Eigeldinger exit with another security guard, Mr. Bain. According to the plaintiff, Mr. Bain was not involved in the plaintiff's actual ejection from the hospital. The plaintiff heard the guards shout "get out of here, you're barred". The plaintiff then proceeded to call the police from a payphone at the corner of Comox and Burrard Street. After the plaintiff called the police, he headed back towards the entrance to the emergency room and collapsed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the police arrived, the plaintiff related his account of the events to them. The plaintiff remained outside with one police officer, while another police officer went inside St. Paul's. The police officers called an ambulance which transported the plaintiff to Vancouver General Hospital ("VGH"), where his head wound was stapled. After he was discharged from VGH the plaintiff went home. Later that day he became dizzy and nauseous. He called an ambulance and was eventually taken to St. Paul's, where he was seen as an outpatient for his head injury. He stated that he was diagnosed with a concussion. After he underwent a CT scan, he was sent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few days later, on March 20, 2006, the plaintiff saw his family doctor, Dr. Baird.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Mr. Eigeldinger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Eigeldinger, who was 39 years old at trial, worked for Paladin as a full-time security guard at St. Paul's from 2003 to 2007. Mr. Eigeldinger is six feet, four inches tall and weighs 270 pounds. He described his uniform as being comprised of dark blue or black cargo pants, a duty belt with a flashlight, gloves, a radio, and a white shirt with Paladin Security printed on the front and Paladin emblems on each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Eigeldinger received basic security training when he first started working for Paladin. The security guards also receive crisis prevention and intervention training which addresses the subject of how to restrain individuals. Mr. Eigeldinger indicated that this training protocol requires the guards to initiate engagement by asking an individual to leave the hospital. Depending on the response received, the protocol may then require an increase in the level of engagement. Mr. Eigeldinger stated that he followed the pertinent protocol at all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night in question there were four security guards on shift, including Mr. Eigeldinger and Mr. Bain. Mr. Eigeldinger, who was in uniform, was working as shift supervisor. He observed the plaintiff enter the emergency waiting room without checking in. Mr. Eigeldinger approached the plaintiff and asked him what he was doing there and why he had not checked in. The plaintiff told him he was there to visit a friend and gave him a name, which Mr. Eigeldinger determined was false. Mr. Eigeldinger prepared an incident report, in which he described the plaintiff as "an unknown man, vagrant looking".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 to Mr. Eigeldinger, he walked back over to the plaintiff and asked him what his business was at the hospital, because there was no one in the hospital with that name. The plaintiff replied "leave me alone". Mr. Eigeldinger answered that the plaintiff needed a reason to be in the hospital and if he did not have a reason, he would have to leave. The plaintiff swore at him. At that point, Mr. Eigeldinger repeated his request for the plaintiff to leave and told him if he did not leave he would be charged with "assault by trespass". At that moment, he saw his colleague Mr. Bain walking towards them. Mr. Eigeldinger again asked the plaintiff to leave and the plaintiff said "I'm not going anywhere". He touched the plaintiff's shoulder and the plaintiff yanked his shoulder away. At that point, Mr. Eigeldinger grabbed the plaintiff's arm in a restraining movement and raised him out of his chair. Mr. Bain who, according to Mr. Eigeldinger, had arrived at the scene, assisted him by grabbing the plaintiff's other arm. The two men walked the plaintiff through the main exit door of the emergency department. The plaintiff yelled "you can't do this to me" and displayed "pre-assaultive"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the ambulance bay area the plaintiff continued to struggle and he was verbally and physically combative. During the struggle, the plaintiff brought his cane towards Mr. Eigeldinger's face. At that point, Mr. Eigeldinger grabbed the plaintiff's shirt and performed a takedown restraint manoeuvre to bring the plaintiff to the ground. Once the plaintiff was on the ground, Mr. Eigeldinger told him that if he stopped fighting they would not press charges and would let him go. The plaintiff loosened up, ceased fighting and stated "I'm done". Mr. Eigeldinger does not recall the plaintiff losing consciousness or sustaining any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Mr. Eigeldinger the two guards walked the plaintiff across the parking lot area to the property line at the Burrard Street sidewalk. At that point, Mr. Eigeldinger told the plaintiff that he was not welcome back to St. Paul's. After a few minutes, Mr. Eigeldinger observed the plaintiff walk away and use a payphone located across Burrard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cross-examination Mr. Eigeldinger stated that it was only after the plaintiff had left the hospital property that he had discovered that Mr. Bain had injured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police attended at St. Paul's and Mr. Eigeldinger gave them a brief overview of what happened. After the police left, he prepared the incident report which was marked as an exhibit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respect to the security camera footage, Mr. Eigeldinger recalls a monitor at the security desk. However, he maintains he did not have the ability to review or rewind the footage. He apparently made no inquiries regarding retention of the pertinent video footage.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Mr. Bain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Bain, who is 31 years old, was employed by Paladin as a security guard at St. Paul's from 2003 to 2006. According to Mr. Bain, there was a security camera system in place at the time the Incident occurred. However, the security guards did not have access to the digital video recording system which was secured in the basement of St. Paul's. He made no request that the pertinent video footage be retained.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night of the Incident, Mr. Bain, who was also in uniform, recalls walking toward the emergency room. He observed Mr. Eigeldinger and the plaintiff standing and engaged in a struggle. In particular, while they were in the emergency room Mr. Bain saw the plaintiff raise his cane in an attempt to strike Mr. Eigeldinger. Mr. Bain went to assist Mr. Eigeldinger in restraining and transferring the plaintiff from the emergency room into the ambulance bay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Once they were outside, the two guards brought the plaintiff to the ground with his face down. At some point during the struggle, Mr. Bain hit his hand on a brick pillar, causing a puncture wound on his left hand between his thumb and forefinger. Once Mr. Eigeldinger had the plaintiff under control, Mr. Bain went back inside the emergency ward to have his wound treated. Mr. Bain did not walk the plaintiff to the edge of the hospital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Bain does not recall observing the plaintiff with any visible injuries. Nor does he recall having any awareness that the plaintiff had been injured. According to Mr. Bain, the plaintiff was coherent and verbal throughout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Bain maintains that he has no recollection of the police attendance at the hospital following the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strenuously asserts that his version of the material events should be accepted and that the security guards have fabricated their testimony. This assertion serves as the factual underpinning of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Ultimately, the Court's assessment of the credibility of a witness' testimony turns on whether the evidence is in "harmony with the preponderance of the probabilities which a practical and informed person would readily recognize as reasonable in that place and in those conditions":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(C.A.) at 357;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14"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balance of probabilities, I prefer the plaintiff's evidence to that of Mr. Eigeldinger and Mr. Bain.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Overall I found the plaintiff to be a forthright and credible witness who did not embellish his testimony. He did not waiver in the face of a thorough cross-examination. I accept that on March 17, 2006 the plaintiff sustained a laceration on the back of his head, which required staples. This was not seriously contested by the defence. The plaintiff produced at trial the cap and hoodie he was wearing at the time which show blood stains consistent with the head injury he described. Significantly the nature of the plaintiff's head injury corroborates his version of events. There were some frailties in his evidence; for example, it appears that he was confused as to whether he returned to St. Paul's for treatment of his head injury at 6:00 a.m. or 6:00 p.m. on March 17, 2006. However, I find this relatively minor discrepancy does not affect his credibility and is reflective of the injury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nature of the injury the plaintiff sustained is inconsistent with the guards' version of the events. It does not accord with their assertion that they restrained the plaintiff in a face-down position as per their training protocol. The defendants were unable to provide any explanation as to how the plaintiff sustained a head injury. I appreciate that the Incident happened more than eight years before the trial. Nonetheless, the discrepancies in the two guards' evidence, when considered cumulatively, caused me concern with respect to their testimony. By way of example, Mr. Bain candidly acknowledged that he had spoken to Mr. Eigeldinger a few days prior to his testimony, whereas Mr. Eigeldinger maintained he had no recall of having had any discussions with Mr. Bain since leaving his position at St. Paul's several years ago. I do not accept Mr. Bain's testimony as to how he injured his hand. I am not satisfied that on the evidence I am able to determine the source of his hand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Andrew Pattison, who is currently the Director of Operations responsible for healthcare clients at Paladin, testified regarding the security camera system in place at St. Paul's in 2006. There was a camera in the main emergency room waiting room and on the exterior of the entrance to the ER ambulance bay. These cameras were "pan-tilt-zoom" and were on "live feed" in the area where the Incident occurred. The camera angle could be adjusted manually by a joystick. There are two monitors in the hospital to view the images from the security camera. One was at the security kiosk in the emergency room. The other was attached to the DVR located in a secured room in the basement of St. Paul's. There was no playback feature. However, the security tapes were retained in a central digital video recorder in the secured room in the basement of St. Paul's. Security personnel did not have access to that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According to Mr. Pattison, the usual practice was not to retain security tapes for longer than one year, unless required by law enforcement or hospital administration. He maintained that there was no protocol for retention of the security tapes. In any case, no video footage of the Incident was proffered in evidence, despite an incident report being filed by Mr. Eigeldinger, Mr. Bain allegedly sustaining an injury, and both the police and an ambulance attending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final analysis, I accept the plaintiff's version of the Incident. In my view, the plaintiff's evidence accords with the preponderance of probabilities a reasonable person would recognize in the circumstances of this case. In my assessment, I have relied on the totality of the evidence, taking into account the inherent probabilities of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AND INTERVENING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prior history of injuries may be summarized as follows: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1985, the plaintiff had an industrial accident while working at a mill. This resulted in a C7 fracture and permanent damage to his vertebrae at T3 and T4. Since that time, he has suffered from chronic neck and back pain, neuralgia, and problems with his hips.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1997, the plaintiff was assaulted by a passenger while driving a taxi. He sustained a mild concussion, altered hearing in his left ear, headaches, dizziness, jaw, neck, and back pain.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2001, the plaintiff was a passenger on a bus which hit a moose. This incident aggravated his pre-existing neck injury.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2005, the plaintiff was struck by a car as he crossed the street. This incident again aggravated his prior injuries. He stated it "whacked [his] spine out of joint".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2005, in another incident, the plaintiff was a passenger on a bus which braked suddenly causing him to lose his balance. This aggravated his neck and back symptoms.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around 2009, sometime after the Incident, the plaintiff had a bicycle accident. He was thrown from his bike and struck his head on the grass. Although he was wearing a helmet, he suffered an aggravation of his pre-existing thoracic spine injuries. In addition, he injured his left shoulder and left hip and his headache pattern was aggravated.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assessing the plaintiff's claim I must determine the following:</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an assault and battery? If so, can the defendants avail themselves of any defences?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an assault and battery, who is liable?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the plaintiff sustain in the Incident?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of the defendants are liable, what are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Was there an assault and battery? If so, can the defendants avail themselves of any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authorities establish that the tort of assault is the intentional creation of the apprehension of an imminent threat of harm. It is rooted in a wrongful act which disturbs the victim's sense of security. The tort of battery is the intentional infliction of harmful or offensive conduct or unlawful force on another person. The legal wrong is the act of violating the bodily integrity of another: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5th ed. (Toronto: Carswell, 2012) at 43 and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evidence I prefer, the plaintiff has established the requisite elements of assault and battery. Accordingly, the burden shifts to the defendants to establish that their actions were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am not persuaded that Mr. Eigeldinger was acting within his rights in protecting St. Paul's from the plaintiff's trespass. The protection of property defence is contingent on a finding that the plaintiff was a trespasser. In </w:t>
      </w:r>
      <w:r>
        <w:rPr>
          <w:rFonts w:ascii="arial" w:eastAsia="arial" w:hAnsi="arial" w:cs="arial"/>
          <w:i/>
          <w:color w:val="000000"/>
          <w:sz w:val="20"/>
          <w:lang w:val="en-US" w:eastAsia="en-US" w:bidi="ar-SA"/>
        </w:rPr>
        <w:t>Ball v. Mathorpe et. al.</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15 D.L.R. (3d) 99</w:t>
        </w:r>
      </w:hyperlink>
      <w:r>
        <w:rPr>
          <w:rFonts w:ascii="arial" w:eastAsia="arial" w:hAnsi="arial" w:cs="arial"/>
          <w:color w:val="000000"/>
          <w:sz w:val="20"/>
          <w:lang w:val="en-US" w:eastAsia="en-US" w:bidi="ar-SA"/>
        </w:rPr>
        <w:t xml:space="preserve"> (Co. Ct.) the court held, at para. 6, that a person constituted a trespasser upon their refusal to leave the premises, after having been made aware of the fact they were no longer welcome there. Critically, the person must be given a reasonable opportunity to leave the premises. The defence argues that the plaintiff was given a reasonable opportunity to do so and that he refused to cooperate. In my view the evidence in this case does not support such a finding. In these circumstances, I do not accept that Mr. Eigeldinger was permitted to use reasonable force to remove the plaintiff from the hospital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any event, even if I had concluded otherwise, I find that Mr. Eigeldinger used excessive force in removing the plaintiff from the premises. The plaintiff clearly sustained a significant laceration on the back of his head. If he had been "brought to the ground", in a manner consistent with Paladin's training protocol, it was unlikely that he would have sustained an injury on the back of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defence also argues that Mr. Eigeldinger was acting in self-defence. I am not persuaded by that submission. Self-defence flows from and is limited by its necessity. If a defendant reasonably perceives an imminent attack, they are entitled to use reasonable force to repel said attack: </w:t>
      </w:r>
      <w:r>
        <w:rPr>
          <w:rFonts w:ascii="arial" w:eastAsia="arial" w:hAnsi="arial" w:cs="arial"/>
          <w:i/>
          <w:color w:val="000000"/>
          <w:sz w:val="20"/>
          <w:lang w:val="en-US" w:eastAsia="en-US" w:bidi="ar-SA"/>
        </w:rPr>
        <w:t>Buchy v. Villars</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2008 BCSC 385</w:t>
        </w:r>
      </w:hyperlink>
      <w:r>
        <w:rPr>
          <w:rFonts w:ascii="arial" w:eastAsia="arial" w:hAnsi="arial" w:cs="arial"/>
          <w:color w:val="000000"/>
          <w:sz w:val="20"/>
          <w:lang w:val="en-US" w:eastAsia="en-US" w:bidi="ar-SA"/>
        </w:rPr>
        <w:t xml:space="preserve"> at para. 112. The defendants assert that a certain point during the events leading to his ejection from St. Paul's, the plaintiff became aggressive and raised his cane at Mr. Eigeldinger. As noted above, I do not accept Mr. Eigeldinger's account of the Incident. I find that there was no attack from which Mr. Eigeldinger would be entitled to defend himself. For completeness, even if I were to accept that the plaintiff provoked or attacked Mr. Eigeldinger, I find that Mr. Eigeldinger used greater force than was reasonably necessary to assert physical control over the plaintiff. In doing so, I have considered the relative ages and physical stature of the two 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short, I am not persuaded that the circumstances warranted defensive action and, in any case, the force applied was excessive and exceeded what was reasonably necessary in all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If there was an assault and battery, who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has successfully established a claim for assault and battery. I find that Paladin is the party liable for any damages that are awarded. Paladin concedes that it is vicariously liable for the tortious actions of its employees, where those actions were within the scope of their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accept the defendants' submission that there is no legal basis upon which St. Paul's can be found liable for assault or battery in this case. St. Paul's Hospital is not a legal entity. Rather, it is a facility owned and operated by Providence Health Care ("Providence"). At the time of the Incident, Providence had a contract with Paladin to provide security services to St. Paul's. Paladin concedes it was an independent contractor of Providence at the time of the Incident, and that Providence is not vicariously liable for any tortious conduct of Paladin or its employees.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What injuries did the plaintiff sustain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view of the plaintiff having established the liability of Paladin, I turn to the assessment of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has a significant and unfortunate medical history. The constellation of his various medical afflictions compounded the complexity of the assessment of damages in this case.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Symptoms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overwhelmingly establishes that the plaintiff suffered from chronic pain prior to the Incident. Dr. Lawson Baird has been the plaintiff's family physician since 2002. He provided a report and testified at trial. Dr. Baird candidly acknowledged in cross-examination that, prior to the Incident, the plaintiff suffered from a multitude of pre-existing medical issues. These were significant, and affected almost all aspects of the plaintiff's daily living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Baird confirmed during cross-examination that the plaintiff had attended his office on March 2, 2006, a few weeks before the Incident, and reported "pain" which was "pretty bad". Dr. Baird prescribed him Dilaudid, which he confirmed is an opioid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confirmed the truth of the contents of his application for disability benefits dated August 2004. The document sets out a variety of the plaintiff's medical issues at the time, including of degenerative spine, osteoarthritis in hips, neuralgia causing headaches on the left side of his head, contractures of the hand, macular degeneration primarily in the right eye, lumps on feet, and diabetes. It also sets out the plaintiff's psychological and cognitive symptoms at the time. This included impaired memory and cognitive function stemming from use of medication, depression, anxiety, withdrawal and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Notably Dr. Baird acknowledged that the plaintiff's chronic pain intensified subsequent to his cycling accident in 2009.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Baird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Baird provided expert evidence in the field of the family medicine. His report dated January 24, 2013, was tendered into evidence. In his report, he provided the following summary of injuries the plaintiff sustained in the Incident: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Traumatic head and brain injury and concussion [not graded]. Dr. Baird confirmed that the residual symptoms that could be compatible with brain damage had "not been evaluated in detail by a neurologist" and he stated that there are "multiple overlying factors and competing diagnoses".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Stress Disorder ("PTSD").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aggravation of previous musculoskeletal injuries, including the cervical spine, upper back, lower back and hip, and shoulders. Dr. Baird noted that the aggravation of "cervical spine symptoms" remains "significantly active" but notes the other areas eventually settled to baseline.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Persistent and significantly aggravated headaches of a moderate but quite frequent nature, plus less frequent but very severe periodic migraine headaches associated with dizziness and nausea.</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tinnitus, most likely deriving from the trauma to his head.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Notably, Dr. Baird's report does not provide any opinion evidence that the plaintiff suffered from vertigo as a result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Baird also states in his report that over the many years of treating the plaintiff, he had not seen any evidence of any alcohol or substance abuse problems.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Dr. Kemble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Kemble, who has been practicing as a neurologist since 1971, was called by the defence. Dr. Kemble's opinion may be summarized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the plaintiff's hearing impairment is related to any injuries he sustained in the Incident. According to Dr. Kemble, if an individual sustains nerve damage causing hearing loss, the nerve damage will stay the same or improve. It will not worsen. The plaintiff's hearing tests showed a gradual loss of hearing over time. Thus, it was likely that the plaintiff's hearing loss had developed gradually over time and was not related to the Incident.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did not appear to be any clear change in patterns of the plaintiff's headaches since the Incident.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"probably accentuated his pre-existing tendency to develop cervical pain".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accentuation of the plaintiff's lower back and hip pain has reduced to its pre-Incident levels.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pre-existing left arm pain and numbness and severe pain in his neck. Dr. Kemble concluded that it was "dubious that there had been any significant accentuation of the symptoms in [the plaintiff's] left arm as a result of the [Incident]".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it is possible the plaintiff sustained a minor closed brain injury, it should have fully resolved within three to six months or at the most two years after the Incident. Dr. Kemble observed that there was no evidence the plaintiff experienced amnesia and acute cognitive impairment immediately after the Incident. Dr. Kemble identified such symptoms as the major indicators of a closed head injury. Significantly these were absent in this case. Moreover, according to Dr. Kemble, if an individual has sustained a significant closed head injury, their symptoms would remain the same or progressively improve. Dr. Kemble noted the plaintiff's complaint of short term memory and impaired cognition which seemed to have worsened in 2013.</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Kemble was unable to find any clear history of any pre-existing tinnitus in the plaintiff's medical records he reviewed. He stated that it was possible but not probable that a minor closed head injury could cause enough auditory nerve damage to provoke tinnitus. Dr. Kemble noted that the plaintiff has a pre-Incident history of hearing difficulties, and that often hearing difficulties are associated with tinnitus.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plaintiff's reported vision difficulties in his right eye, Dr. Kemble notes that the admitted previous difficulties with vision were described by Dr. Helson Chew on May 16, 2001.</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psychological injury, Dr. Kemble opined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Provencher has been more anxious and depressed since the [Incident]. It was clear that he was anxious, when I interviewed and examined him. He became quite tearful when relating the events leading to the [Incident], which he alleged. It is probable that he has sustained acute difficulties with anxiety since the [Incident]. I would recommend that he should see a Psychologist for counseling in order to try and help with his anxiety. He might benefit from taking medication to try and control the anxiety and the probable associated depression. It may also be worthwhile for him to be seen by a Psychiatrist for a formal assessment and advice about future management.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Kemble concluded that the plaintiff's "major current disability seems to be his level of emotional stress".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central issue in this case is whether the plaintiff's ongoing physical and psychological symptoms were caused by the Incident, or whether they are a continuation of his pre-existing condition that pre-dated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burden is on a plaintiff to establish causation on a balance of probabilities. He or she must establish that a defendant's wrongful act caused both his injuries and the resulting losses. "The former is concerned with establishing the existence of liability; the latter with the extent of that liability":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363; </w:t>
      </w:r>
      <w:r>
        <w:rPr>
          <w:rFonts w:ascii="arial" w:eastAsia="arial" w:hAnsi="arial" w:cs="arial"/>
          <w:i/>
          <w:color w:val="000000"/>
          <w:sz w:val="20"/>
          <w:lang w:val="en-US" w:eastAsia="en-US" w:bidi="ar-SA"/>
        </w:rPr>
        <w:t>White v. Wang</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2014 BCSC 2416</w:t>
        </w:r>
      </w:hyperlink>
      <w:r>
        <w:rPr>
          <w:rFonts w:ascii="arial" w:eastAsia="arial" w:hAnsi="arial" w:cs="arial"/>
          <w:color w:val="000000"/>
          <w:sz w:val="20"/>
          <w:lang w:val="en-US" w:eastAsia="en-US" w:bidi="ar-SA"/>
        </w:rPr>
        <w:t xml:space="preserve">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plaintiff need not establish that a defendant's tortious conduct is the sole cause of the injury. A defendant will be fully liable for the harm suffered by a plaintiff, even if other causal factors for which he is not responsible were at play in producing the harm, as long as the plaintiff establishes a substantial connection between the injuries and the defendant's wrongful act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9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primary test to be applied in determining causation is commonly articulated as the "but for" test. The plaintiff bears the burden of showing that "but for" the wrongful act or omission of the defendant, the plaintiff's injury would not have occurred: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at paras. 21-22. The test for causation is not to be applied too rigidly, and is to be contrasted with the more exacting standard that approaches scientific certainty in the medical context: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 It is essentially a practical question of fact which can best be answered by ordinary common sense: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If causation for injuries is established, the defendants are liable to the plaintiff for all of the losses flowing from his injuries. Such losses are those which the plaintiff proves on a balance of probabilities would not have occurred "but-for" the defendants' wrongful act: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at para. 78;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at para. 72. The essential principle in the assessment of damages is that the plaintiff must be placed in the position he or she would have been in, if not for the defendant's wrongful act. However, the defendant need not compensate the plaintiff for injuries which were inherent in the plaintiff's "original position":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this case, because the plaintiff has pre-existing conditions, the Court must consider how these conditions relate to his current complaints. This is a crucial issue because the plaintiff was not a completely healthy person at the time of the Incident. In </w:t>
      </w:r>
      <w:r>
        <w:rPr>
          <w:rFonts w:ascii="arial" w:eastAsia="arial" w:hAnsi="arial" w:cs="arial"/>
          <w:i/>
          <w:color w:val="000000"/>
          <w:sz w:val="20"/>
          <w:lang w:val="en-US" w:eastAsia="en-US" w:bidi="ar-SA"/>
        </w:rPr>
        <w:t>Cornish v. Khunkhun</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2015 BCSC 52</w:t>
        </w:r>
      </w:hyperlink>
      <w:r>
        <w:rPr>
          <w:rFonts w:ascii="arial" w:eastAsia="arial" w:hAnsi="arial" w:cs="arial"/>
          <w:color w:val="000000"/>
          <w:sz w:val="20"/>
          <w:lang w:val="en-US" w:eastAsia="en-US" w:bidi="ar-SA"/>
        </w:rPr>
        <w:t>, Mr. Justice Skolrood summarized the governing legal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[138] Where, as here, a plaintiff has pre-existing conditions, the court must consider how those conditions relate to the plaintiff's current complaints. A defendant tortfeasor is liable for all injuries caused by a tort even if those injuries are more severe than might otherwise be the case due to the plaintiff's pre-existing condition (the "thin skull rule"). However, the defendant is liable only for the injuries actually caused by the accident and not for any effects of the pre-existing condition that the plaintiff would have experienced in any event (the "crumbling skull rule"). Put another way, the defendant is liable for the additional damage but not the pre-existing damage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principles which inform the analysis of causation of physical injury apply to causation of psychological injury: </w:t>
      </w:r>
      <w:r>
        <w:rPr>
          <w:rFonts w:ascii="arial" w:eastAsia="arial" w:hAnsi="arial" w:cs="arial"/>
          <w:i/>
          <w:color w:val="000000"/>
          <w:sz w:val="20"/>
          <w:lang w:val="en-US" w:eastAsia="en-US" w:bidi="ar-SA"/>
        </w:rPr>
        <w:t>Hunt v. Ugre</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2012 BCSC 1704</w:t>
        </w:r>
      </w:hyperlink>
      <w:r>
        <w:rPr>
          <w:rFonts w:ascii="arial" w:eastAsia="arial" w:hAnsi="arial" w:cs="arial"/>
          <w:color w:val="000000"/>
          <w:sz w:val="20"/>
          <w:lang w:val="en-US" w:eastAsia="en-US" w:bidi="ar-SA"/>
        </w:rPr>
        <w:t xml:space="preserve"> at para. 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My findings on the injuries the plaintiff sustained in the Incident may be summarized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head injury, more specifically a laceration to the back of his head. I accept that for several weeks after the Incident, he experienced bouts of dizziness. Dr. Baird's description of "soft residual symptoms that could be compatible with permanent persisting brain damage" is not sufficiently specific to be diagnostic of a brain injury. I prefer Dr. Kemble's opinion that it is unlikely that the plaintiff sustained a significant closed brain injury. In my view, the preponderance of the evidence falls short of establishing that the plaintiff suffered a traumatic brain injury.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the plaintiff experienced some aggravation of his pre-existing cervical, back, and hip pain. The duration of that aggravation is difficult to assess given the intervening cycling accident. On the totality of the evidence, I find that for the most part any aggravation of the plaintiff's musculoskeletal injuries attributable to the Incident had resolved by the time of the intervening cycling accident.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medical evidence clearly establishes that the plaintiff suffered a psychological injury and continues to suffer to some degree from PTSD flowing from the Incident. I accept Dr. Baird's opinion in this regard. The defence expert, Dr. Kemble, opined that it is probable that the plaintiff has "sustained acute difficulties with anxiety" since the Incident. I accept that the plaintiff accurately reported his symptoms in this regard to Dr. Baird and Dr. Kemble. I recognize that the plaintiff suffered from anxiety and depression associated with his chronic pain prior to the Incident. However, on balance I find that, absent the Incident, the plaintiff would not have developed his current constellation of psychological symptoms associated with PTSD. These symptoms include acute emotional distress and the recurrence of significant anxiety and panic response when recalling the Incident. Further the plaintiff' experiences a marked level of hypervigilance, fear and feelings of vulnerability in public situations such as when he is using public transportation.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Dr. Kemble's opinion that it is unlikely that the plaintiff's hearing impairment is related to the Incident. I find that it is probable that any impairment of hearing developed gradually over time and is unrelated to the Incident.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persuaded that the plaintiff has established that the pattern and frequency of his headaches changed as a result of the Incident. I accept Dr. Kemble's opinion in this regard.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that I accept falls short of establishing on a balance of probabilities that the injuries the plaintiff sustained in the Incident caused his tinnitus. Dr. Kemble opined that it was possible, but not probable that a minor closed head injury could cause nerve damage sufficient to provoke tinnitus. Dr. Baird acknowledged on cross-examination that tinnitus most commonly derives from chronic high-level noise exposure and is seen less after injury. Notably the plaintiff worked in a mill from 1978 to 1985, in an environment which would have exposed him to consistently high level noise. Dr. Kemble also noted that the plaintiff had a pre-Incident history of hearing difficulties and that often tinnitus is associated with hearing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summary on this issue, based on the opinions of Dr. Baird and Dr. Kemble, and in conjunction with the plaintiff's evidence, I conclude that the plaintiff has met the "but for" test mandated in the authorities. I am satisfied that it is more likely than not that the plaintiff sustained a head injury, an aggravation of his previous musculoskeletal injuries, and psychological injury as a result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 turn to address defence counsel's submission that Dr. Baird's report tends "toward advocating". I disagree. I found Dr. Baird to be a careful and objective witness. It must be recognized that, although I did not accept his report in its entirety, his evidence was vital to the court's assessment of the plaintiff's damages in this case. The following observations of Madam Justice Griffin in </w:t>
      </w:r>
      <w:r>
        <w:rPr>
          <w:rFonts w:ascii="arial" w:eastAsia="arial" w:hAnsi="arial" w:cs="arial"/>
          <w:i/>
          <w:color w:val="000000"/>
          <w:sz w:val="20"/>
          <w:lang w:val="en-US" w:eastAsia="en-US" w:bidi="ar-SA"/>
        </w:rPr>
        <w:t>Deiter v. Boggs</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2009 BCSC 914</w:t>
        </w:r>
      </w:hyperlink>
      <w:r>
        <w:rPr>
          <w:rFonts w:ascii="arial" w:eastAsia="arial" w:hAnsi="arial" w:cs="arial"/>
          <w:color w:val="000000"/>
          <w:sz w:val="20"/>
          <w:lang w:val="en-US" w:eastAsia="en-US" w:bidi="ar-SA"/>
        </w:rPr>
        <w:t>, are apposite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Thus, physicians who do testify despite the inconvenience are performing a very important professional and public duty. Coming to court to testify and to face cross-examination may be the last thing a busy physician wants to do, faced with the burdens of practice. Often a general physician is the one physician who knows the patient best and who will have the longest history of treating the plaintiff before and after the incident giving rise to the claim. This court is extremely appreciative of the role physicians play in giving evidence.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What are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Next, I will address the plaintiff's claim for damages under the following headings: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seeks an award in the range of $150,000 for non-pecuniary damages. The defence submits that non-pecuniary damages should be assessed in the range of $10,000 to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Non-pecuniary damages are intended to compensate the plaintiff for pain, suffering, and loss of enjoyment of life. While recognizing that the loss of good health cannot be valued in monetary terms, the "functional approach" attempts to assess the compensation required to provide the plaintiff with reasonable solace for his injuries. The award should compensate the plaintiff for the non-pecuniary loss he has suffered up to the date of the trial and for that loss he will suffer in the future. An award for non-pecuniary damages must be fair and reasonable to both parties: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Farand v. Seidel</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2013 BCSC 323</w:t>
        </w:r>
      </w:hyperlink>
      <w:r>
        <w:rPr>
          <w:rFonts w:ascii="arial" w:eastAsia="arial" w:hAnsi="arial" w:cs="arial"/>
          <w:color w:val="000000"/>
          <w:sz w:val="20"/>
          <w:lang w:val="en-US" w:eastAsia="en-US" w:bidi="ar-SA"/>
        </w:rPr>
        <w:t xml:space="preserve">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Fairness is assessed by reference to awards made in comparable cases. However, because of the requirement for an individualized assessment, it is impossible to develop a "tariff". Each case must be decided on its own unique facts, because no two individual plaintiffs' personal experiences in dealing with their injuries and the adverse consequences of those injuries are identical: </w:t>
      </w:r>
      <w:r>
        <w:rPr>
          <w:rFonts w:ascii="arial" w:eastAsia="arial" w:hAnsi="arial" w:cs="arial"/>
          <w:i/>
          <w:color w:val="000000"/>
          <w:sz w:val="20"/>
          <w:lang w:val="en-US" w:eastAsia="en-US" w:bidi="ar-SA"/>
        </w:rPr>
        <w:t>Lindal</w:t>
      </w:r>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136; </w:t>
      </w:r>
      <w:r>
        <w:rPr>
          <w:rFonts w:ascii="arial" w:eastAsia="arial" w:hAnsi="arial" w:cs="arial"/>
          <w:i/>
          <w:color w:val="000000"/>
          <w:sz w:val="20"/>
          <w:lang w:val="en-US" w:eastAsia="en-US" w:bidi="ar-SA"/>
        </w:rPr>
        <w:t>Kapelus v. Hu</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2013 BCCA 86</w:t>
        </w:r>
      </w:hyperlink>
      <w:r>
        <w:rPr>
          <w:rFonts w:ascii="arial" w:eastAsia="arial" w:hAnsi="arial" w:cs="arial"/>
          <w:color w:val="000000"/>
          <w:sz w:val="20"/>
          <w:lang w:val="en-US" w:eastAsia="en-US" w:bidi="ar-SA"/>
        </w:rPr>
        <w:t xml:space="preserve"> at para. 15-16.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Kirkpatrick J.A. enumerated the factors to be considered in awarding non-pecuniary damages. The non-exhaustive list includes: the age of the plaintiff; the nature of the injury; the severity and duration of pain; the degree of disability; emotional suffering; the loss or impairment of life; the impairment of family, marital, and social relationships; impairment of physical and mental abilities; loss of lifestyle; and the plaintiff's stoicism, which should not penalize the plaintiff. I have taken these factors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Although the plaintiff suffered from pre-existing conditions, I find that the injuries he sustained in the Incident have caused him pain and suffering and have deleteriously impacted his enjoyment of life. His psychological injuries have persisted some eight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turn to address the plaintiff's claim for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at 263, La Forest J. clarified that battery is actionable without proof of damage. He stated that aggravated damages may be awarded if the battery has occurred in humiliating or undignified circumstances, but they are not in addition to general damages. In other words, general damages are to be assessed by "taking into account any aggravating features of the case and to that extent increasing the amount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this case, the defendants' conduct has caused the plaintiff to suffer a psychological injury which I have taken into account in my assessment of general damages. The defendants' undignified and disrespectful treatment of the plaintiff caused him great distress and exacerbated his anguish. He continues to suffer psychologically as a consequence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reviewed the authorities provided by the defence. Although the cases are instructive, I do not propose to review them in detail, as they can provide only general guidance. Considering the plaintiff's unique circumstances, I conclude a fair and reasonable award for general damages is $35,000, which includes an element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Finally, there is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defence asserts that the plaintiff contributed to his own injuries and that damages should be reduced accordingly. I find this argument to be without merit.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next turn to address whether the plaintiff is entitled to compensation for impaired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 Newbury J.A. summarized the governing principles with respect to awarding damages of this nature. She affirmed that damages for the loss of housekeeping capacity may be awarded even though the plaintiff has not incurred any expense, because housekeeping services were gratuitously replaced by a family member. Moreover, since the award recognizes the impairment of housekeeping capacity, whether a plaintiff is likely to hire such assistance in the future, does not inform the analysis;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256;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67. Recovery may be allowed for both the future loss of the ability to perform household tasks as well as for the loss of such abilities prior to trial. The amount of compensation awarded must be commensurate with the plaintiff's loss: </w:t>
      </w:r>
      <w:r>
        <w:rPr>
          <w:rFonts w:ascii="arial" w:eastAsia="arial" w:hAnsi="arial" w:cs="arial"/>
          <w:i/>
          <w:color w:val="000000"/>
          <w:sz w:val="20"/>
          <w:lang w:val="en-US" w:eastAsia="en-US" w:bidi="ar-SA"/>
        </w:rPr>
        <w:t>Dykeman</w:t>
      </w:r>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evidence establishes that for some years prior to the Incident, and by 2004, the plaintiff clearly required housekeeping services, because his medical condition severely impacted his daily living activities. Moreover, there was no evidence tendered as to the value of the household services that the plaintiff can no longer perform. In all the circumstances, I have concluded that the plaintiff's loss in this regard does not justify a discrete award of damages. His loss is more properly considered as a factor in the assessment of his non-pecuniary damages. This is reflected in the non-pecuniary damages I have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result, I make no award for loss of housekeeping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seeks compensation for the cost of psychological treatment and counselling. The defence submits that the evidence does not support any future care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purpose of an award for future care is to compensate a plaintiff for costs which reasonably may be expected to be incurred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 </w:t>
      </w:r>
      <w:r>
        <w:rPr>
          <w:rFonts w:ascii="arial" w:eastAsia="arial" w:hAnsi="arial" w:cs="arial"/>
          <w:i/>
          <w:color w:val="000000"/>
          <w:sz w:val="20"/>
          <w:lang w:val="en-US" w:eastAsia="en-US" w:bidi="ar-SA"/>
        </w:rPr>
        <w:t>Gigmac v. Insurance Corporation of British Columbia,</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 The items or services claimed must be medically justified and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In assessing what is reasonably necessary to promote the plaintiff's health, the court should also consider whether the plaintiff is likely to use the items or services in the future: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paras. 12-14;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at para. 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quantification of damages for the cost of future care is an assessment, and not an exercise of precise accounting. As such, adjustments must be made for "the contingency that the future may differ from what the evidence at trial indicates":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Guardian ad litem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Brisco,</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order to address his PTSD, Dr. Baird referred the plaintiff to a psychiatrist at VGH who in turn recommended that the plaintiff obtain the appropriate psychological therapy. The cost was $260 per session and it was recommended that the plaintiff attend a minimum of 20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defence expert, Dr. Kemble, also recommended counselling or psychotherapy to assist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the medical evidence, I am satisfied that counselling is reasonably necessary. Further, I am satisfied that, with the elimination of any obvious financial impediment, the plaintiff would access such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evidence does not support a future care award for the other items claimed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On the totality of the evidence, and taking into account the relevant contingencies, I assess an award in the amount of $4,000.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(iv)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seeks special damages totalling $300. He produced receipts for a sound machine in the amount of $225 and $75 for his attendance at the tinnitus clinic at St. Paul's.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has not proven on balance of probabilities that his tinnitus was caused by the Incident. In the result, the special damages he claims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did not produce any receipt for the OBUS Forme back support, and accordingly I am unable to award any special damages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summary, I award the plaintiff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$4,000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$39,000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usual course, the plaintiff would be entitled to his costs on Scale B. If the parties are unable to agree on costs, they may set the matter for hearing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Finally, I wish to thank counsel for the defendants who demonstrated courtesy to the plaintiff at the hearing and comported themselves with the utmost professionalism throughout. The resulting efficiency in the trial process benefitted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 w:history="1">
        <w:r>
          <w:rPr>
            <w:rFonts w:ascii="arial" w:eastAsia="arial" w:hAnsi="arial" w:cs="arial"/>
            <w:b/>
            <w:bCs/>
            <w:i/>
            <w:color w:val="0077CC"/>
            <w:kern w:val="32"/>
            <w:sz w:val="28"/>
            <w:szCs w:val="32"/>
            <w:u w:val="single"/>
            <w:shd w:val="clear" w:color="auto" w:fill="FFFFFF"/>
            <w:lang w:val="en-US" w:eastAsia="en-US" w:bidi="ar-SA"/>
          </w:rPr>
          <w:t>R. v. Johnson, [2016] B.C.J. No. 482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26874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482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410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Appellant, and Randy Arnold Johnson,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Criminal law — Criminal Code offences — Offences against person and reputation — Assaults — Assault causing bodily harm — Appeal by the Crown from Johnson's acquittal on a charge of assault causing bodily harm allowed — The respondent punched the victim in the face with a flashlight in his hand, fracturing the victim's jaw — The trial judge acquitted the respondent of assault causing bodily harm — The trial judge had misapplied the law of objective foreseeability, and had erred in incorporating subjective foreseeability with respect to assault causing bodily harm — The offence had been established on the facts — The appropriate remedy was to overturn the acquittal and enter a conviction for assault causing bodily harm — Criminal Code, s. 269.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Code — Elements of the offence — Mens rea — Foreseeability — Appeal by the Crown from Johnson's acquittal on a charge of assault causing bodily harm allowed — The respondent punched the victim in the face with a flashlight in his hand, fracturing the victim's jaw — The trial judge acquitted the respondent of assault causing bodily harm — The trial judge had misapplied the law of objective foreseeability, and had erred in incorporating subjective foreseeability with respect to assault causing bodily harm — The offence had been established on the facts — The appropriate remedy was to overturn the acquittal and enter a conviction for assault causing bodily harm — Criminal Code, s. 269.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Criminal law — Appeals — Grounds — Question of law — Unreasonable verdict — Powers of appellate court — Substitution of verdict — Appeal by the Crown from Johnson's acquittal on a charge of assault causing bodily harm allowed — The respondent punched the victim in the face with a flashlight in his hand, fracturing the victim's jaw — The trial judge acquitted the respondent of assault causing bodily harm — The trial judge had misapplied the law of objective foreseeability, and had erred in incorporating subjective foreseeability with respect to assault causing bodily harm — The offence had been established on the facts — The appropriate remedy was to overturn the acquittal and enter a conviction for assault causing bodily harm — Criminal Code, s. 269.</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Crown from the accused Johnson's acquittal on a charge of assault causing bodily harm. The respondent punched the victim in the face with a flashlight in his hand, fracturing the victim's jaw. The respondent was charged with assault with a weapon and assault causing bodily harm. The trial judge found that he had a reasonable doubt as to whether Johnson had known that he was still carrying the flashlight, and acquitted him of assault with a weapon. The trial judge also acquitted the respondent of assault causing bodily harm, finding that "a punch to the face without having something in your hand or knowing that you have something in your hand does not carry with it à the same objective foreseeability of bodily harm". The trial judge convicted the respondent of assault. The Crown argued that the trial judge's erred in applying a subjective test to the offence of assault causing bodily harm, and in finding that objective foreseeability was a necessary element of the offence. The Crown claimed that the trial judge also erred in finding that a punch to the face did not create an objective risk of bodily harm.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 w:name="Holdings of Court_0"/>
            <w:bookmarkEnd w:id="8"/>
            <w:r>
              <w:rPr>
                <w:rFonts w:ascii="arial" w:eastAsia="arial" w:hAnsi="arial" w:cs="arial"/>
                <w:color w:val="000000"/>
                <w:sz w:val="20"/>
                <w:lang w:val="en-US" w:eastAsia="en-US" w:bidi="ar-SA"/>
              </w:rPr>
              <w:t>HELD: Appeal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trial judge had misapplied the law of objective foreseeability in his analysis, and had erred in applying a subjective test for the foreseeability of harm. It had been objectively foreseeable that the respondent's punch to the victim's face could result in bodily harm. Whether objective foresight was a requirement for the offence of assault causing bodily harm was currently uncertain in British Columbia. Subjective foresight of bodily harm was not a mens rea requirement for assault causing bodily harm. Here, all of the elements of the offence had been established on the facts found by the trial judge. The appropriate remedy was to overturn the acquittal and enter a conviction on the charge of assault causing bodily harm.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 w:name="Legislation Cited"/>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49" w:history="1">
        <w:r>
          <w:rPr>
            <w:rFonts w:ascii="arial" w:eastAsia="arial" w:hAnsi="arial" w:cs="arial"/>
            <w:i/>
            <w:color w:val="0077CC"/>
            <w:sz w:val="20"/>
            <w:u w:val="single"/>
            <w:shd w:val="clear" w:color="auto" w:fill="FFFFFF"/>
            <w:lang w:val="en-US" w:eastAsia="en-US" w:bidi="ar-SA"/>
          </w:rPr>
          <w:t>R.S.C. 1985, c. C-46, s. 34</w:t>
        </w:r>
      </w:hyperlink>
      <w:r>
        <w:rPr>
          <w:rFonts w:ascii="arial" w:eastAsia="arial" w:hAnsi="arial" w:cs="arial"/>
          <w:color w:val="000000"/>
          <w:sz w:val="20"/>
          <w:lang w:val="en-US" w:eastAsia="en-US" w:bidi="ar-SA"/>
        </w:rPr>
        <w:t>, s. 35, s. 267(b), s. 268, s. 269, s. 686(4)(b)(ii)</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a conviction by the Provincial Court of British Columbia, dated August 21, 2015 (</w:t>
            </w:r>
            <w:r>
              <w:rPr>
                <w:rFonts w:ascii="arial" w:eastAsia="arial" w:hAnsi="arial" w:cs="arial"/>
                <w:i/>
                <w:color w:val="000000"/>
                <w:sz w:val="20"/>
                <w:lang w:val="en-US" w:eastAsia="en-US" w:bidi="ar-SA"/>
              </w:rPr>
              <w:t>R. v. Johnson</w:t>
            </w:r>
            <w:r>
              <w:rPr>
                <w:rFonts w:ascii="arial" w:eastAsia="arial" w:hAnsi="arial" w:cs="arial"/>
                <w:color w:val="000000"/>
                <w:sz w:val="20"/>
                <w:lang w:val="en-US" w:eastAsia="en-US" w:bidi="ar-SA"/>
              </w:rPr>
              <w:t xml:space="preserve">, Vancouver Docket 17185-1).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Counsel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Crown: D.E. Boblin.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R. Lin, V.Y. Guo.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 w:name="Judgment_0"/>
      <w:bookmarkEnd w:id="11"/>
      <w:r>
        <w:pict>
          <v:line id="_x0000_s1032" style="position:absolute;z-index:25181286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relased by the Court March 16, 2016; the changes have been made to the text and the corrigemdum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 OF 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Respondent's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TRIAL JUDGE'S FINDINGS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OF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PARTIES' POSITIONS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QUESTIONS OF LAW RELATING TO ESSENTIAL ELEMENTS OF THE OFFENCE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Subjective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OBJECTIVE FORESEEABILITY OF THE RISK OF BODILY HARM REQUIRED IN B.C. FOR THE OFFENCE OF ASSAULT CAUSING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v. Blackwell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 v. McConnell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 v. Brooks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Model Jury Instructions cautions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CRIMJI Commentary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is objective mens 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THE FIRST ISSUE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DID THE TRIAL JUDGE ERR IN HOLDING THAT PUNCHING THE FACE DOES NOT CARRY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IT AN OBJECTIVE RISK OF FORESEEABILITY OF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in other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APPROPRIATE REMEDY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 w:name="N. BROWN J."/>
            <w:bookmarkEnd w:id="12"/>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Crown is appealing the respondent's acquittal on the charge of assault causing bodily harm. The Provincial Court trial judge convicted him of the lesser included offence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took place over two days: December 15, 2014 and May 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question the respondent punched the victim in the face with a closed fist, in which he held a metal flashlight. The blow fractured the victim's jaw, required surgical reconstruction, and left permanent significant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judge acquitted the respondent of assault with a weapon because he was not satisfied beyond a reasonable doubt the respondent "knew and remembered and planned to have the flashlight in his hand for the purpose of enhancing his punch."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also acquitted the respondent of assault causing bodily harm in part because he found "a punch to the face without having something in your hand or knowing that you have something in your hand, does not carry with it ... the same objective foreseeability of bodily harm."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victim of the respondent's assault, Mr. Gettle, had been drinking with his brother in some Gastown pubs. A woman approached them in the last pub they were at and invited them to come to her room in a Gastown single occupancy hotel for drinks. The respondent and his wife also lived there in an adjacent room. Not long after midnight, Mr. Gettle and the woman started to argue over Mr. Gettle's cell phone. He accused the woman of stealing it from him. The argument spilled out into the hallway, where Mr. Gettle pushed the woman against the wall. The hotel manager saw what was going on and went to the altercation. She said she told the women and Mr. Gettle she had called the police, they were coming, and that they were to go to the hotel front office and wait there. Mr. Gettle stayed behind while his brother and the woman went to the front of the hotel to wait for the police to arrive.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 security camera recording of everything that happened in the hallway was entered into evidence. It showed the respondent emerging from the room he and his wife occupied and punching Mr. Gettle in the face with his fist, clenching a flashlight within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respondent and his wife knew the woman who occupied the adjacent room as "Michelle".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Gettle, though drunk, recalled someone coming out of an apartment. He paid no attention, more concerned about his cell phone. He said he felt a blunt and hard strike to his lower left jaw and wondered what it was. He saw someone moving away from him down the hallway, then saw his jaw was broken and he was bleeding. He then went to the hotel front desk where he waited for the ambulance and police to arrive.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Respondent's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respondent and his wife testified on what led up to his emergence from his apartment. The trial judge accepted that both he and his wife recalled waking up just after midnight by somebody screaming for help. The respondent thought the sound was coming from the room occupied by Michelle.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trial judge noted the respondent's testimony on the uses to which he thought he had put the flashlight before he emerged from his room and punched Mr. Gettle in the face with it in his hand. The trial judge noted that whether the respondent had used the flashlight to enable him to see in the dark so he could put on his pants, or just to put his shoes on before he came out to the hallway; either way, the respondent said he had forgotten he had the flashlight when he eventually did enter the hallway.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trial judge estimated the length of the flashlight at four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trial judge concluded that about a minute and-a-half later, the video showed the respondent coming from the room fully dressed, and within a couple of seconds, smacked Mr. Gettle in the face "causing him bodily harm". The trial judge noted the recording showed the flashlight was being held in the same hand the respondent used to "punch" Mr. Gettle.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trial judge noted the brightly lit hallway needed no flashlight for seeing things. Even so, he did not find that the circumstances warranted an inference the respondent held the flashlight as he did to "smack" Mr. Gettle.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respondent testified he had forgotten he had had flashlight. He said that he had said to Mr. Gettle, "You like to beat up on women, do you? Well, get out of here." The respondent said Mr. Gettle told him to mind his own business. Then the respondent hit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the respondent emerged from his room, the manager testified she saw no danger in sight. The video showed Mr. Gettle standing, swaying somewhat because he was drunk. Before the respondent struck Mr. Gettle, the manager, in the respondent's presence, had already announced that the police were on their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a sidebar, I should explain the trial judge spent a fair portion of his reasons dealing with evidence relevant to s. 34 and s. 35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These sections respectively justify use of reasonable force to defend another person against an immediate threat or to remove a person from property reasonably believed to be in the lawful peaceable possession of the accused or of another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trial judge found neither s. 34 nor 35 were applicable. At para. 25, he noted the respondent "[did] not see [Mr.] Gettle trying to force his way back into the room, he [knew] the police [were] coming, he [knew] the Manager was there, and ... [that] Michelle [was] out of the fracas at that point." This led the trial judge to his conclusion the respondent's "smashing" of Mr. Gettle in the face was "not a reasonable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Crown counsel had argued the respondent intended to have the flashlight in his hand when he inflicted a blow to Mr. Gettle's face and had it for that purpose. The trial judge found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TRIAL JUDGE'S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following are the most pertinent statements and conclusions in the trial judge's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 accept that I </w:t>
      </w:r>
      <w:r>
        <w:rPr>
          <w:rFonts w:ascii="arial" w:eastAsia="arial" w:hAnsi="arial" w:cs="arial"/>
          <w:color w:val="000000"/>
          <w:sz w:val="20"/>
          <w:u w:val="single"/>
          <w:lang w:val="en-US" w:eastAsia="en-US" w:bidi="ar-SA"/>
        </w:rPr>
        <w:t>have some doubt whether he did remember or he did not remember that he had a flashlight in his hand</w:t>
      </w:r>
      <w:r>
        <w:rPr>
          <w:rFonts w:ascii="arial" w:eastAsia="arial" w:hAnsi="arial" w:cs="arial"/>
          <w:color w:val="000000"/>
          <w:sz w:val="20"/>
          <w:lang w:val="en-US" w:eastAsia="en-US" w:bidi="ar-SA"/>
        </w:rPr>
        <w:t xml:space="preserve">. Certainly, </w:t>
      </w:r>
      <w:r>
        <w:rPr>
          <w:rFonts w:ascii="arial" w:eastAsia="arial" w:hAnsi="arial" w:cs="arial"/>
          <w:color w:val="000000"/>
          <w:sz w:val="20"/>
          <w:u w:val="single"/>
          <w:lang w:val="en-US" w:eastAsia="en-US" w:bidi="ar-SA"/>
        </w:rPr>
        <w:t>the rationale that he gave</w:t>
      </w:r>
      <w:r>
        <w:rPr>
          <w:rFonts w:ascii="arial" w:eastAsia="arial" w:hAnsi="arial" w:cs="arial"/>
          <w:color w:val="000000"/>
          <w:sz w:val="20"/>
          <w:lang w:val="en-US" w:eastAsia="en-US" w:bidi="ar-SA"/>
        </w:rPr>
        <w:t xml:space="preserve"> as to the lights being out and needing to put on, either all his clothes or just his trousers, is something that reasonably could be true. There is some basis for him having the flashlight in the heat of the moment. </w:t>
      </w:r>
      <w:r>
        <w:rPr>
          <w:rFonts w:ascii="arial" w:eastAsia="arial" w:hAnsi="arial" w:cs="arial"/>
          <w:color w:val="000000"/>
          <w:sz w:val="20"/>
          <w:u w:val="single"/>
          <w:lang w:val="en-US" w:eastAsia="en-US" w:bidi="ar-SA"/>
        </w:rPr>
        <w:t>I am not satisfied beyond a reasonable doubt that he knew and remembered and planned to have the flashlight in his hand for the purpose of enhancing his punch.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However, when he assaulted Gettle, there was no immediate fear and there was no crime being committed and, in terms of removing him from the premises, he was not the one to be doing any of that because </w:t>
      </w:r>
      <w:r>
        <w:rPr>
          <w:rFonts w:ascii="arial" w:eastAsia="arial" w:hAnsi="arial" w:cs="arial"/>
          <w:color w:val="000000"/>
          <w:sz w:val="20"/>
          <w:u w:val="single"/>
          <w:lang w:val="en-US" w:eastAsia="en-US" w:bidi="ar-SA"/>
        </w:rPr>
        <w:t>there was nothing immediate in the circumstances to require that type of violence.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Gettle is not doing anything except standing there with his hands in his pocket, and he knows that the Manager had already gone to get the police.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What is the final result of all of this? He is charged in Count 2 with carrying, using, threatening to use a weapon to commit an assault on Mr. Gettle. </w:t>
      </w:r>
      <w:r>
        <w:rPr>
          <w:rFonts w:ascii="arial" w:eastAsia="arial" w:hAnsi="arial" w:cs="arial"/>
          <w:color w:val="000000"/>
          <w:sz w:val="20"/>
          <w:u w:val="single"/>
          <w:lang w:val="en-US" w:eastAsia="en-US" w:bidi="ar-SA"/>
        </w:rPr>
        <w:t>I find that I do have some reasonable doubt whether he did actually recall carrying and using the weapon and I acquit him on Count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Count 1, the assault, was the hit to the face and it resulted in bodily harm to Mr. Gettle. </w:t>
      </w:r>
      <w:r>
        <w:rPr>
          <w:rFonts w:ascii="arial" w:eastAsia="arial" w:hAnsi="arial" w:cs="arial"/>
          <w:color w:val="000000"/>
          <w:sz w:val="20"/>
          <w:u w:val="single"/>
          <w:lang w:val="en-US" w:eastAsia="en-US" w:bidi="ar-SA"/>
        </w:rPr>
        <w:t>The Crown argues that once he commits the assault, if that assault causes serious bodily harm, he is guilty of the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Crown, very frankly, has said some of the case law in the provinces differ as to exactly what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required for an assault causing bodily harm. Crown argue that in B.C. the case law only has to show if he </w:t>
      </w:r>
      <w:r>
        <w:rPr>
          <w:rFonts w:ascii="arial" w:eastAsia="arial" w:hAnsi="arial" w:cs="arial"/>
          <w:color w:val="000000"/>
          <w:sz w:val="20"/>
          <w:u w:val="single"/>
          <w:lang w:val="en-US" w:eastAsia="en-US" w:bidi="ar-SA"/>
        </w:rPr>
        <w:t>intentionally applies force, that force results in bodily harm, then he is convicted of assault causing bodily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[Crown counsel] points out, also, that some other provinces add an objective foreseeability of harm and, where that comes in is, </w:t>
      </w:r>
      <w:r>
        <w:rPr>
          <w:rFonts w:ascii="arial" w:eastAsia="arial" w:hAnsi="arial" w:cs="arial"/>
          <w:color w:val="000000"/>
          <w:sz w:val="20"/>
          <w:u w:val="single"/>
          <w:lang w:val="en-US" w:eastAsia="en-US" w:bidi="ar-SA"/>
        </w:rPr>
        <w:t>does somebody objectively or reasonably foresee harm to another person if they smash him in the cheek with their fist versus smashing him in the cheek with a weapon. There is no doubt in my mind that, objectively, if you put a flashlight made of steel in your fist and you hit somebody in the face with it, that objectively there is the foreseeability of serious bodily harm. On the other hand, a punch to the face without having something in your hand or knowing that you have something in your hand, does not carry with it, in my view, the same objective foreseeability of bodily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this particular case, in Count 1, </w:t>
      </w:r>
      <w:r>
        <w:rPr>
          <w:rFonts w:ascii="arial" w:eastAsia="arial" w:hAnsi="arial" w:cs="arial"/>
          <w:color w:val="000000"/>
          <w:sz w:val="20"/>
          <w:u w:val="single"/>
          <w:lang w:val="en-US" w:eastAsia="en-US" w:bidi="ar-SA"/>
        </w:rPr>
        <w:t xml:space="preserve">he did commit an assault and I find that s. 35 does not extricate him from guilt in the situation. However, I do find that he did not have the </w:t>
      </w:r>
      <w:r>
        <w:rPr>
          <w:rFonts w:ascii="arial" w:eastAsia="arial" w:hAnsi="arial" w:cs="arial"/>
          <w:i/>
          <w:color w:val="000000"/>
          <w:sz w:val="20"/>
          <w:u w:val="single"/>
          <w:lang w:val="en-US" w:eastAsia="en-US" w:bidi="ar-SA"/>
        </w:rPr>
        <w:t>mens rea</w:t>
      </w:r>
      <w:r>
        <w:rPr>
          <w:rFonts w:ascii="arial" w:eastAsia="arial" w:hAnsi="arial" w:cs="arial"/>
          <w:color w:val="000000"/>
          <w:sz w:val="20"/>
          <w:u w:val="single"/>
          <w:lang w:val="en-US" w:eastAsia="en-US" w:bidi="ar-SA"/>
        </w:rPr>
        <w:t xml:space="preserve"> because I have said I had doubt and have doubt in concluding that he knew he had that flashlight in his hand. He certainly assaulted him and that requires a general intent. He had the general intent to assault him.</w:t>
      </w:r>
      <w:r>
        <w:rPr>
          <w:rFonts w:ascii="arial" w:eastAsia="arial" w:hAnsi="arial" w:cs="arial"/>
          <w:color w:val="000000"/>
          <w:sz w:val="20"/>
          <w:lang w:val="en-US" w:eastAsia="en-US" w:bidi="ar-SA"/>
        </w:rPr>
        <w:t xml:space="preserve"> He is not extricated by s. 35. So he is guilty of the lesser offence of common assault, not guilty of the more serious offence of assault causing bodily harm.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main questions are:</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law on the foreseeability of harm for the offence of assault causing bodily harm?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trial judge err in law by incorporating subjective foreseeability into the elements of the offence of assault causing bodily harm?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that objective foreseeability of bodily harm by the accused's actions must be proven, did the trial judge err in his application of the law on the objective foreseeability of harm to the facts of this case?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should be the result, a new trial, or reversal of the acquittal and conviction for assault causing bodily harm?</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trial judge err in holding that punching the face does not carry with it an objective risk of foreseeability of bodily harm?</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correct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appellant submitted the trial judge's reasons reveal two errors in law:</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incorporated a requirement of subjective foreseeability into the offence of assault causing bodily harm.</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held punching a person in the face does not carry with it an objective risk of foreseeability of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respondent submitted the trial judge based his acquittal on whether a reasonable person would have foreseen a risk of bodily harm in the circumstances comprising the facts that he had found. He further submitted the trial judge made a finding of fact that there was no objective foreseeability of harm from someone punching someone in the face without a weapon and that there was no contrary evidence such as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further response to the appellant's second ground of appeal, the respondent submitted the trial judge's finding that there was no objective foreseeability of bodily harm is subject to a standard of review requiring palpable and overriding error, which, the respondent submits, cannot be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QUESTIONS OF LAW RELATING TO ESSENTIAL ELEMENTS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One of the questions the trial judge asked of himself was, "Does somebody objectively or reasonably foresee harm to another person if they smash him in the cheek with their fist versus smashing him in the cheek with a weapon?" The appellant submits that in context the statement showed the trial judge was concerned with whether the respondent had subjectively foreseen the risk of bodily harm to Mr. Gettle if he smashed his cheek with a fist without the flashlight in his hand. The appellant further submitted the presence in that passage of the words "objective" and "reasonably" does not mean the trial judge applied an objective foreseeability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respondent submitted that considering the factual matrix and the reasons as a whole, the trial judge correctly applied an objective foreseeability test. I will deal with these submissions after a review of the law on whether either or both subjective and objective foreseeability of harm are essential elements of the offence of assault causing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Subjective 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answer to the question of </w:t>
      </w:r>
      <w:r>
        <w:rPr>
          <w:rFonts w:ascii="arial" w:eastAsia="arial" w:hAnsi="arial" w:cs="arial"/>
          <w:color w:val="000000"/>
          <w:sz w:val="20"/>
          <w:u w:val="single"/>
          <w:lang w:val="en-US" w:eastAsia="en-US" w:bidi="ar-SA"/>
        </w:rPr>
        <w:t>subjective</w:t>
      </w:r>
      <w:r>
        <w:rPr>
          <w:rFonts w:ascii="arial" w:eastAsia="arial" w:hAnsi="arial" w:cs="arial"/>
          <w:color w:val="000000"/>
          <w:sz w:val="20"/>
          <w:lang w:val="en-US" w:eastAsia="en-US" w:bidi="ar-SA"/>
        </w:rPr>
        <w:t xml:space="preserve"> foreseeability is clear. Conviction of assault causing bodily harm does not require the judge to find that the respondent had foreseen a risk of harm to the complainant from their assault of the complainant: </w:t>
      </w:r>
      <w:r>
        <w:rPr>
          <w:rFonts w:ascii="arial" w:eastAsia="arial" w:hAnsi="arial" w:cs="arial"/>
          <w:i/>
          <w:color w:val="000000"/>
          <w:sz w:val="20"/>
          <w:lang w:val="en-US" w:eastAsia="en-US" w:bidi="ar-SA"/>
        </w:rPr>
        <w:t>R. v. DeSousa,</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[1992] 2 S.C.R. 944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xml:space="preserve">]. The answer to the question of </w:t>
      </w:r>
      <w:r>
        <w:rPr>
          <w:rFonts w:ascii="arial" w:eastAsia="arial" w:hAnsi="arial" w:cs="arial"/>
          <w:color w:val="000000"/>
          <w:sz w:val="20"/>
          <w:u w:val="single"/>
          <w:lang w:val="en-US" w:eastAsia="en-US" w:bidi="ar-SA"/>
        </w:rPr>
        <w:t>objective</w:t>
      </w:r>
      <w:r>
        <w:rPr>
          <w:rFonts w:ascii="arial" w:eastAsia="arial" w:hAnsi="arial" w:cs="arial"/>
          <w:color w:val="000000"/>
          <w:sz w:val="20"/>
          <w:lang w:val="en-US" w:eastAsia="en-US" w:bidi="ar-SA"/>
        </w:rPr>
        <w:t xml:space="preserve"> foreseeability, at least in this province, is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xml:space="preserve"> the appellant had been involved in a fight in which a bottle the appellant allegedly threw broke against a wall. A glass fragment struck and injured a bystander. The appellant accused had made a successful pretrial motion for a declaration that s. 269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was of no force or effect because it was contrary to s. 7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The appellant had argued the offence of unlawfully causing bodily harm was contrary to fundamental justice because it put an accused at risk without the requirement of a blameworthy state of mind. In addition, the appellant argued the provision allowed conviction in the face of an accused's lack of intent to cause the bodily harm.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When reading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xml:space="preserve">, it has to be kept in mind the court's question was the constitutionality of s. 269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specifically, whether subjective or objective foreseeability was a required element for s. 269 to be constitutional. Section 269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Everyone who unlawfully causes bodily harm to any person is guilty of</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indictable offence and liable to imprisonment for a term not exceeding ten years; or</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offence punishable on summary conviction and liable to imprisonment for a term not exceeding eighteen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concluded that while subjective foreseeability was not required, objective foreseeability was required for the offence of unlawfully causing bodily harm, s. 269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But as for assault causing bodily harm, s. 267(b)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the dicta of Sopinka J. indicates the offence of assault causing bodily does not require objective foreseeability of the risk of harm. His dicta also mentioned other offences that specify the nature of the harm the accused's unlawful actions had caused. I will address this particular aspect of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xml:space="preserve"> later in these reasons, when considering the state of the law in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Giving judgment for the court, Sopinka J. concluded at 962: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mental element of s. 269 has two separate aspects. The first aspect of the mental element is the requirement that an underlying offence with a constitutionally sufficient mental element has been committed. Additionally, s. 269 requires that the prosecution prove that the bodily harm caused by the underlying unlawful act was objectively foreseeable. This latter requirement insures that all prosecutions under s 269 contain </w:t>
      </w:r>
      <w:r>
        <w:rPr>
          <w:rFonts w:ascii="arial" w:eastAsia="arial" w:hAnsi="arial" w:cs="arial"/>
          <w:color w:val="000000"/>
          <w:sz w:val="20"/>
          <w:u w:val="single"/>
          <w:lang w:val="en-US" w:eastAsia="en-US" w:bidi="ar-SA"/>
        </w:rPr>
        <w:t>at least</w:t>
      </w:r>
      <w:r>
        <w:rPr>
          <w:rFonts w:ascii="arial" w:eastAsia="arial" w:hAnsi="arial" w:cs="arial"/>
          <w:color w:val="000000"/>
          <w:sz w:val="20"/>
          <w:lang w:val="en-US" w:eastAsia="en-US" w:bidi="ar-SA"/>
        </w:rPr>
        <w:t xml:space="preserve"> a fault requirement based on an objective standard.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Dewey,</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1999 ABCA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Dewey</w:t>
      </w:r>
      <w:r>
        <w:rPr>
          <w:rFonts w:ascii="arial" w:eastAsia="arial" w:hAnsi="arial" w:cs="arial"/>
          <w:color w:val="000000"/>
          <w:sz w:val="20"/>
          <w:lang w:val="en-US" w:eastAsia="en-US" w:bidi="ar-SA"/>
        </w:rPr>
        <w:t>], writing for the court, Picard J.A. stated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Prior to the Supreme Court of Canada's decision in </w:t>
      </w:r>
      <w:r>
        <w:rPr>
          <w:rFonts w:ascii="arial" w:eastAsia="arial" w:hAnsi="arial" w:cs="arial"/>
          <w:i/>
          <w:color w:val="000000"/>
          <w:sz w:val="20"/>
          <w:lang w:val="en-US" w:eastAsia="en-US" w:bidi="ar-SA"/>
        </w:rPr>
        <w:t>R. v. DeSousa</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[1992] 2 S.C.R. 944</w:t>
        </w:r>
      </w:hyperlink>
      <w:r>
        <w:rPr>
          <w:rFonts w:ascii="arial" w:eastAsia="arial" w:hAnsi="arial" w:cs="arial"/>
          <w:color w:val="000000"/>
          <w:sz w:val="20"/>
          <w:lang w:val="en-US" w:eastAsia="en-US" w:bidi="ar-SA"/>
        </w:rPr>
        <w:t xml:space="preserve">, the predominant view in the courts of Canada was that a conviction for assault causing bodily harm required only an actus reus and mens rea for assault along with consequence of bodily harm. In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the Supreme Court of Canada unanimously held that objective foreseeability of the risk of bodily harm is constitutionally required for a conviction for s. 269 -- the offence of unlawfully causing bodily harm. Justice Sopinka specifically rejected the argument that subjective foreseeability is required, stating that there is no constitutional requirement that subjective fault attach to each and every one of the elements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Objective foreseeability refers to foreseeability of the risk of bodily harm in general, not of a specific harm, </w:t>
      </w:r>
      <w:r>
        <w:rPr>
          <w:rFonts w:ascii="arial" w:eastAsia="arial" w:hAnsi="arial" w:cs="arial"/>
          <w:i/>
          <w:color w:val="000000"/>
          <w:sz w:val="20"/>
          <w:lang w:val="en-US" w:eastAsia="en-US" w:bidi="ar-SA"/>
        </w:rPr>
        <w:t>Dewey</w:t>
      </w:r>
      <w:r>
        <w:rPr>
          <w:rFonts w:ascii="arial" w:eastAsia="arial" w:hAnsi="arial" w:cs="arial"/>
          <w:color w:val="000000"/>
          <w:sz w:val="20"/>
          <w:lang w:val="en-US" w:eastAsia="en-US" w:bidi="ar-SA"/>
        </w:rPr>
        <w:t xml:space="preserve"> at para. 10. In this same vein, Sopinka J. in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xml:space="preserve"> noted at 967, "One is not morally innocent simply because a particular consequence of an unlawful act was foreseen by that 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Creighton</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[1993]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Creighton</w:t>
      </w:r>
      <w:r>
        <w:rPr>
          <w:rFonts w:ascii="arial" w:eastAsia="arial" w:hAnsi="arial" w:cs="arial"/>
          <w:color w:val="000000"/>
          <w:sz w:val="20"/>
          <w:lang w:val="en-US" w:eastAsia="en-US" w:bidi="ar-SA"/>
        </w:rPr>
        <w:t xml:space="preserve">], McLachlin J. speaking for the majority, concluded that an unlawful act of manslaughter requires an element of "objective foreseeability of the risk of bodily harm which is neither trivial nor transitory," (at 44). At 54, McLachlin J. further noted that "notwithstanding the same level of moral fault, some offences may be more or less serious, depending on the consequences of the culpable act," adding, "Thus it cannot be said that the law in all circumstances insists on absolute symmetry between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and the consequences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At 966-967 of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Sopinka J.'s dicta proposes that objective foreseeability is not an essential ingredient of assault causing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In many offences, such as assault or dangerous driving, the offence is made out regardless of the consequences of the act but the consequences can be used to aggravate liability for the offence. </w:t>
      </w:r>
      <w:r>
        <w:rPr>
          <w:rFonts w:ascii="arial" w:eastAsia="arial" w:hAnsi="arial" w:cs="arial"/>
          <w:color w:val="000000"/>
          <w:sz w:val="20"/>
          <w:u w:val="single"/>
          <w:lang w:val="en-US" w:eastAsia="en-US" w:bidi="ar-SA"/>
        </w:rPr>
        <w:t xml:space="preserve">For example, both assault and assault causing bodily harm have identical </w:t>
      </w:r>
      <w:r>
        <w:rPr>
          <w:rFonts w:ascii="arial" w:eastAsia="arial" w:hAnsi="arial" w:cs="arial"/>
          <w:i/>
          <w:color w:val="000000"/>
          <w:sz w:val="20"/>
          <w:u w:val="single"/>
          <w:lang w:val="en-US" w:eastAsia="en-US" w:bidi="ar-SA"/>
        </w:rPr>
        <w:t>mens rea</w:t>
      </w:r>
      <w:r>
        <w:rPr>
          <w:rFonts w:ascii="arial" w:eastAsia="arial" w:hAnsi="arial" w:cs="arial"/>
          <w:color w:val="000000"/>
          <w:sz w:val="20"/>
          <w:u w:val="single"/>
          <w:lang w:val="en-US" w:eastAsia="en-US" w:bidi="ar-SA"/>
        </w:rPr>
        <w:t xml:space="preserve"> requirements and the element of causing bodily harm is merely used to classify the offence</w:t>
      </w:r>
      <w:r>
        <w:rPr>
          <w:rFonts w:ascii="arial" w:eastAsia="arial" w:hAnsi="arial" w:cs="arial"/>
          <w:color w:val="000000"/>
          <w:sz w:val="20"/>
          <w:lang w:val="en-US" w:eastAsia="en-US" w:bidi="ar-SA"/>
        </w:rPr>
        <w:t>. No principle of fundamental justice prevents parliament from treating crimes with certain consequences as more serious than crimes which lack those consequences.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A number of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offences call for a more serious charge if certain consequences follow. To require intention in relation to each and every consequence would bring a large number of offences into question including manslaughter (s. 222(5)),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bodily harm (s. 221), criminal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death (s. 220), dangerous operation causing bodily harm (s. 249(3)), dangerous operation causing death (s. 249(4)), impaired driving causing bodily harm (s. 255(2)), impaired driving causing death (s. 255(3)), </w:t>
      </w:r>
      <w:r>
        <w:rPr>
          <w:rFonts w:ascii="arial" w:eastAsia="arial" w:hAnsi="arial" w:cs="arial"/>
          <w:color w:val="000000"/>
          <w:sz w:val="20"/>
          <w:u w:val="single"/>
          <w:lang w:val="en-US" w:eastAsia="en-US" w:bidi="ar-SA"/>
        </w:rPr>
        <w:t>assault causing bodily harm (s. 267(1)(b))</w:t>
      </w:r>
      <w:r>
        <w:rPr>
          <w:rFonts w:ascii="arial" w:eastAsia="arial" w:hAnsi="arial" w:cs="arial"/>
          <w:color w:val="000000"/>
          <w:sz w:val="20"/>
          <w:lang w:val="en-US" w:eastAsia="en-US" w:bidi="ar-SA"/>
        </w:rPr>
        <w:t xml:space="preserve"> ... As noted by Professor Colvin, "[i]t would, however, be an error to suppose that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always match in this neat way." [Citation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 One is not morally innocent simply because a particular consequence of an unlawful act was unforeseen by that actor. In punishing for unforeseen consequences the law is not punishing the morally innocent but those to cause injury through avoidable unlawful action. Neither basic principles of criminal law, nor the dictates of fundamental justice require, by necessity, intention in relation to the consequences of an otherwise blameworthy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OBJECTIVE FORESEEABILITY OF THE RISK OF BODILY HARM REQUIRED IN B.C. FOR THE OFFENCE OF ASSAULT CAUSING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 v. Blackwell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Blackwell</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2007 BCSC 1240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Blackwell</w:t>
      </w:r>
      <w:r>
        <w:rPr>
          <w:rFonts w:ascii="arial" w:eastAsia="arial" w:hAnsi="arial" w:cs="arial"/>
          <w:color w:val="000000"/>
          <w:sz w:val="20"/>
          <w:lang w:val="en-US" w:eastAsia="en-US" w:bidi="ar-SA"/>
        </w:rPr>
        <w:t xml:space="preserve">], Smith J., following </w:t>
      </w:r>
      <w:r>
        <w:rPr>
          <w:rFonts w:ascii="arial" w:eastAsia="arial" w:hAnsi="arial" w:cs="arial"/>
          <w:i/>
          <w:color w:val="000000"/>
          <w:sz w:val="20"/>
          <w:lang w:val="en-US" w:eastAsia="en-US" w:bidi="ar-SA"/>
        </w:rPr>
        <w:t>Dewey,</w:t>
      </w:r>
      <w:r>
        <w:rPr>
          <w:rFonts w:ascii="arial" w:eastAsia="arial" w:hAnsi="arial" w:cs="arial"/>
          <w:color w:val="000000"/>
          <w:sz w:val="20"/>
          <w:lang w:val="en-US" w:eastAsia="en-US" w:bidi="ar-SA"/>
        </w:rPr>
        <w:t xml:space="preserve"> stated at para.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109] </w:t>
      </w:r>
      <w:r>
        <w:rPr>
          <w:rFonts w:ascii="arial" w:eastAsia="arial" w:hAnsi="arial" w:cs="arial"/>
          <w:color w:val="000000"/>
          <w:sz w:val="20"/>
          <w:u w:val="single"/>
          <w:lang w:val="en-US" w:eastAsia="en-US" w:bidi="ar-SA"/>
        </w:rPr>
        <w:t>The</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actus reus</w:t>
      </w:r>
      <w:r>
        <w:rPr>
          <w:rFonts w:ascii="arial" w:eastAsia="arial" w:hAnsi="arial" w:cs="arial"/>
          <w:color w:val="000000"/>
          <w:sz w:val="20"/>
          <w:lang w:val="en-US" w:eastAsia="en-US" w:bidi="ar-SA"/>
        </w:rPr>
        <w:t xml:space="preserve"> for assault causing bodily harm consists of an act, which constitutes an assault, and a consequence of the act, which causes the victim bodily harm. It is an offence of general intent, that is to say the mental element does not extend beyond the act and its consequence. </w:t>
      </w:r>
      <w:r>
        <w:rPr>
          <w:rFonts w:ascii="arial" w:eastAsia="arial" w:hAnsi="arial" w:cs="arial"/>
          <w:color w:val="000000"/>
          <w:sz w:val="20"/>
          <w:u w:val="single"/>
          <w:lang w:val="en-US" w:eastAsia="en-US" w:bidi="ar-SA"/>
        </w:rPr>
        <w:t xml:space="preserve">The </w:t>
      </w:r>
      <w:r>
        <w:rPr>
          <w:rFonts w:ascii="arial" w:eastAsia="arial" w:hAnsi="arial" w:cs="arial"/>
          <w:i/>
          <w:color w:val="000000"/>
          <w:sz w:val="20"/>
          <w:u w:val="single"/>
          <w:lang w:val="en-US" w:eastAsia="en-US" w:bidi="ar-SA"/>
        </w:rPr>
        <w:t>mens rea</w:t>
      </w:r>
      <w:r>
        <w:rPr>
          <w:rFonts w:ascii="arial" w:eastAsia="arial" w:hAnsi="arial" w:cs="arial"/>
          <w:color w:val="000000"/>
          <w:sz w:val="20"/>
          <w:lang w:val="en-US" w:eastAsia="en-US" w:bidi="ar-SA"/>
        </w:rPr>
        <w:t xml:space="preserve"> requires objective foreseeability of the risk of bodily harm in general or proof that an accused was reckless as to whether his act caused harm to the victim. It does not require objective foreseeability of the risk of the specific harm that actually occurred. [Emphasis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 v. McConnell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McConnell</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2014 BCSC 973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McConnell</w:t>
      </w:r>
      <w:r>
        <w:rPr>
          <w:rFonts w:ascii="arial" w:eastAsia="arial" w:hAnsi="arial" w:cs="arial"/>
          <w:color w:val="000000"/>
          <w:sz w:val="20"/>
          <w:lang w:val="en-US" w:eastAsia="en-US" w:bidi="ar-SA"/>
        </w:rPr>
        <w:t xml:space="preserve">] at para. 8, Romilly J. distilled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applicable to aggravated assault: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 [A]ggravated assault is transformed from simple assault by three additional elements: the assault wounded, maimed or endangered life; the appellant's conduct caused the wounding, maiming or endangerment; and a reasonable person would have realized the appellant's conduct would subject the victim to the risk of bodily harm: </w:t>
      </w:r>
      <w:r>
        <w:rPr>
          <w:rFonts w:ascii="arial" w:eastAsia="arial" w:hAnsi="arial" w:cs="arial"/>
          <w:i/>
          <w:color w:val="000000"/>
          <w:sz w:val="20"/>
          <w:lang w:val="en-US" w:eastAsia="en-US" w:bidi="ar-SA"/>
        </w:rPr>
        <w:t>R. v. Godin</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[1994] 2 S.C.R. 484</w:t>
        </w:r>
      </w:hyperlink>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89 C.C.C. (3d) 574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Brodie</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(1995), 60 B.C.A.C. 153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Binnie J. summarized the mental elements of aggravated assault at para. 22 of </w:t>
      </w:r>
      <w:r>
        <w:rPr>
          <w:rFonts w:ascii="arial" w:eastAsia="arial" w:hAnsi="arial" w:cs="arial"/>
          <w:i/>
          <w:color w:val="000000"/>
          <w:sz w:val="20"/>
          <w:lang w:val="en-US" w:eastAsia="en-US" w:bidi="ar-SA"/>
        </w:rPr>
        <w:t>R. v. Williams,</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2003 SCC 41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aggravated assault is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assault (intent to apply force intentionally or recklessly or being wilfully blind to the fact that the victim does not consent) plus objective foresight of the risk of bodily harm: </w:t>
      </w:r>
      <w:r>
        <w:rPr>
          <w:rFonts w:ascii="arial" w:eastAsia="arial" w:hAnsi="arial" w:cs="arial"/>
          <w:i/>
          <w:color w:val="000000"/>
          <w:sz w:val="20"/>
          <w:lang w:val="en-US" w:eastAsia="en-US" w:bidi="ar-SA"/>
        </w:rPr>
        <w:t>R.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Godin</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[1994] 2 S.C.R.484</w:t>
        </w:r>
      </w:hyperlink>
      <w:r>
        <w:rPr>
          <w:rFonts w:ascii="arial" w:eastAsia="arial" w:hAnsi="arial" w:cs="arial"/>
          <w:color w:val="000000"/>
          <w:sz w:val="20"/>
          <w:lang w:val="en-US" w:eastAsia="en-US" w:bidi="ar-SA"/>
        </w:rPr>
        <w:t>, at p. 485.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At para. 10 of </w:t>
      </w:r>
      <w:r>
        <w:rPr>
          <w:rFonts w:ascii="arial" w:eastAsia="arial" w:hAnsi="arial" w:cs="arial"/>
          <w:i/>
          <w:color w:val="000000"/>
          <w:sz w:val="20"/>
          <w:lang w:val="en-US" w:eastAsia="en-US" w:bidi="ar-SA"/>
        </w:rPr>
        <w:t>McConnell</w:t>
      </w:r>
      <w:r>
        <w:rPr>
          <w:rFonts w:ascii="arial" w:eastAsia="arial" w:hAnsi="arial" w:cs="arial"/>
          <w:color w:val="000000"/>
          <w:sz w:val="20"/>
          <w:lang w:val="en-US" w:eastAsia="en-US" w:bidi="ar-SA"/>
        </w:rPr>
        <w:t xml:space="preserve">, Romilly J. commented that because "the offence of aggravated assault consists of wounding, maiming, disfiguring or endangering life, there must be a breaking of the skin. This has the effect that bodily harm is always an included offence of an aggravated assault: </w:t>
      </w:r>
      <w:r>
        <w:rPr>
          <w:rFonts w:ascii="arial" w:eastAsia="arial" w:hAnsi="arial" w:cs="arial"/>
          <w:i/>
          <w:color w:val="000000"/>
          <w:sz w:val="20"/>
          <w:lang w:val="en-US" w:eastAsia="en-US" w:bidi="ar-SA"/>
        </w:rPr>
        <w:t>R. v. MacPhee</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(1978), 45 C.C.C. (2d) 89</w:t>
        </w:r>
      </w:hyperlink>
      <w:r>
        <w:rPr>
          <w:rFonts w:ascii="arial" w:eastAsia="arial" w:hAnsi="arial" w:cs="arial"/>
          <w:color w:val="000000"/>
          <w:sz w:val="20"/>
          <w:lang w:val="en-US" w:eastAsia="en-US" w:bidi="ar-SA"/>
        </w:rPr>
        <w:t xml:space="preserve"> (N.S.S.C.A.D.)", cited with approval in </w:t>
      </w:r>
      <w:r>
        <w:rPr>
          <w:rFonts w:ascii="arial" w:eastAsia="arial" w:hAnsi="arial" w:cs="arial"/>
          <w:i/>
          <w:color w:val="000000"/>
          <w:sz w:val="20"/>
          <w:lang w:val="en-US" w:eastAsia="en-US" w:bidi="ar-SA"/>
        </w:rPr>
        <w:t>R. v. Horsefall</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[1990] B.C.J. No. 2397</w:t>
        </w:r>
      </w:hyperlink>
      <w:r>
        <w:rPr>
          <w:rFonts w:ascii="arial" w:eastAsia="arial" w:hAnsi="arial" w:cs="arial"/>
          <w:color w:val="000000"/>
          <w:sz w:val="20"/>
          <w:lang w:val="en-US" w:eastAsia="en-US" w:bidi="ar-SA"/>
        </w:rPr>
        <w:t xml:space="preserve"> (C.A.) at 249, leave to appeal ref'd, </w:t>
      </w:r>
      <w:hyperlink r:id="rId61" w:history="1">
        <w:r>
          <w:rPr>
            <w:rFonts w:ascii="arial" w:eastAsia="arial" w:hAnsi="arial" w:cs="arial"/>
            <w:i/>
            <w:color w:val="0077CC"/>
            <w:sz w:val="20"/>
            <w:u w:val="single"/>
            <w:shd w:val="clear" w:color="auto" w:fill="FFFFFF"/>
            <w:lang w:val="en-US" w:eastAsia="en-US" w:bidi="ar-SA"/>
          </w:rPr>
          <w:t>[1991] S.C.C.A. No. 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note that in </w:t>
      </w:r>
      <w:r>
        <w:rPr>
          <w:rFonts w:ascii="arial" w:eastAsia="arial" w:hAnsi="arial" w:cs="arial"/>
          <w:i/>
          <w:color w:val="000000"/>
          <w:sz w:val="20"/>
          <w:lang w:val="en-US" w:eastAsia="en-US" w:bidi="ar-SA"/>
        </w:rPr>
        <w:t>R. v. Sweeney</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2003 MBCA 46</w:t>
        </w:r>
      </w:hyperlink>
      <w:r>
        <w:rPr>
          <w:rFonts w:ascii="arial" w:eastAsia="arial" w:hAnsi="arial" w:cs="arial"/>
          <w:color w:val="000000"/>
          <w:sz w:val="20"/>
          <w:lang w:val="en-US" w:eastAsia="en-US" w:bidi="ar-SA"/>
        </w:rPr>
        <w:t xml:space="preserve"> at para. 8, the Manitoba Court of Appeal similarly held that "because bodily harm [was] necessarily included in three of the four ways an aggravated assault can be committed: wounding, maiming, or disfiguring", "assault causing bodily harm and simple assault are both included offences ... [if the indictment charged is] a general, unparticularized [one]. Further, the indictment cannot include 'aggravated assault endangering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 v. 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Neither </w:t>
      </w:r>
      <w:r>
        <w:rPr>
          <w:rFonts w:ascii="arial" w:eastAsia="arial" w:hAnsi="arial" w:cs="arial"/>
          <w:i/>
          <w:color w:val="000000"/>
          <w:sz w:val="20"/>
          <w:lang w:val="en-US" w:eastAsia="en-US" w:bidi="ar-SA"/>
        </w:rPr>
        <w:t>Blackwell</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McConnell</w:t>
      </w:r>
      <w:r>
        <w:rPr>
          <w:rFonts w:ascii="arial" w:eastAsia="arial" w:hAnsi="arial" w:cs="arial"/>
          <w:color w:val="000000"/>
          <w:sz w:val="20"/>
          <w:lang w:val="en-US" w:eastAsia="en-US" w:bidi="ar-SA"/>
        </w:rPr>
        <w:t xml:space="preserve"> are authoritative in this province on the question of whether objective foreseeability is required in cases of assault causing bodily harm. The still leading appellate authority in B.C. on the essential elements of assault causing bodily harm is </w:t>
      </w:r>
      <w:r>
        <w:rPr>
          <w:rFonts w:ascii="arial" w:eastAsia="arial" w:hAnsi="arial" w:cs="arial"/>
          <w:i/>
          <w:color w:val="000000"/>
          <w:sz w:val="20"/>
          <w:lang w:val="en-US" w:eastAsia="en-US" w:bidi="ar-SA"/>
        </w:rPr>
        <w:t>R. v. Brooks</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(1988), 41 C.C.C. (3d) 157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which has not been overturned. At para. 12 of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the court, having looked to </w:t>
      </w:r>
      <w:r>
        <w:rPr>
          <w:rFonts w:ascii="arial" w:eastAsia="arial" w:hAnsi="arial" w:cs="arial"/>
          <w:i/>
          <w:color w:val="000000"/>
          <w:sz w:val="20"/>
          <w:lang w:val="en-US" w:eastAsia="en-US" w:bidi="ar-SA"/>
        </w:rPr>
        <w:t>R. v. Martell,</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[1977] B.C.J. No. 881</w:t>
        </w:r>
      </w:hyperlink>
      <w:r>
        <w:rPr>
          <w:rFonts w:ascii="arial" w:eastAsia="arial" w:hAnsi="arial" w:cs="arial"/>
          <w:color w:val="000000"/>
          <w:sz w:val="20"/>
          <w:lang w:val="en-US" w:eastAsia="en-US" w:bidi="ar-SA"/>
        </w:rPr>
        <w:t xml:space="preserve"> (C.A.), concluded foreseeability of harm was not required for conviction. The court first quoted this (first para.) from the appellant's factum:</w:t>
      </w:r>
      <w:r>
        <w:rPr>
          <w:rFonts w:ascii="arial" w:eastAsia="arial" w:hAnsi="arial" w:cs="arial"/>
          <w:sz w:val="20"/>
          <w:lang w:val="en-US" w:eastAsia="en-US" w:bidi="ar-SA"/>
        </w:rPr>
        <w:cr/>
      </w:r>
    </w:p>
    <w:p>
      <w:pPr>
        <w:numPr>
          <w:numId w:val="1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respectfully submitted that in a case of this type, the learned trial judge should consider the elements of risk, intention, and foreseeability of the consequences of one's actions. Such a question as whether a person who confronts someone in a median would expect that they would be hit by a vehicle, would properly be considered. Whether the accused intended an assault and could reasonably foresee the results of an assault, having not intended bodily harm, should be properly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the submission is that the judge erred in law by not considering these matters. But the argument, in my opinion, is not sustainable in view of the decision of this Court in R. v. Martel ... That was the appeal of a conviction for assault causing bodily harm. The appellant contended at trial that the assault causing bodily harm could only be established if he, the accused, could be expected to have foreseen the result of his assault. He contended that reasonable foreseeability that harm will occur as a result of an assault is a necessary element of the offence of assault causing bodily harm. Chief Justice Farris, in reasons concurred in by Bull and Branca JJ.A. said at p. 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here there is no question that the appellant committed the assault, had the intention to commit the assault and that it caused bodily harm. In my view, all the elements of the offence are thereby made out.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Model Jury Instructions cautions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Model Jury Instructions</w:t>
      </w:r>
      <w:r>
        <w:rPr>
          <w:rFonts w:ascii="arial" w:eastAsia="arial" w:hAnsi="arial" w:cs="arial"/>
          <w:color w:val="000000"/>
          <w:sz w:val="20"/>
          <w:lang w:val="en-US" w:eastAsia="en-US" w:bidi="ar-SA"/>
        </w:rPr>
        <w:t xml:space="preserve"> produced by the Canadian Judicial Council and the </w:t>
      </w:r>
      <w:r>
        <w:rPr>
          <w:rFonts w:ascii="arial" w:eastAsia="arial" w:hAnsi="arial" w:cs="arial"/>
          <w:i/>
          <w:color w:val="000000"/>
          <w:sz w:val="20"/>
          <w:lang w:val="en-US" w:eastAsia="en-US" w:bidi="ar-SA"/>
        </w:rPr>
        <w:t>Canadian Criminal Jury Instructions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CRIMJI</w:t>
      </w:r>
      <w:r>
        <w:rPr>
          <w:rFonts w:ascii="arial" w:eastAsia="arial" w:hAnsi="arial" w:cs="arial"/>
          <w:color w:val="000000"/>
          <w:sz w:val="20"/>
          <w:lang w:val="en-US" w:eastAsia="en-US" w:bidi="ar-SA"/>
        </w:rPr>
        <w:t xml:space="preserve">"), 4th ed. (Vancouver: Continuing Legal Education Society of British Columbia, 2014), both recommend that judges in British Columbia instructing a jury on assault causing bodily harm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include instructions requiring the jury to find objective foreseeability of the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CRIMJI Commentary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following commentary in the </w:t>
      </w:r>
      <w:r>
        <w:rPr>
          <w:rFonts w:ascii="arial" w:eastAsia="arial" w:hAnsi="arial" w:cs="arial"/>
          <w:i/>
          <w:color w:val="000000"/>
          <w:sz w:val="20"/>
          <w:lang w:val="en-US" w:eastAsia="en-US" w:bidi="ar-SA"/>
        </w:rPr>
        <w:t>CRIMJI</w:t>
      </w:r>
      <w:r>
        <w:rPr>
          <w:rFonts w:ascii="arial" w:eastAsia="arial" w:hAnsi="arial" w:cs="arial"/>
          <w:color w:val="000000"/>
          <w:sz w:val="20"/>
          <w:lang w:val="en-US" w:eastAsia="en-US" w:bidi="ar-SA"/>
        </w:rPr>
        <w:t xml:space="preserve"> at 6.08 - 58 cautions that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may remain good authority in this province and suggests the safest route to follow is Sopinka J.'s dicta in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 v. Brooks ...</w:t>
      </w:r>
      <w:r>
        <w:rPr>
          <w:rFonts w:ascii="arial" w:eastAsia="arial" w:hAnsi="arial" w:cs="arial"/>
          <w:color w:val="000000"/>
          <w:sz w:val="20"/>
          <w:lang w:val="en-US" w:eastAsia="en-US" w:bidi="ar-SA"/>
        </w:rPr>
        <w:t xml:space="preserve"> the Court followed </w:t>
      </w:r>
      <w:r>
        <w:rPr>
          <w:rFonts w:ascii="arial" w:eastAsia="arial" w:hAnsi="arial" w:cs="arial"/>
          <w:i/>
          <w:color w:val="000000"/>
          <w:sz w:val="20"/>
          <w:lang w:val="en-US" w:eastAsia="en-US" w:bidi="ar-SA"/>
        </w:rPr>
        <w:t>R. v. Martell</w:t>
      </w:r>
      <w:r>
        <w:rPr>
          <w:rFonts w:ascii="arial" w:eastAsia="arial" w:hAnsi="arial" w:cs="arial"/>
          <w:color w:val="000000"/>
          <w:sz w:val="20"/>
          <w:lang w:val="en-US" w:eastAsia="en-US" w:bidi="ar-SA"/>
        </w:rPr>
        <w:t xml:space="preserve"> ... and held that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assault causing bodily harm was simply the intent to assault, and there was no additional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requirement of either intending bodily harm or of objective foreseeability of bodily harm. It could be argued that McLachlan J., for the majority of the Supreme Court in </w:t>
      </w:r>
      <w:r>
        <w:rPr>
          <w:rFonts w:ascii="arial" w:eastAsia="arial" w:hAnsi="arial" w:cs="arial"/>
          <w:i/>
          <w:color w:val="000000"/>
          <w:sz w:val="20"/>
          <w:lang w:val="en-US" w:eastAsia="en-US" w:bidi="ar-SA"/>
        </w:rPr>
        <w:t>Creighton</w:t>
      </w:r>
      <w:r>
        <w:rPr>
          <w:rFonts w:ascii="arial" w:eastAsia="arial" w:hAnsi="arial" w:cs="arial"/>
          <w:color w:val="000000"/>
          <w:sz w:val="20"/>
          <w:lang w:val="en-US" w:eastAsia="en-US" w:bidi="ar-SA"/>
        </w:rPr>
        <w:t xml:space="preserve">, approved of that holding in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since she cited with approval a closely related passage from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and did not adversely comment on the above holding in </w:t>
      </w:r>
      <w:r>
        <w:rPr>
          <w:rFonts w:ascii="arial" w:eastAsia="arial" w:hAnsi="arial" w:cs="arial"/>
          <w:i/>
          <w:color w:val="000000"/>
          <w:sz w:val="20"/>
          <w:lang w:val="en-US" w:eastAsia="en-US" w:bidi="ar-SA"/>
        </w:rPr>
        <w:t>Brooks.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learned </w:t>
      </w:r>
      <w:r>
        <w:rPr>
          <w:rFonts w:ascii="arial" w:eastAsia="arial" w:hAnsi="arial" w:cs="arial"/>
          <w:i/>
          <w:color w:val="000000"/>
          <w:sz w:val="20"/>
          <w:lang w:val="en-US" w:eastAsia="en-US" w:bidi="ar-SA"/>
        </w:rPr>
        <w:t>CRIMJI</w:t>
      </w:r>
      <w:r>
        <w:rPr>
          <w:rFonts w:ascii="arial" w:eastAsia="arial" w:hAnsi="arial" w:cs="arial"/>
          <w:color w:val="000000"/>
          <w:sz w:val="20"/>
          <w:lang w:val="en-US" w:eastAsia="en-US" w:bidi="ar-SA"/>
        </w:rPr>
        <w:t xml:space="preserve"> editors made the following comments regarding Sopinka J.'s two dictas in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xml:space="preserve">, "that objective foresight of bodily harm ... [was] a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ingredient [for] the [s. 269] offence of unlawfully causing bodily harm"; and that "objective foresight of bodily harm [was] not a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ingredient [for the s. 267(b) offence] of assault causing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Logically one might expect that if objective foresight of bodily harm [s. 269] is a necessary </w:t>
      </w:r>
      <w:r>
        <w:rPr>
          <w:rFonts w:ascii="arial" w:eastAsia="arial" w:hAnsi="arial" w:cs="arial"/>
          <w:i/>
          <w:color w:val="000000"/>
          <w:sz w:val="20"/>
          <w:lang w:val="en-US" w:eastAsia="en-US" w:bidi="ar-SA"/>
        </w:rPr>
        <w:t>mens reas</w:t>
      </w:r>
      <w:r>
        <w:rPr>
          <w:rFonts w:ascii="arial" w:eastAsia="arial" w:hAnsi="arial" w:cs="arial"/>
          <w:color w:val="000000"/>
          <w:sz w:val="20"/>
          <w:lang w:val="en-US" w:eastAsia="en-US" w:bidi="ar-SA"/>
        </w:rPr>
        <w:t xml:space="preserve"> ingredient of unlawfully causing bodily harm, then it ought also to be a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ingredient of assault causing bodily harm under s. 267(b). [6.08 - 58;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editors then query whether Sopinka J.'s dicta in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xml:space="preserve"> is correct in light of </w:t>
      </w:r>
      <w:r>
        <w:rPr>
          <w:rFonts w:ascii="arial" w:eastAsia="arial" w:hAnsi="arial" w:cs="arial"/>
          <w:i/>
          <w:color w:val="000000"/>
          <w:sz w:val="20"/>
          <w:lang w:val="en-US" w:eastAsia="en-US" w:bidi="ar-SA"/>
        </w:rPr>
        <w:t>Creighton</w:t>
      </w:r>
      <w:r>
        <w:rPr>
          <w:rFonts w:ascii="arial" w:eastAsia="arial" w:hAnsi="arial" w:cs="arial"/>
          <w:color w:val="000000"/>
          <w:sz w:val="20"/>
          <w:lang w:val="en-US" w:eastAsia="en-US" w:bidi="ar-SA"/>
        </w:rPr>
        <w:t xml:space="preserve">, which held that objective foreseeability of harm was an essential ingredient of the offence of manslaughter, and in light of </w:t>
      </w:r>
      <w:r>
        <w:rPr>
          <w:rFonts w:ascii="arial" w:eastAsia="arial" w:hAnsi="arial" w:cs="arial"/>
          <w:i/>
          <w:color w:val="000000"/>
          <w:sz w:val="20"/>
          <w:lang w:val="en-US" w:eastAsia="en-US" w:bidi="ar-SA"/>
        </w:rPr>
        <w:t>Godin,</w:t>
      </w:r>
      <w:r>
        <w:rPr>
          <w:rFonts w:ascii="arial" w:eastAsia="arial" w:hAnsi="arial" w:cs="arial"/>
          <w:color w:val="000000"/>
          <w:sz w:val="20"/>
          <w:lang w:val="en-US" w:eastAsia="en-US" w:bidi="ar-SA"/>
        </w:rPr>
        <w:t xml:space="preserve"> which held objective foresight of bodily harm is a required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s. 268, aggravated assault. It is worth noting, as did the editors of </w:t>
      </w:r>
      <w:r>
        <w:rPr>
          <w:rFonts w:ascii="arial" w:eastAsia="arial" w:hAnsi="arial" w:cs="arial"/>
          <w:i/>
          <w:color w:val="000000"/>
          <w:sz w:val="20"/>
          <w:lang w:val="en-US" w:eastAsia="en-US" w:bidi="ar-SA"/>
        </w:rPr>
        <w:t>CRIMJI</w:t>
      </w:r>
      <w:r>
        <w:rPr>
          <w:rFonts w:ascii="arial" w:eastAsia="arial" w:hAnsi="arial" w:cs="arial"/>
          <w:color w:val="000000"/>
          <w:sz w:val="20"/>
          <w:lang w:val="en-US" w:eastAsia="en-US" w:bidi="ar-SA"/>
        </w:rPr>
        <w:t>, that the wording of s. 268 includes as an element of the offence the specific bodily harm the accused's actions caused, in other words, their consequences [at 6.08 - 59].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As for s. 267(b), while the assault's consequence of bodily harm has to be proven, as Sopinka J. noted, the complainant's bodily harm formed the basis on which the </w:t>
      </w:r>
      <w:r>
        <w:rPr>
          <w:rFonts w:ascii="arial" w:eastAsia="arial" w:hAnsi="arial" w:cs="arial"/>
          <w:color w:val="000000"/>
          <w:sz w:val="20"/>
          <w:u w:val="single"/>
          <w:lang w:val="en-US" w:eastAsia="en-US" w:bidi="ar-SA"/>
        </w:rPr>
        <w:t>assault becomes classified as a more serious offence than common assault</w:t>
      </w:r>
      <w:r>
        <w:rPr>
          <w:rFonts w:ascii="arial" w:eastAsia="arial" w:hAnsi="arial" w:cs="arial"/>
          <w:color w:val="000000"/>
          <w:sz w:val="20"/>
          <w:lang w:val="en-US" w:eastAsia="en-US" w:bidi="ar-SA"/>
        </w:rPr>
        <w:t>. It is also noteworthy that s. 269 addresses bodily harm caused by any act unlawful as a federal or provincial offence, thus encompassing any objectively dangerous unlawful act, not just assault, that is likely to subject another person to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Further in this vein, the core of Sopinka J.'s dicta in DeSousa that objective foreseeability of harm is not a required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the offence of assault causing bodily harm (and some other similar offences) finds clearest voice in his statement at para. 33, "provided that the actor is </w:t>
      </w:r>
      <w:r>
        <w:rPr>
          <w:rFonts w:ascii="arial" w:eastAsia="arial" w:hAnsi="arial" w:cs="arial"/>
          <w:color w:val="000000"/>
          <w:sz w:val="20"/>
          <w:u w:val="single"/>
          <w:lang w:val="en-US" w:eastAsia="en-US" w:bidi="ar-SA"/>
        </w:rPr>
        <w:t>already engaged in a culpable activity</w:t>
      </w:r>
      <w:r>
        <w:rPr>
          <w:rFonts w:ascii="arial" w:eastAsia="arial" w:hAnsi="arial" w:cs="arial"/>
          <w:color w:val="000000"/>
          <w:sz w:val="20"/>
          <w:lang w:val="en-US" w:eastAsia="en-US" w:bidi="ar-SA"/>
        </w:rPr>
        <w:t xml:space="preserve">, foresight of consequences is not required in order to hold that actor responsible for the results of his or her unlawful activity." I note that for assault causing bodily harm, the culpable activity is the assault, whose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carries with it a specific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related to the actor's intentions; and that the causing of non-trivial bodily harm only indexes the assault as a more serious class of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Further in this vein, the editors of </w:t>
      </w:r>
      <w:r>
        <w:rPr>
          <w:rFonts w:ascii="arial" w:eastAsia="arial" w:hAnsi="arial" w:cs="arial"/>
          <w:i/>
          <w:color w:val="000000"/>
          <w:sz w:val="20"/>
          <w:lang w:val="en-US" w:eastAsia="en-US" w:bidi="ar-SA"/>
        </w:rPr>
        <w:t>CRIMJI</w:t>
      </w:r>
      <w:r>
        <w:rPr>
          <w:rFonts w:ascii="arial" w:eastAsia="arial" w:hAnsi="arial" w:cs="arial"/>
          <w:color w:val="000000"/>
          <w:sz w:val="20"/>
          <w:lang w:val="en-US" w:eastAsia="en-US" w:bidi="ar-SA"/>
        </w:rPr>
        <w:t xml:space="preserve"> point out at 6.08 - 59 that in </w:t>
      </w:r>
      <w:r>
        <w:rPr>
          <w:rFonts w:ascii="arial" w:eastAsia="arial" w:hAnsi="arial" w:cs="arial"/>
          <w:i/>
          <w:color w:val="000000"/>
          <w:sz w:val="20"/>
          <w:lang w:val="en-US" w:eastAsia="en-US" w:bidi="ar-SA"/>
        </w:rPr>
        <w:t>Creighton,</w:t>
      </w:r>
      <w:r>
        <w:rPr>
          <w:rFonts w:ascii="arial" w:eastAsia="arial" w:hAnsi="arial" w:cs="arial"/>
          <w:color w:val="000000"/>
          <w:sz w:val="20"/>
          <w:lang w:val="en-US" w:eastAsia="en-US" w:bidi="ar-SA"/>
        </w:rPr>
        <w:t xml:space="preserve"> McLachlin J. may have approved of the B.C. Court of Appeal holding in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because she cited a closely related passage from it without negative comment on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rejection of an objective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foreseeability of harm for assault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was this foregoing uncertainty that the foregoing led the </w:t>
      </w:r>
      <w:r>
        <w:rPr>
          <w:rFonts w:ascii="arial" w:eastAsia="arial" w:hAnsi="arial" w:cs="arial"/>
          <w:i/>
          <w:color w:val="000000"/>
          <w:sz w:val="20"/>
          <w:lang w:val="en-US" w:eastAsia="en-US" w:bidi="ar-SA"/>
        </w:rPr>
        <w:t>CRIMJI</w:t>
      </w:r>
      <w:r>
        <w:rPr>
          <w:rFonts w:ascii="arial" w:eastAsia="arial" w:hAnsi="arial" w:cs="arial"/>
          <w:color w:val="000000"/>
          <w:sz w:val="20"/>
          <w:lang w:val="en-US" w:eastAsia="en-US" w:bidi="ar-SA"/>
        </w:rPr>
        <w:t xml:space="preserve"> editors to recommend the safest route was to follow the dicta in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and that until the Court of Appeal decides the question, to instruct a jury objective foresight of harm is not an essential ingredient of s. 267(b)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Lastly, I note in passing that if assault causing bodily harm is an included offence of aggravated assault, as noted earlier, the finding in </w:t>
      </w:r>
      <w:r>
        <w:rPr>
          <w:rFonts w:ascii="arial" w:eastAsia="arial" w:hAnsi="arial" w:cs="arial"/>
          <w:i/>
          <w:color w:val="000000"/>
          <w:sz w:val="20"/>
          <w:lang w:val="en-US" w:eastAsia="en-US" w:bidi="ar-SA"/>
        </w:rPr>
        <w:t>Godin</w:t>
      </w:r>
      <w:r>
        <w:rPr>
          <w:rFonts w:ascii="arial" w:eastAsia="arial" w:hAnsi="arial" w:cs="arial"/>
          <w:color w:val="000000"/>
          <w:sz w:val="20"/>
          <w:lang w:val="en-US" w:eastAsia="en-US" w:bidi="ar-SA"/>
        </w:rPr>
        <w:t xml:space="preserve"> that objective foreseeability of risk of the injuries is a required element of aggravated assault gives rise to the question of whether, logically, the same must be found for assault causing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is objective mens 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Considering the forgoing, I conclude the safest instruction is that objective foreseeability of bodily harm is not required for conviction of assault causing bodily harm. The appellant's formal position is that it is not a required element. Considering the uncertainty, however, and to give the respondent the benefit of that doubt, the appellant was content to have the court assume that objective foreseeability of the risk of harm is required for conviction of assault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Assuming objective foreseeability of non-trivial bodily harm is required, helpful are the distinctions drawn between an objective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and a subjective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by McLaughlin J. at paras. 110 - 111 of </w:t>
      </w:r>
      <w:r>
        <w:rPr>
          <w:rFonts w:ascii="arial" w:eastAsia="arial" w:hAnsi="arial" w:cs="arial"/>
          <w:i/>
          <w:color w:val="000000"/>
          <w:sz w:val="20"/>
          <w:lang w:val="en-US" w:eastAsia="en-US" w:bidi="ar-SA"/>
        </w:rPr>
        <w:t>Creighton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[110] ... Subjective mens rea requires that the accused have intended the consequences of his or her acts, or that knowing of the probable consequence of those acts, the accused have proceeded recklessly in the face of the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Objective mens rea, on the other hand, is not concerned with what the accused intended to do or knew. Rather, the mental fault lies in failure to direct the mind to risk which the reasonable person would have appreciated. Objective mens rea is not concerned with what was actually in the accused's mind, but with what should have been there, had the accused proceeded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ON THE FIRST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Assuming an objective standard of foreseeability applies, I agree with the appellant that notwithstanding the presence of the words 'objectively' and 'reasonably' in the reasons, the trial judge implicitly applied a subjective test of foreseeability, at best, a modified objective test; i.e. whether the respondent foresaw harm to Mr. Gettle, were he to smash him in the cheek with his fist, versus smashing him in the cheek with a weapon, in this case, the flashlight in his punching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trial judge asked, "Does somebody objectively or reasonably foresee harm to another person if they smash him in the cheek with their fist, versus smashing him in the cheek with a weapon?", which, given the trial judge's finding of a reasonable doubt on whether the respondent knew he had the flashlight in his hand when he struck the complainant, reflects the trial judge's concern with whether </w:t>
      </w:r>
      <w:r>
        <w:rPr>
          <w:rFonts w:ascii="arial" w:eastAsia="arial" w:hAnsi="arial" w:cs="arial"/>
          <w:color w:val="000000"/>
          <w:sz w:val="20"/>
          <w:u w:val="single"/>
          <w:lang w:val="en-US" w:eastAsia="en-US" w:bidi="ar-SA"/>
        </w:rPr>
        <w:t>the respondent</w:t>
      </w:r>
      <w:r>
        <w:rPr>
          <w:rFonts w:ascii="arial" w:eastAsia="arial" w:hAnsi="arial" w:cs="arial"/>
          <w:color w:val="000000"/>
          <w:sz w:val="20"/>
          <w:lang w:val="en-US" w:eastAsia="en-US" w:bidi="ar-SA"/>
        </w:rPr>
        <w:t xml:space="preserve"> had foreseen the risk of bodily harm to Mr. Gettle if he smashed him in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But as McLachlin J. explained above, "the mental fault lies in failure to direct the mind to a risk which the reasonable person would have appreciated. Objective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is not concerned with what was actually in the accused's mind, but with what should have been there, had the accused proceeded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trial judge also stated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...There is no doubt in my mind that, objectively, if you put a flashlight made of steel in your fist and you hit somebody in the face with it, that objectively there is the foreseeability of serious bodily harm. On the other hand, a punch to the face without having something in your hand or knowing that you have something in your hand, does not carry with it, in my view, the same objective foreseeability of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trial judge also stated at para. 33 that the respondent "did not have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because ... [he had] doubt in concluding that he knew he had that flashlight in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my respectful opinion, it did not matter what the respondent intended or knew about the flashlight in this case, except with respect to the assault with a weapon count. Objective foreseeability of harm is not concerned with what the accused intended to do or knew at the time. Rather, as McLachlin J. stated, an analysis of objective risk is what should have been in the accused's mind, had the accused proceeded reasonably, the mental fault lying in the failure to direct the mind to risk of bodily harm, in this case from a punch to the complainant's face, which the reasonable person would have appreciated.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find the trial judge erred in law in applying what was effectively a subjective test for the foreseeability of harm. Alternatively, he failed to apply, or to the extent that he applied it, did so incorrectly,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for objective foreseeability of the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coming to this conclusion, I was mindful the trial judge was giving oral reasons from the bench in a busy court and is not expected to deliver crafted sentences, extensive analysis of the law, etc. But, I am not persuaded by the respondent's submissions in support of his contention that the trial judge based his acquittal on a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of objective foreseeability of bodily harm rather than on a subjective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noted earlier, considering, in tandem,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and Sopinka J.'s dicta in </w:t>
      </w:r>
      <w:r>
        <w:rPr>
          <w:rFonts w:ascii="arial" w:eastAsia="arial" w:hAnsi="arial" w:cs="arial"/>
          <w:i/>
          <w:color w:val="000000"/>
          <w:sz w:val="20"/>
          <w:lang w:val="en-US" w:eastAsia="en-US" w:bidi="ar-SA"/>
        </w:rPr>
        <w:t>DeSousa</w:t>
      </w:r>
      <w:r>
        <w:rPr>
          <w:rFonts w:ascii="arial" w:eastAsia="arial" w:hAnsi="arial" w:cs="arial"/>
          <w:color w:val="000000"/>
          <w:sz w:val="20"/>
          <w:lang w:val="en-US" w:eastAsia="en-US" w:bidi="ar-SA"/>
        </w:rPr>
        <w:t>, until the Court of Appeal determines otherwise, objective foreseeability of a risk of harm is not required for conviction of assault causing bodily harm in this province. On that basis, alone, the respondent's acquittal of assault causing bodily harm would be reversible. However, assuming a requirement of objective foreseeability of bodily harm, the respondent was still wrongly acquitted.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answer to questions 1 and 2 of the issues is yes, the trial judge did err in incorporating subjective foreseeability into the elements of the offence of assault causing bodily harm; and the answer to question 3 is even that assuming objective foreseeability of bodily harm by the accused's actions is required, the trial judge erred in his application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TRIAL JUDGE ERR IN HOLDING THAT PUNCHING THE FACE DOES NOT CARRY WITH IT AN OBJECTIVE RISK OF FORESEEABILITY OF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appellant also succeeds on this fifth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respondent submitted, on one hand that the question of whether punching someone in the face without a weapon carries with it an objective foreseeability of harm that without medical evidence is an abstract exercise; and, on the other hand, that the trial judge saw the video recording of the assault and so was in a position to determine the nature of the punch and the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reasons say nothing about the trial judge's specific observations in that regard, but his characterization of the application of force as "a whack", "a smash" and a "punch", is noteworthy. The focus of the reasons regarding the application of force and the foreseeability of harm seemed to be centred on a comparison of the level of risk from a punch with a fist that had a flashlight rolled up in the hand, versus a bare fist.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trial judge stated at para. 33 [Crown counsel points out also], that some other provinces add an objective foreseeability of harm and, where that comes in is, does somebody objectively or reasonably foresee harm to another person if they smash him in the cheek with their fist versus smashing him in the cheek with a weapon?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There is no doubt in my mind that, objectively, if you put a flashlight made of steel in your fist and you hit somebody in the face with it, that objectively there is the foreseeability of serious bodily harm. On the other hand, a punch to the face without having something in your hand, or knowing that you have something in your hand, does not carry with it, in my view, the same objective foreseeability of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issue was not whether punching the complainant's face with a four-inch metal flashlight clenched inside a fist created a greater risk of bodily harm than a bare fist without the flashlight clenched inside the fist. The trial judge's comparison of degrees of risk did not address the question of whether a clenched fist punched in the complainant's face objectively posed a risk of bodily harm to him (assuming objective foreseeability is a necessary element of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trial judge found a reasonable doubt on whether the respondent knew he had a flashlight inside his clenched fist, (which he did) when he punched the complainant and acquitted him of assault with a weapon. That acquittal is not in issue on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known presence of a flashlight might objectively increase the foreseeability of the risk of bodily harm, but it does not conversely diminish the objective foreseeability of the risk of bodily harm from a punch to the face with a closed fist.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respondent submitted that there was no evidence, medical evidence, for example, that countered the trial judge's conclusion. Again, the difficulty is that the trial judge's reasons do not directly address the objective foreseeability of the risk of bodily harm from punching or smashing someone in the face with a closed fist, irrespective of any flashlight.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words the trial judge used to describe the punch bespeak the risk of bodily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in other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reject the respondent's submission that medical or other evidence would be necessary to assail the trial judge's findings related to the objective foreseeability of risk of bodily harm posed by an adult male's closed-fisted punch to the face of another adult male.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trial judge did not actually state a punch to the face does not objectively pose a risk of bodily harm. Therefore, there is no strict finding of fact on this question, and due deference is not warranted: </w:t>
      </w:r>
      <w:r>
        <w:rPr>
          <w:rFonts w:ascii="arial" w:eastAsia="arial" w:hAnsi="arial" w:cs="arial"/>
          <w:i/>
          <w:color w:val="000000"/>
          <w:sz w:val="20"/>
          <w:lang w:val="en-US" w:eastAsia="en-US" w:bidi="ar-SA"/>
        </w:rPr>
        <w:t>Winskowski v. Coldstream (District)</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[1997] B.C.J. No. 2767</w:t>
        </w:r>
      </w:hyperlink>
      <w:r>
        <w:rPr>
          <w:rFonts w:ascii="arial" w:eastAsia="arial" w:hAnsi="arial" w:cs="arial"/>
          <w:color w:val="000000"/>
          <w:sz w:val="20"/>
          <w:lang w:val="en-US" w:eastAsia="en-US" w:bidi="ar-SA"/>
        </w:rPr>
        <w:t xml:space="preserve"> (C.A.)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Numerous judges have stated that the risk of bodily harm is objectively foreseeable whenever a person closes their fist and administers a forceful blow to a person's head or face. In </w:t>
      </w:r>
      <w:r>
        <w:rPr>
          <w:rFonts w:ascii="arial" w:eastAsia="arial" w:hAnsi="arial" w:cs="arial"/>
          <w:i/>
          <w:color w:val="000000"/>
          <w:sz w:val="20"/>
          <w:lang w:val="en-US" w:eastAsia="en-US" w:bidi="ar-SA"/>
        </w:rPr>
        <w:t>R. v. S.K.</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2009 ONCJ 452</w:t>
        </w:r>
      </w:hyperlink>
      <w:r>
        <w:rPr>
          <w:rFonts w:ascii="arial" w:eastAsia="arial" w:hAnsi="arial" w:cs="arial"/>
          <w:color w:val="000000"/>
          <w:sz w:val="20"/>
          <w:lang w:val="en-US" w:eastAsia="en-US" w:bidi="ar-SA"/>
        </w:rPr>
        <w:t xml:space="preserve"> at para. 133, Kastner J. distilled the essence of the judicial conclusions made reached other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 The reasonable person reasonably expects that closed fists can hurt someone, especially if applied to the head; in particular, the temple area. Fists are "not insignificant weapons, and fist fights often end in serious injury or death" [</w:t>
      </w:r>
      <w:r>
        <w:rPr>
          <w:rFonts w:ascii="arial" w:eastAsia="arial" w:hAnsi="arial" w:cs="arial"/>
          <w:i/>
          <w:color w:val="000000"/>
          <w:sz w:val="20"/>
          <w:lang w:val="en-US" w:eastAsia="en-US" w:bidi="ar-SA"/>
        </w:rPr>
        <w:t>R. v. Carriere</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(1987), 56 C.R. (3d) 257</w:t>
        </w:r>
      </w:hyperlink>
      <w:r>
        <w:rPr>
          <w:rFonts w:ascii="arial" w:eastAsia="arial" w:hAnsi="arial" w:cs="arial"/>
          <w:color w:val="000000"/>
          <w:sz w:val="20"/>
          <w:lang w:val="en-US" w:eastAsia="en-US" w:bidi="ar-SA"/>
        </w:rPr>
        <w:t xml:space="preserve"> (Alta.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Although this case is not precedential, there is no reason to disagree with its common sense statement. This was not a consensual fight, with blows being exchanged that then exceeded legal bonds. The complainant was just standing there, swaying, hands in his pocket. Naturally the risk of harm would vary depending on the sex, age, stature, health, physical condition, and previous medical condition of the complainant, but it is not subjective foreknowledge of all such details, or objective foreseeability of a particular consequence of the assault that is the test, rather foreseeability of the risk of non-trivial bodily harm posed by a punch with a closed fist to a person's face and head. This becomes a matter of human experience and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following cases relied on by the respondent do not assist him: </w:t>
      </w:r>
      <w:r>
        <w:rPr>
          <w:rFonts w:ascii="arial" w:eastAsia="arial" w:hAnsi="arial" w:cs="arial"/>
          <w:i/>
          <w:color w:val="000000"/>
          <w:sz w:val="20"/>
          <w:lang w:val="en-US" w:eastAsia="en-US" w:bidi="ar-SA"/>
        </w:rPr>
        <w:t>R. v. Gibson,</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2003 BCSC 538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Groot,</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[1998] O.J. No. 3674</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standard of review for questions of mixed fact and law is explained in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at paras. 26 and 33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findings of fact in this case, including whether the respondent was clenching the flashlight in his hand, his awareness of it when he assaulted the complainant, and his acquittal of the assault with a weapon charge, are not in question. Findings related to the s. 34 and s. 35 issues and to the assault are also not in issue; and the bodily harm the assault caused was an admitted fact. A question of palpable and overriding error on material questions of fact or factual inferences is not at hand, rather the trial judge's application of a legal standard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question of whether the respondent's actions met the appropriate standard of care is one of mixed fact and law.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at para. 33.] Once the facts have been established without overriding and palpable error, a question of whether the accused satisfied the appropriate standard of care is reviewable on a standard of correctness.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at para. 33.] If the decision maker applied the wrong law, or if an erroneous finding of the trial judge can be traced to their error in characterizing the legal standard, correctness is the standard of review, unless deference is required. [</w:t>
      </w:r>
      <w:r>
        <w:rPr>
          <w:rFonts w:ascii="arial" w:eastAsia="arial" w:hAnsi="arial" w:cs="arial"/>
          <w:i/>
          <w:color w:val="000000"/>
          <w:sz w:val="20"/>
          <w:lang w:val="en-US" w:eastAsia="en-US" w:bidi="ar-SA"/>
        </w:rPr>
        <w:t>Housen</w:t>
      </w:r>
      <w:r>
        <w:rPr>
          <w:rFonts w:ascii="arial" w:eastAsia="arial" w:hAnsi="arial" w:cs="arial"/>
          <w:color w:val="000000"/>
          <w:sz w:val="20"/>
          <w:lang w:val="en-US" w:eastAsia="en-US" w:bidi="ar-SA"/>
        </w:rPr>
        <w:t xml:space="preserve"> at paras. 27 and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correctness is the appropriate standard of review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question of whether a bare-fisted punch to the face did not create a foreseeable risk of bodily harm to the complainant is one of fact; but as discussed above, the correct legal principle was not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appellant submits that the appropriate remedy in this case is to overturn the respondent's acquittal on the offence of assault causing bodily harm and to substitute it with a conviction for that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Section 686(4)(b)(ii)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requires that before I can substitute a conviction for an acquittal, I must have more than a reasonable degree of certainty that the trial judge's findings of fact, viewed in light of the applicable law, supported a conviction of assault causing bodily harm beyond a reasonable doubt, but for his error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Furthermore, given that the trial judge convicted the complainant of the included offence of common assault, it also being an accepted fact that the assault caused serious bodily harm, I find it was the errors made in application of the law of foreseeability of bodily harm that led to the respondent's acquittal, rather than conviction of assault causing bodily harm: </w:t>
      </w:r>
      <w:r>
        <w:rPr>
          <w:rFonts w:ascii="arial" w:eastAsia="arial" w:hAnsi="arial" w:cs="arial"/>
          <w:i/>
          <w:color w:val="000000"/>
          <w:sz w:val="20"/>
          <w:lang w:val="en-US" w:eastAsia="en-US" w:bidi="ar-SA"/>
        </w:rPr>
        <w:t>R. v. Graveline,</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2006 SCC 16</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R. v. McRae,</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2013 SCC 68</w:t>
        </w:r>
      </w:hyperlink>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Subjective foresight of bodily harm is not a necessary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requirement for assault causing bodily harm.</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discussed in these reasons, from a review of the authorities it appears objective foresight of bodily harm is a not a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requirement in British Columbia for the offence of assault causing bodily harm. However, this remains uncertain.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objective foreseeability of bodily harm is not a necessary element of the offence of assault causing bodily harm, all the necessary elements having been clearly established, the respondent's conviction of assault causing bodily harm would inevitably follow.</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appeal, the respondent was given the benefit of the doubt that objective foresight of bodily harm is an element of the offence of assault causing bodily harm.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erred in his analysis of foreseeability of bodily harm by incorporating subjective foreseeability.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did not correctly state or apply the law of objective foreseeability harm in his analysis.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objectively foreseeable the respondent's punch to the complainant's jaw posed a risk to him of bodily harm.</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in issue the respondent's application of force caused the complainant bodily harm.</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Errors the trial judge made in his application of the law of foreseeability of bodily harm led to the respondent's wrongful acquittal of assault causing bodily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trial judge's findings of fact, viewed in light of the applicable law, supported a conviction of assault causing bodily harm beyond a reasonable doubt.</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conviction for assault is set aside, his acquittal of assault causing bodily overturned, and he is convicted of assault causing bodily harm. Accordingly, he is set over for sentencing in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16,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last sentence of paragraph 5 of my reasons for judgment released March 9, 2016 (2016 BCSC 410), is corrected to remove subparagraph (a), and shall now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also acquitted the respondent of assault causing bodily harm in part because he found "a punch to the face without having something in your hand or knowing that you have something in your hand, does not carry with it the same objective foreseeability of bodily harm."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 w:history="1">
        <w:r>
          <w:rPr>
            <w:rFonts w:ascii="arial" w:eastAsia="arial" w:hAnsi="arial" w:cs="arial"/>
            <w:b/>
            <w:bCs/>
            <w:i/>
            <w:color w:val="0077CC"/>
            <w:kern w:val="32"/>
            <w:sz w:val="28"/>
            <w:szCs w:val="32"/>
            <w:u w:val="single"/>
            <w:shd w:val="clear" w:color="auto" w:fill="FFFFFF"/>
            <w:lang w:val="en-US" w:eastAsia="en-US" w:bidi="ar-SA"/>
          </w:rPr>
          <w:t>R. v. Tugnum, [2002] B.C.J. No. 2556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Smithers Registry No. 16174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2556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M.V.R. (4th) 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56 W.C.B. (2d) 686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respondent, and Daryl Michael Tugnum, appellant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 w:name="Keywords_1"/>
      <w:bookmarkEnd w:id="13"/>
      <w:r>
        <w:rPr>
          <w:rFonts w:ascii="arial" w:eastAsia="arial" w:hAnsi="arial" w:cs="arial"/>
          <w:b/>
          <w:color w:val="000000"/>
          <w:sz w:val="20"/>
          <w:lang w:val="en-US" w:eastAsia="en-US" w:bidi="ar-SA"/>
        </w:rPr>
        <w:t>Civil rights — Detention and imprisonment — Detention — What constitutes arbitrary detention — Civil rights — Canadian Charter of Rights and Freedoms — Denial of rights, remedies — Stay of proceedings.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 w:name="Case Summary_1"/>
            <w:bookmarkEnd w:id="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accused, Tugnum, from the dismissal of his application for a stay of proceedings. Tugnum was arrested and charged with impaired driving and with refusing to comply with a breathalyzer demand. He was detained for 10 hours at the police station. He was kept in the cells for five hours after the arresting officer and the officer in charge went home at the end of their shifts. The trial judge held that the detention was arbitrary, but declined to stay the proceedings.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 w:name="Holdings of Court_1"/>
            <w:bookmarkEnd w:id="15"/>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trial judge had erred in finding that there had been an arbitrary detention. The detention had been lawful and was not arbitrary, as the officer in charge had reason to believe that detaining Tugnum was in his and the public's best interests considering his intoxication. The trial judge's decision not to grant a stay of proceedings was correct.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 w:name="Legislation Cited_0"/>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ss. 9, 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ss. 495(2), 495(3), 497, 497(1.1), 497(1.1)(a), 497(1.1)(a)(iii), 497(3), 498, 498(1.1), 498(1.1)(a), 498(1.1)(a)(iii), 498(3), 498(3)(a), 498(3)(b), 503(1).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 w:name="Counsel_1"/>
      <w:bookmarkEnd w:id="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6"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T.D. Klassen, for the appellant. B.C. Fell, for the Crown.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 w:name="Judgment_1"/>
      <w:bookmarkEnd w:id="18"/>
      <w:r>
        <w:pict>
          <v:line id="_x0000_s1037"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 w:name="MACAULAY J."/>
            <w:bookmarkEnd w:id="19"/>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Sections 497 and 498 of the Criminal Code place obligations on an arresting officer and the officer in charge to release a person arrested for impaired driving or refusing, without reasonable excuse, to comply with a demand for a breath sample, unless the circumstances fit within one or more enumerated exceptions. If an officer fails to release an accused as soon as practicable in the manner described in the subsections, a previously lawful detention becomes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some circumstances, an unlawful detention becomes arbitrary contrary to the right of everyone under s. 9 of the Charter of Rights and Freedoms not to be arbitrarily detained. This appeal focuses primarily on the question of whether the trial judge, having found an arbitrary post-investigative detention, ought to have granted the remedy of a judicial stay of proceedings. It is also necessary to consider what constitutes an arbitrary post-investigative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my view, the trial judge was correct in declining to grant a stay of proceeding but incorrect in concluding that the detention was arbitrary in the first place. For the reasons that follow, the appeal by Mr. Tugnum is dismissed. I will set out the facts and then address first the correctness of the judge's finding that Tugnum was arbitrarily detained. In spite of my conclusion that the judge erred in so finding, I will then review the jurisprudence that has developed, particularly in the Provincial Court, respecting the appropriateness of a judicial stay as a remedy under s. 24(1) of the Charter upon a finding of an arbitrary post-investigative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relevant facts may be summarized from the reasons of the trial judge and the evidence as follows. At the conclusion of a voir dire, the trial judge found that a police officer had observed Tugnum at about 2:30 in the morning. The officer considered him impaired at the time but took no steps as Tugnum was in the care of two friends. About one-half hour later another officer observed Tugnum driving a vehicle erratically. He followed Tugnum to his home, arrested him with some difficulty and took him to the detachment office for a breathalyzer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about 4:28 a.m., after the administration of one breath test followed by Tugnum's refusal to provide a second sample of his breath, the officer placed him in cells where he remained until another officer released him at about 12:45 p.m. the same day. By that point, Tugnum had been detained for almost ten hours, of which he had spent about eight and one-quarter hours in cells to sober up following the conclusion of the investigation. The trial judge appeared to accept the Tugnum required at least eight hours to sober up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judge had little difficulty concluding that the initial placement in cells was lawful. Tugnum was sufficiently impaired that the investigating officer reasonably decided to continue the detention rather than release him, both for his own safety and the safety of the public. Section 497(1.1) directs that an officer "shall not release" an accused, if she or he "believes, on reasonable grounds":</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necessary in the public interest that the person be detained in custody or that the matter of their release from custody be dealt with under another provision of this Part, having regard to all the circumstances including the need to</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the continuation or repetition of the offence or the commission of another offence,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was ample evidence to support the initial finding by the trial judge. It follows that she must necessarily have excluded the first one and one-half hours of detention before Tugnum was placed in cells from her consideration of either an unlawful or arbitrary detention. That approach was correct in law and flows from the distinctions between lawful, unlawful and arbitrary detentions.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return to the findings of the trial judge shortly. Before doing so, I wish to set out what I believe to be the correct approach to the issues that she faced. Under s. 498, police officers have lawful authority to continue detaining a person where there are reasonable grounds to believe that it is necessary in the public interest. In the present case, the detention was lawful so long as either the officer or the officer in charge had reasonable grounds to believe that Tugnum was not yet sober enough to prevent either the repetition of the offence or the commission of another offence associated with drunkenness. Once the police no longer had reasonable grounds for such a belief, continuing detention would be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There is an important distinction, however, between an unlawful detention and an arbitrary one. An unlawful detention may not be arbitrary. The Ontario Court of Appeal provides a useful discussion of this distinction in the context of arrest in R. v. Duguay </w:t>
      </w:r>
      <w:hyperlink r:id="rId80" w:history="1">
        <w:r>
          <w:rPr>
            <w:rFonts w:ascii="arial" w:eastAsia="arial" w:hAnsi="arial" w:cs="arial"/>
            <w:i/>
            <w:color w:val="0077CC"/>
            <w:sz w:val="20"/>
            <w:u w:val="single"/>
            <w:shd w:val="clear" w:color="auto" w:fill="FFFFFF"/>
            <w:lang w:val="en-US" w:eastAsia="en-US" w:bidi="ar-SA"/>
          </w:rPr>
          <w:t>(1985), 18 C.C.C. (3d) 289</w:t>
        </w:r>
      </w:hyperlink>
      <w:r>
        <w:rPr>
          <w:rFonts w:ascii="arial" w:eastAsia="arial" w:hAnsi="arial" w:cs="arial"/>
          <w:color w:val="000000"/>
          <w:sz w:val="20"/>
          <w:lang w:val="en-US" w:eastAsia="en-US" w:bidi="ar-SA"/>
        </w:rPr>
        <w:t xml:space="preserve">; affirmed on other grounds </w:t>
      </w:r>
      <w:hyperlink r:id="rId81" w:history="1">
        <w:r>
          <w:rPr>
            <w:rFonts w:ascii="arial" w:eastAsia="arial" w:hAnsi="arial" w:cs="arial"/>
            <w:i/>
            <w:color w:val="0077CC"/>
            <w:sz w:val="20"/>
            <w:u w:val="single"/>
            <w:shd w:val="clear" w:color="auto" w:fill="FFFFFF"/>
            <w:lang w:val="en-US" w:eastAsia="en-US" w:bidi="ar-SA"/>
          </w:rPr>
          <w:t>46 C.C.C. (3d) 1</w:t>
        </w:r>
      </w:hyperlink>
      <w:r>
        <w:rPr>
          <w:rFonts w:ascii="arial" w:eastAsia="arial" w:hAnsi="arial" w:cs="arial"/>
          <w:color w:val="000000"/>
          <w:sz w:val="20"/>
          <w:lang w:val="en-US" w:eastAsia="en-US" w:bidi="ar-SA"/>
        </w:rPr>
        <w:t xml:space="preserve"> (S.C.C.), at page 296: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cannot be that every unlawful arrest necessarily falls within the words "arbitrarily detained". The grounds upon which an arrest was made may fall "just short" of constituting reasonable and probable cause. The person making the arrest may honestly, though mistakenly, believe that reasonable and probable grounds for the arrest exist and there may be some basis for that belief. In those circumstances the arrest, though subsequently found to be unlawful, could not be said to be capricious or arbitrary. On the other hand, the entire absence of reasonable and probable grounds for the arrest could support an inference that no reasonable person could have genuinely believed that such grounds existed. In such cases, the conclusion would be that the person arrested was arbitrarily detained. Between these two ends of the spectrum, shading from white to grey to black, the issue of whether an accused was arbitrarily detained will depend, basically, on two considerations: first, the particular facts of the case, and secondly, the view taken by the court with respect to the extent of the departure from the standard of reasonable and probable grounds and the honesty of the belief and basis for the belief in the existence of reasonable and probable grounds on the part of the person making the arrest.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on the facts as found by the trial judge, the arrest or detention was arbitrary, being for quite an improper purpose -- namely, to assist in the investigation. This conclusion does not minimize the significance or importance of an experienced detective's "hunch" or intuition. Such "hunch" must, however, have some reasonable basis. It cannot be used as a defence and explanation, without examination, for irrational and high-handed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the above was decided in the context of an arbitrary arrest, the same reasoning is applicable to arbitrary detention cases. This is illustrated by the additional cases referred to below. Those cases also demonstrate that arbitrary detentions may themselves fit within a spectrum ranging from a complete absence of grounds such that no reasonable person could have genuinely believed that reasonable grounds existed to decisions to detain that are capricious or despotic.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far end of the spectrum is illustrated by R. v. McIntosh, </w:t>
      </w:r>
      <w:hyperlink r:id="rId82" w:history="1">
        <w:r>
          <w:rPr>
            <w:rFonts w:ascii="arial" w:eastAsia="arial" w:hAnsi="arial" w:cs="arial"/>
            <w:i/>
            <w:color w:val="0077CC"/>
            <w:sz w:val="20"/>
            <w:u w:val="single"/>
            <w:shd w:val="clear" w:color="auto" w:fill="FFFFFF"/>
            <w:lang w:val="en-US" w:eastAsia="en-US" w:bidi="ar-SA"/>
          </w:rPr>
          <w:t>[1984] B.C.J. No. 1866</w:t>
        </w:r>
      </w:hyperlink>
      <w:r>
        <w:rPr>
          <w:rFonts w:ascii="arial" w:eastAsia="arial" w:hAnsi="arial" w:cs="arial"/>
          <w:color w:val="000000"/>
          <w:sz w:val="20"/>
          <w:lang w:val="en-US" w:eastAsia="en-US" w:bidi="ar-SA"/>
        </w:rPr>
        <w:t xml:space="preserve"> (C.A.), in which the court defined the word "arbitrary", as it is used in s. 9 of the Charter, as, "Derived from mere opinion or random choice; capricious; unrestrained; despotic" (at paras. 10-11). In R. v. Cayer, </w:t>
      </w:r>
      <w:hyperlink r:id="rId83" w:history="1">
        <w:r>
          <w:rPr>
            <w:rFonts w:ascii="arial" w:eastAsia="arial" w:hAnsi="arial" w:cs="arial"/>
            <w:i/>
            <w:color w:val="0077CC"/>
            <w:sz w:val="20"/>
            <w:u w:val="single"/>
            <w:shd w:val="clear" w:color="auto" w:fill="FFFFFF"/>
            <w:lang w:val="en-US" w:eastAsia="en-US" w:bidi="ar-SA"/>
          </w:rPr>
          <w:t>[1988] O.J. No. 1120</w:t>
        </w:r>
      </w:hyperlink>
      <w:r>
        <w:rPr>
          <w:rFonts w:ascii="arial" w:eastAsia="arial" w:hAnsi="arial" w:cs="arial"/>
          <w:color w:val="000000"/>
          <w:sz w:val="20"/>
          <w:lang w:val="en-US" w:eastAsia="en-US" w:bidi="ar-SA"/>
        </w:rPr>
        <w:t xml:space="preserve"> (C.A.), the Ontario Court of Appeal defined an arbitrary detention as "a detention which is capricious, despotic or unjustifiable."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It is arguable that those cases set too high a standard for an arbitrary detention and, as a result, only represent the far end of the spectrum. In R. v. Hufsky, </w:t>
      </w:r>
      <w:hyperlink r:id="rId84" w:history="1">
        <w:r>
          <w:rPr>
            <w:rFonts w:ascii="arial" w:eastAsia="arial" w:hAnsi="arial" w:cs="arial"/>
            <w:i/>
            <w:color w:val="0077CC"/>
            <w:sz w:val="20"/>
            <w:u w:val="single"/>
            <w:shd w:val="clear" w:color="auto" w:fill="FFFFFF"/>
            <w:lang w:val="en-US" w:eastAsia="en-US" w:bidi="ar-SA"/>
          </w:rPr>
          <w:t>[1988] 1 S.C.R. 621</w:t>
        </w:r>
      </w:hyperlink>
      <w:r>
        <w:rPr>
          <w:rFonts w:ascii="arial" w:eastAsia="arial" w:hAnsi="arial" w:cs="arial"/>
          <w:color w:val="000000"/>
          <w:sz w:val="20"/>
          <w:lang w:val="en-US" w:eastAsia="en-US" w:bidi="ar-SA"/>
        </w:rPr>
        <w:t>, a case regarding random stops of motorists, LeDain J., at para. 13, found that even a lawful stop might result in an arbitrary detention if the selection of vehicles to be stopped was left within the absolute discretion of the police officer. He concluded that a police officer's discretion is arbitrary where "there are no criteria, express or implied, which governs its exercise". The extract from Duguay set out earlier also demonstrates that an entire absence of reasonable and probable grounds would support an inference that no reasonable person could genuinely believe that such grounds existed. These decisions, accordingly, represent the near end of the spectrum as it relates to arbitrary detentions.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has not been a constitutional challenge to any of the applicable Code sections in the case at bar and accordingly detention pursuant to any of the sections is lawful. I mention this only to identify the correct starting point for the analysis of the trial judge. I am of the view that the trial judge was obligated to first consider whether there existed reasonable grounds to detain the accused in the public interest under s. 498. If not, the detention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trial judge was then required to consider whether the unlawful detention was arbitrary, applying the tests set out above. That is, was the detention the result of the officer's mere opinion without any grounds or even worse, the random, capricious or unjustifiable exercise of his authority? According to Duguay, this analysis should have included a consideration of the following factors: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 facts of the case;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departure from reasonable and probable grounds;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honesty of the belief and basis for the belief in the existence of reasonable and probable grounds on the part of the arresting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not persuaded that the trial judge performed this analysis with regard to the eight or so hours of post-investigative detention. I turn back to the evidence and the reasons of the trial judge to demonstrate the basis for my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investigating officer and the officer in charge, who had agreed with the decision to place Tugnum in cells, both went off duty not long after he was placed in cells. Another officer came on duty at 7:15 a.m. That officer was responsible for making the decision to release or continue detaining Tugnum pursuant to s. 498 but did not do so until five and one-half hours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Section 498 imposes obligations on the officer in charge virtually identical to those imposed on the arresting officer under s. 497. It is helpful to set those out as well as other requirements respecting the release or continuing detention of persons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s. 498(1.1), the officer in charge must release, on conditions as set out in the preceding subsection, unless he believes on reasonable grounds:</w:t>
      </w:r>
      <w:r>
        <w:rPr>
          <w:rFonts w:ascii="arial" w:eastAsia="arial" w:hAnsi="arial" w:cs="arial"/>
          <w:sz w:val="20"/>
          <w:lang w:val="en-US" w:eastAsia="en-US" w:bidi="ar-SA"/>
        </w:rPr>
        <w:cr/>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is necessary in the public interest that the person be detained in custody or that the matter of his release from custody be dealt with under another provision of this Part, having regard to all the circumstances including the need to</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prevent the continuation or repetition of the offence or the commission of another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Failing release under s. 498 and assuming the availability of a justice, s. 503(1) requires that the person detained be taken before a justice "without unreasonable delay and in any event within [a period of twenty-four hours]". At that point, a judicial interim release hearing is usually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Having found that the placement of Tugnum in cells was lawful, the trial judge turned next to the question of when his continuing detention should have ended. She found, reasonably in my view, that the officer in charge should not have released Tugnum until he was sufficiently sober. She also found that there was no evidence of any responsible family member or friend coming to the detachment to look for Tugnum.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the question of how long the detention should have continued, the trial judge said this about the police: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they have a rule of thumb, and it's not a policy, but a rule of thumb, that if somebody's drunk about eight hours, be fairly sure somebody is getting on the way to being sober, perhaps it is a way of justifying the lengthy stay that Mr. Tugnum had; that he blew over two hundred; that it was a fairly high number and consequently, could have taken longer for him to sober up. However, I don't feel that it's necessary that somebody be sober per se when they're released. What the police are trying to do is to keep someone long enough that they can make reasonable decisions about their own safety and the safety of the public when they are released. That could happen before someone is stone-cold sober. Particularly in a situation where people are being kept in the drunk tank, where there is no furniture, there is only the floor and they're not being fed. To keep someone for over ten hours certainly does seem, on the face of it, to have resulted in arbitrary detention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Presumably, the reference to "over ten hours" related, albeit inaccurately, to the entire period of detention rather than the period in cells which was just over eight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order to reach her conclusion, the trial judge must have found that the detention became arbitrary at some point in time within the eight hours that Tugnum spent in cells. This is evident from the final line in paragraph [10] of the reasons of the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[Tugnum] was kept arbitrarily though, his keeping him initially was justified, at some point, as his counsel has indicated, it became arbitrary.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clear from the earlier part of the same paragraph that the trial judge was referring to the officer who came on duty at 7:15 a.m. as the one whose "keeping him initially was justified". In the same paragraph, she referred as well to the same officer releasing another prisoner at 10:30 a.m. that day and said "that it would have seemed appropriate to have checked at that time, on the other prisoner [Tugnum]."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trial judge may have inferred that Tugnum was sober by the time he was released at 12:45 p.m. because the file instructions for the officer in charge were to release him when he was sober but there was no evidence directly on the point. Tugnum testified on the voir dire but said nothing about when he last drank alcohol on the evening in question or even when he felt sober enough to be released. Instead, Tugnum testified about how he passed the time in cells by having some conversation with the other person in his cell, lying down to rest and sometimes walking about in the cell. Tugnum also testified that he was awake at 10:30 a.m. when the other individual was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trial judge made no specific findings relating to the period between 7:15 a.m. when continuing the detention was justified and 10:30 a.m. when she appears to have concluded it was not. Wherever that point may have been, she treated the detention as becoming unlawful and arbitrary at the same time. There was, in my view, no proper basis for finding an arbitrary detention in the case at bar absent, at a minimum, a finding that Tugnum was sufficiently sober by that point that there could be no basis at all for continuing his detention in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language of the trial judge suggests that she thought the officer was not sufficiently diligent in checking on Tugnum. She referred to the officer not taking his responsibilities "as seriously as he should have". I do not consider that language adequate to demonstrate that the judge undertook the necessary analysis. I am not suggesting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a factor in determining the arbitrariness of detention. Clearly it can be, as evidenced by R. v. Simpson </w:t>
      </w:r>
      <w:hyperlink r:id="rId85" w:history="1">
        <w:r>
          <w:rPr>
            <w:rFonts w:ascii="arial" w:eastAsia="arial" w:hAnsi="arial" w:cs="arial"/>
            <w:i/>
            <w:color w:val="0077CC"/>
            <w:sz w:val="20"/>
            <w:u w:val="single"/>
            <w:shd w:val="clear" w:color="auto" w:fill="FFFFFF"/>
            <w:lang w:val="en-US" w:eastAsia="en-US" w:bidi="ar-SA"/>
          </w:rPr>
          <w:t>(1995), 95 C.C.C. (3d) 96</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trial judge necessarily found a period of unlawful detention of something less than five and one-half hours. She stated in her reasons that the period was "somewhere between two and a half to four hours". I am not persuaded that the trial judge had a basis on the evidence to find an unlawful detention of that length, let alone an arbitrary one. As counsel argued the appeal principally on the basis that the trial judge was correct in finding an arbitrary detention, I turn next to whether, having found a breach of s. 9, she ought to have directed a stay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An analysis of the basis for granting a stay of proceedings demonstrates that the trial judge was correct when she declined to grant the remedy sought on the basis that other remedies including a civil remedy were available. This is apparent from the following three Supreme Court of Canada decisions: R. v. O'Connor, </w:t>
      </w:r>
      <w:hyperlink r:id="rId86" w:history="1">
        <w:r>
          <w:rPr>
            <w:rFonts w:ascii="arial" w:eastAsia="arial" w:hAnsi="arial" w:cs="arial"/>
            <w:i/>
            <w:color w:val="0077CC"/>
            <w:sz w:val="20"/>
            <w:u w:val="single"/>
            <w:shd w:val="clear" w:color="auto" w:fill="FFFFFF"/>
            <w:lang w:val="en-US" w:eastAsia="en-US" w:bidi="ar-SA"/>
          </w:rPr>
          <w:t>[1995] 4 S.C.R. 411</w:t>
        </w:r>
      </w:hyperlink>
      <w:r>
        <w:rPr>
          <w:rFonts w:ascii="arial" w:eastAsia="arial" w:hAnsi="arial" w:cs="arial"/>
          <w:color w:val="000000"/>
          <w:sz w:val="20"/>
          <w:lang w:val="en-US" w:eastAsia="en-US" w:bidi="ar-SA"/>
        </w:rPr>
        <w:t xml:space="preserve">; R. v. Carosella, </w:t>
      </w:r>
      <w:hyperlink r:id="rId87" w:history="1">
        <w:r>
          <w:rPr>
            <w:rFonts w:ascii="arial" w:eastAsia="arial" w:hAnsi="arial" w:cs="arial"/>
            <w:i/>
            <w:color w:val="0077CC"/>
            <w:sz w:val="20"/>
            <w:u w:val="single"/>
            <w:shd w:val="clear" w:color="auto" w:fill="FFFFFF"/>
            <w:lang w:val="en-US" w:eastAsia="en-US" w:bidi="ar-SA"/>
          </w:rPr>
          <w:t>[1997] 1 S.C.R. 80</w:t>
        </w:r>
      </w:hyperlink>
      <w:r>
        <w:rPr>
          <w:rFonts w:ascii="arial" w:eastAsia="arial" w:hAnsi="arial" w:cs="arial"/>
          <w:color w:val="000000"/>
          <w:sz w:val="20"/>
          <w:lang w:val="en-US" w:eastAsia="en-US" w:bidi="ar-SA"/>
        </w:rPr>
        <w:t xml:space="preserve">; and R. v. Tobias, </w:t>
      </w:r>
      <w:hyperlink r:id="rId88" w:history="1">
        <w:r>
          <w:rPr>
            <w:rFonts w:ascii="arial" w:eastAsia="arial" w:hAnsi="arial" w:cs="arial"/>
            <w:i/>
            <w:color w:val="0077CC"/>
            <w:sz w:val="20"/>
            <w:u w:val="single"/>
            <w:shd w:val="clear" w:color="auto" w:fill="FFFFFF"/>
            <w:lang w:val="en-US" w:eastAsia="en-US" w:bidi="ar-SA"/>
          </w:rPr>
          <w:t>[1997] 3 S.C.R. 391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O'Connor, the accused was charged with the sexual assault of four former students under his charge at a native residential school. Counsel for the accused made repeated requests for disclosure of various records relating to the complainants. On the second day of trial, the Crown conceded that it could not guarantee that the accused had received full disclosure. The trial judge granted a stay of proceedings on all counts. He held that the accused had been prejudiced by being put in the position of having to prepare for cross-examination without having all the relevant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L'Heureux-Dubé J., writing for a plurality of the Supreme Court of Canada, at para. 75, held that a judicial stay is only appropriate where the following criteria are met: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prejudice caused by the abuse in question will be manifested, perpetuated or aggravated through the conduct of the trial, or by its outcome;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other remedy is reasonably capable of removing that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went on to state that a stay of proceedings was a drastic remedy of last resort to be used only when all other avenues of protecting the accused's right to make full answer and defence are exhausted. L'Heureux-Dubé J. held that the court is to concern itself with both the prejudice to the accused and the prejudice to the integrity of the justice system. Relevant considerations regarding the latter include the conduct of the Crown (whether flagrant and intentional) and the societal and individual interests in obtaining a determination of guilt or innocence. She concluded as follows at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always be remembered that a stay of proceedings is only appropriate "in the clearest of cases", where the prejudice to the accused's right to make full answer and defence cannot be remedied or where irreparable prejudice would be caused to the integrity of the judicial system if the prosecution were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concluded that, on the facts of the case, no s. 7 breach had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Carosella, the accused was charged with sexual offences against a former student. The complainant had attended at a sexual assault crisis centre where she disclosed the allegations to a social worker. The social worker took notes of the interview, but later destroyed those notes pursuant to a policy of destroying records prior to being served in relation to criminal proceedings. The trial judge granted a stay of proceedings on the ground that the accused's right to make full answer and defence had been seriously prejudiced.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Sopinka J., writing for the majority of the Supreme Court of Canada, confirmed that a stay of proceedings is an extraordinary remedy only available in the clearest of cases. He also clarified that the two types of prejudice - irreparable prejudice to the ability to make full answer and defence, and irreparable prejudice to the integrity of the judicial system if the prosecution were continued - are alternatives. The presence of either will justify the granting of a stay. Sopinka J. found that there was no alternative remedy that would cure the prejudice to the ability of the accused to make full answer and defence. He also concluded that the absence of any remedy to redress or mitigate the consequences of the breach would damage the image of the administration of justice. Thus, the majority found that both types of prejudice had been demonstrated and that the stay imposed by the trial judge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Tobias, the court considered whether a stay of proceedings was appropriate to remedy interference by the Department of Justice with judicial independence. In summary, Tobias stands for the following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most cases, a stay is sought because of state misconduct affecting the fairness of the trial or impairing other procedural rights enumerated in the Charter. There is a residual category of cases in which a stay is sought because the prosecution has been conducted in such a manner as to connote unfairness or vexatiousness of such a degree that it contravenes fundamental notions of justice and thus undermines the integrity of the judicial process. In either case, the twofold test in O'Connor must be satisfied:</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prejudice caused by the abuse in question will be manifested, perpetuated or aggravated through the conduct of the trial, or by its outcome;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other remedy is reasonably capable of removing that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unanimous court had the following to say about the first requirement at para 91: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criterion is critically important. It reflects the fact that a stay of proceedings is a prospective remedy. A stay of proceedings does not redress a wrong that has already been done. It aims to prevent the perpetuation of a wrong that, if left alone, will continue to trouble the parties and the community as a whole in the future. See O'Connor, at para. 82. For this reason, the first criterion must be satisfied even in cases involving conduct that falls into the residual category. See O'Connor, at para. 75. The mere fact that the state has treated an individual shabbily in the past is not enough to warrant a stay of proceedings. For a stay of proceedings to be appropriate in a case falling into the residual category, it must appear that the state misconduct is likely to continue in the future or that the carrying forward of the prosecution will offend society's sense of justice. Ordinarily, the latter condition will not be met unless the former is as well -- society will not take umbrage at the carrying forward of a prosecution unless it is likely that some form of misconduct will continue. There may be exceptional cases in which the past misconduct is so egregious that the mere fact of going forward in the light of it will be offensive. But such cases should be relatively very rare.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further held that in circumstances where it is unclear whether the abuse warrants a stay, it may be appropriate to balance the interests that would be served by the granting of a stay of proceedings against the interest that society has in having a final decision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difficulty with post-investigative arbitrary detention cases is that there is little, if any, connection between the breach, itself a past event, and the conduct of the prosecution or the fairness of the trial. The majority of the appellant's authorities, even those that refer to O'Connor, fail to grapple with this issue. Instead, they merely conclude that, because of the seriousness of the breach, the circumstances amount to the "clearest of cases". In my view, those decisions fail to address the reasoning in Tobias that a stay of proceedings is a prospective remedy and is not to be used to remedy past wrongs.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R. v. Pena, </w:t>
      </w:r>
      <w:hyperlink r:id="rId89" w:history="1">
        <w:r>
          <w:rPr>
            <w:rFonts w:ascii="arial" w:eastAsia="arial" w:hAnsi="arial" w:cs="arial"/>
            <w:i/>
            <w:color w:val="0077CC"/>
            <w:sz w:val="20"/>
            <w:u w:val="single"/>
            <w:shd w:val="clear" w:color="auto" w:fill="FFFFFF"/>
            <w:lang w:val="en-US" w:eastAsia="en-US" w:bidi="ar-SA"/>
          </w:rPr>
          <w:t>[1997] B.C.J. No. 1395</w:t>
        </w:r>
      </w:hyperlink>
      <w:r>
        <w:rPr>
          <w:rFonts w:ascii="arial" w:eastAsia="arial" w:hAnsi="arial" w:cs="arial"/>
          <w:color w:val="000000"/>
          <w:sz w:val="20"/>
          <w:lang w:val="en-US" w:eastAsia="en-US" w:bidi="ar-SA"/>
        </w:rPr>
        <w:t xml:space="preserve"> (S.C.), a case not referred to by counsel, Josephson J. rejected the proposition that a stay was available merely because of the grievous nature of the Charter breach. Instead, he expressly preferred the reasoning in R. v. Erickson </w:t>
      </w:r>
      <w:hyperlink r:id="rId90" w:history="1">
        <w:r>
          <w:rPr>
            <w:rFonts w:ascii="arial" w:eastAsia="arial" w:hAnsi="arial" w:cs="arial"/>
            <w:i/>
            <w:color w:val="0077CC"/>
            <w:sz w:val="20"/>
            <w:u w:val="single"/>
            <w:shd w:val="clear" w:color="auto" w:fill="FFFFFF"/>
            <w:lang w:val="en-US" w:eastAsia="en-US" w:bidi="ar-SA"/>
          </w:rPr>
          <w:t>(1984), 13 C.C.C. (3d) 269</w:t>
        </w:r>
      </w:hyperlink>
      <w:r>
        <w:rPr>
          <w:rFonts w:ascii="arial" w:eastAsia="arial" w:hAnsi="arial" w:cs="arial"/>
          <w:color w:val="000000"/>
          <w:sz w:val="20"/>
          <w:lang w:val="en-US" w:eastAsia="en-US" w:bidi="ar-SA"/>
        </w:rPr>
        <w:t xml:space="preserve"> (B.C.C.A.), which required a relationship between the Charter breach and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Erickson, the police executed a search warrant on the accused's residence in search of narcotics and discovered, instead, a quantity of blank driver's licence forms. The police arrested the accused and took him to the police station. There he remained in custody for four days before he was finally charged with possession of a counterfeit government mark and brought before a provincial court judge who granted him bail. The police had been under the impression that, because the accused's parole had been suspended shortly after his arrest, there was no need to bring him before a justice. The trial judge held that, despite the suspension of parole, the accused might have been released earlier if he had been brought before a judge within 24 hours in accordance with the Code. As there was no evidence obtained as a result of the breach, the trial judge concluded that the only appropriate Charter remedy was to quash the indictment.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of Appeal overturned the decision of the trial judge. Assuming without deciding that the imprisonment of the accused amounted to an arbitrary detention, Esson J.A. reached the following conclusion about the approach taken by the trial judge, at page 275: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granted the most sweeping and drastic remedy in the arsenal of remedies without any factual basis that could possibly permit the conclusion that it would be either just or appropriate to do so. He concluded as a fact that there was no malice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either the Crown or the police. In the light of that conclusion, the point as to whether the remedy could be granted is really not arguable. The need to impress upon all parties the requirement that the law be obeyed is not enough to justify granting a remedy which is not otherwise just and appropriate. I say that with full recognition of the fundamental nature of the right created by s. 454 and the importance of it being complied with by those who are obligated to do so; but a breach does not in itself justify turning the system on its head.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source of the error may be the view of the trial judge, which is implicit in his decision, that having found that, in connection with the charges before him there had been a breach of the rights of the accused, he must grant some remedy. I will assume that for every breach of a Charter right there is some remedy. It simply does not follow that every breach must lead to some remedy being granted at trial. The purpose of the trial is, as it was before the Charter, to decide whether the accused is guilty. Breaches of Charter rights do not become a proper subject of inquiry at trial simply because they occurred in relation to the charge being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comments are apposite here because they highlight the importance, upon finding a breach, of considering other remedies that may be available outside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many of the authorities relied on by the appellant, the court failed to recognize the availability of other remedies for the breach. For example, in R. v. Hall, </w:t>
      </w:r>
      <w:hyperlink r:id="rId91" w:history="1">
        <w:r>
          <w:rPr>
            <w:rFonts w:ascii="arial" w:eastAsia="arial" w:hAnsi="arial" w:cs="arial"/>
            <w:i/>
            <w:color w:val="0077CC"/>
            <w:sz w:val="20"/>
            <w:u w:val="single"/>
            <w:shd w:val="clear" w:color="auto" w:fill="FFFFFF"/>
            <w:lang w:val="en-US" w:eastAsia="en-US" w:bidi="ar-SA"/>
          </w:rPr>
          <w:t>[1996] B.C.J. No. 348</w:t>
        </w:r>
      </w:hyperlink>
      <w:r>
        <w:rPr>
          <w:rFonts w:ascii="arial" w:eastAsia="arial" w:hAnsi="arial" w:cs="arial"/>
          <w:color w:val="000000"/>
          <w:sz w:val="20"/>
          <w:lang w:val="en-US" w:eastAsia="en-US" w:bidi="ar-SA"/>
        </w:rPr>
        <w:t xml:space="preserve"> (Prov. Ct.), the trial judge found an arbitrary post-investigative detention. He found that the breach, though committed in good faith, was serious and unnecessary. Before granting a judicial stay as a remedy, the judge said this about the availability of other remedies, at paras. 41-42: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initially troubled by the suggestion that I should impose a judicial stay. My hesitation had to do with the fact that the Charter breach occurred after the investigation and, to some extent, is unrelated to the impaired driving. I questioned whether the proper remedy would be a civil action for wrongful imprisonment, or indeed a civil action for damages for breach of a Charter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St. Pierre argues persuasively that ss. 495(3) and 498(3) of the Criminal Code suggest that there could be no civil liability where officers have acted in good faith. Clearly both Constable Corney and the watch commander acted in good faith throughout. It seems to me, therefore, that Mr. Hall has no real remedy within the civil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reasoning set out above is incorrect. The subsections referred to, along with s. 497(3), are all to the same effect and none operate as a bar to a civil action where the continuing detention is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convenience, I set out only s. 498(3) as illustrative: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officer in charge or another peace officer who has the custody of a person taken into or detained in custody for an offence described in subsection (1) and who does not release the person from custody as soon as practicable in the manner described in that subsection shall be deemed to be acting lawfully and in the execution of the officer's duty for the purposes of</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proceedings under this or any other Act of Parliament; or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proceedings, unless in any such proceeding it is alleged and established by the person making the allegation that the officer in charge or other peace officer did not comply with the requirements of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We are concerned here only with subsection 498(3)(b) as it relates to a civil claim for damages. It is, in my view, plain from the wording of the subsection that the protection is only available if the officer has complied with the obligation to release under subsection (1) and does not extend any protection to an officer who unlawfully or arbitrarily detains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More importantly, in three cases where the courts have considered whether s. 495(3) grants immunity, the court found each time that it does not. In Lord v. Canada (Attorney General), </w:t>
      </w:r>
      <w:hyperlink r:id="rId92" w:history="1">
        <w:r>
          <w:rPr>
            <w:rFonts w:ascii="arial" w:eastAsia="arial" w:hAnsi="arial" w:cs="arial"/>
            <w:i/>
            <w:color w:val="0077CC"/>
            <w:sz w:val="20"/>
            <w:u w:val="single"/>
            <w:shd w:val="clear" w:color="auto" w:fill="FFFFFF"/>
            <w:lang w:val="en-US" w:eastAsia="en-US" w:bidi="ar-SA"/>
          </w:rPr>
          <w:t>[2001] B.C.J. No. 205</w:t>
        </w:r>
      </w:hyperlink>
      <w:r>
        <w:rPr>
          <w:rFonts w:ascii="arial" w:eastAsia="arial" w:hAnsi="arial" w:cs="arial"/>
          <w:color w:val="000000"/>
          <w:sz w:val="20"/>
          <w:lang w:val="en-US" w:eastAsia="en-US" w:bidi="ar-SA"/>
        </w:rPr>
        <w:t xml:space="preserve"> (S.C.), Allan J. stated the following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495(3) provides that a police officer is deemed to be acting lawfully unless it is subsequently alleged and established that the police officer did not comply with the requirements of subsection 495(2).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Collins v. Brantford Police Services Board, </w:t>
      </w:r>
      <w:hyperlink r:id="rId93" w:history="1">
        <w:r>
          <w:rPr>
            <w:rFonts w:ascii="arial" w:eastAsia="arial" w:hAnsi="arial" w:cs="arial"/>
            <w:i/>
            <w:color w:val="0077CC"/>
            <w:sz w:val="20"/>
            <w:u w:val="single"/>
            <w:shd w:val="clear" w:color="auto" w:fill="FFFFFF"/>
            <w:lang w:val="en-US" w:eastAsia="en-US" w:bidi="ar-SA"/>
          </w:rPr>
          <w:t>[2001] O.J. No. 3778</w:t>
        </w:r>
      </w:hyperlink>
      <w:r>
        <w:rPr>
          <w:rFonts w:ascii="arial" w:eastAsia="arial" w:hAnsi="arial" w:cs="arial"/>
          <w:color w:val="000000"/>
          <w:sz w:val="20"/>
          <w:lang w:val="en-US" w:eastAsia="en-US" w:bidi="ar-SA"/>
        </w:rPr>
        <w:t xml:space="preserve"> (C.A.), Rosenberg J.A. held as follows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[B]y virtue of s. 495(3), the burden of proving that the arrest was unlawful because of non-compliance with s. 495(2) was on the plaintiff. Thus, in the words of s. 495(2), it was for the plaintiff to establish that Constable Sawkins believed on reasonable grounds that the public interest, having regard to all the circumstances, could be satisfied without arresting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Finally, in Hudson v. Brantford Police Services Board, </w:t>
      </w:r>
      <w:hyperlink r:id="rId94" w:history="1">
        <w:r>
          <w:rPr>
            <w:rFonts w:ascii="arial" w:eastAsia="arial" w:hAnsi="arial" w:cs="arial"/>
            <w:i/>
            <w:color w:val="0077CC"/>
            <w:sz w:val="20"/>
            <w:u w:val="single"/>
            <w:shd w:val="clear" w:color="auto" w:fill="FFFFFF"/>
            <w:lang w:val="en-US" w:eastAsia="en-US" w:bidi="ar-SA"/>
          </w:rPr>
          <w:t>[2001] O.J. No. 3779</w:t>
        </w:r>
      </w:hyperlink>
      <w:r>
        <w:rPr>
          <w:rFonts w:ascii="arial" w:eastAsia="arial" w:hAnsi="arial" w:cs="arial"/>
          <w:color w:val="000000"/>
          <w:sz w:val="20"/>
          <w:lang w:val="en-US" w:eastAsia="en-US" w:bidi="ar-SA"/>
        </w:rPr>
        <w:t xml:space="preserve"> (C.A.), the trial judge had concluded that because the plaintiff had met the burden in s. 495(3)(b) of showing that the police officers did not comply with the requirements of s. 495(2), subsection (3) offered no protection to the officers in a civil suit. On appeal, Rosenberg J.A. disagreed with the trial judge's conclusions on other issues, but not with the analysis of s. 495(3).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clear from those cases that sections 495(3), 497(3) and 498(3) will not protect an officer from liability in civil proceedings if the plaintiff establishes that the officer should have ended the detention because the public interest could be satisfied without continuing it. To argue that there has been an arbitrary detention, an accused necessarily must assert that the officer did not have the required grounds to detain. If the assertion is accurate, subsection (3) will not prevent the accused from successfully suing for wrongful arrest or detention.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decision in Hall, accordingly, is not a reliable authority on the question of remedies. Another less drastic remedy than a stay was available. In a particularly egregious case, that remedy might include aggravated or punitive damages. I doubt that the two-fold test in O'Connor could be satisfied in the circumstances referred to in Hall. The error in that case resulted from an attempt to analyse the remedy solely under the s. 24(2) Collins test rather than according to the test set out in O'Connor.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appeal in the present case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8"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Singh v. Clay, [2011] B.C.J. No. 1645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30-31 and June 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30,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M063788, M082414, M105002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1645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2011 BCSC 1172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206 A.C.W.S. (3d) 75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2011 CarswellBC 2292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Yatit Y. Singh, Plaintiff, and Leslie Clay, Joseph S. Chow Ltd. and Bradley Axam, Defendants And between Yatit Y. Singh, Plaintiff, and Insurance Corporation of British Columbia, John Doe and Jane Doe, Defendants And between Yatit Y. Singh, Plaintiff, and Robert Stinchcombe and Rita Chiavatti,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2"/>
      <w:bookmarkEnd w:id="20"/>
      <w:r>
        <w:rPr>
          <w:rFonts w:ascii="arial" w:eastAsia="arial" w:hAnsi="arial" w:cs="arial"/>
          <w:b/>
          <w:color w:val="000000"/>
          <w:sz w:val="20"/>
          <w:lang w:val="en-US" w:eastAsia="en-US" w:bidi="ar-SA"/>
        </w:rPr>
        <w:t>Damages — Physical and psychological injuries — Body injuries — Back and spine — Neck — Action by plaintiff for damages arising from injuries he suffered in four motor vehicle accidents allowed — Plaintiff took reasonable steps to ascertain identity of other driver in third accident — Damages assessed globally — Plaintiff's injuries following the first accident were indivisible from those sustained in other accidents — Plaintiff was credible witness struggling to deal with his injuries — Plaintiff awarded non-pecuniary damages of $65,000, damages for loss of future earning capacity of $40,000, damages for past loss of income of $616, damages for loss of housekeeping capacity of $5,000 and $600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Cost of future care — Loss of earning capacity — Loss of housekeeping capacity — Non-pecuniary loss — Action by plaintiff for damages arising from injuries he suffered in four motor vehicle accidents allowed — Plaintiff took reasonable steps to ascertain identity of other driver in third accident — Damages assessed globally — Plaintiff's injuries following the first accident were indivisible from those sustained in other accidents — Plaintiff was credible witness struggling to deal with his injuries — Plaintiff awarded non-pecuniary damages of $65,000, damages for loss of future earning capacity of $40,000, damages for past loss of income of $616, damages for loss of housekeeping capacity of $5,000 and $600 for costs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2"/>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Singh for damages arising from injuries he suffered in four motor vehicle accidents. Liability for each accident was not in dispute. The driver of the other vehicle in the third accident was unknown. The Insurance Corporation of British Columbia ("ICBC") argued that Singh was not entitled to judgment because of his failure to take all reasonable steps to ascertain the identity of the owner or driver of the vehicle which rear-ended his vehicle. The defendants also asserted that Singh, through an at-fault accident in March 2007, contributed to his injuries. Singh claimed to have suffered neck, back, shoulder and arm injuries. He had been diagnosed with left thoracic outlet syndrome, a nerve syndrome related to the upper arm.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_2"/>
            <w:bookmarkEnd w:id="2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Singh was a credible witness. Singh was a modest, unassuming plaintiff who was struggling stoically to deal with his injuries. It was appropriate to assess damages globally, as Singh's injuries following the first accident were indivisible from those sustained in other accidents. Singh acted as a reasonable person would have in assuming that the other driver in the third accident would stop. Singh had difficulty working due to his inability to lift objects over his head. Singh was awarded non-pecuniary damages of $65,000, damages for loss of future earning capacity of $40,000, damages for past loss of income of $616, damages for loss of housekeeping capacity of $5,000 and $600 for costs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1"/>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103"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2"/>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L.J. Mackoff.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Pici.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2"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B.M. GREYELL J."/>
            <w:bookmarkEnd w:id="26"/>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Singh claims damages arising from injuries he received in four motor vehicle accidents. The dates of the accidents are October 18, 2004, September 12, 2005, September 18, 2007 and November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each accident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Insurance Corporation of British Columbia ("ICBC") in action M082414 has raised s. 24(5)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as a defence. ICBC says the plaintiff is not entitled to judgment against it in that action because of his failure to take all reasonable steps to ascertain the identity of the owner or driver of the vehicle which rear-ended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addition the plaintiff was involved in an at-fault accident on March 19, 2007. The defendants assert he contributed to his injuries as a consequence of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hence they are not responsible in damages for any aggravation of such injuries caused by the at-fault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turn to the circumstances of each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October 18, 2004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was travelling east on 96th Avenue, Surrey, on his way to work. He was driving his pickup truck. As he travelled he was required to slow his vehicle for an ambulance which pulled out in front of his vehicle. A second ambulance followed and he was required to stop. When he did so he was rear-ended by the defendant's vehicle. The drivers got out and exchanged information. The plaintiff did not proceed to work but returned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testified that at the scene of the accident he was shocked, nervous and "tingly" and that he later developed a headache. In the hours following the accident he testified he developed soreness in his lower back and in the left side of his shoulders and left arm. He saw his family doctor, Dr. Burak, that day. He was put on light work but testified he could not perform light duties as his work entails physical exertion which he felt he could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was off work for three days and, on the advice of his physician, commenced physiotherapy treatments within the next several weeks. I will describe the progression of the plaintiff's injuries later in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September 12, 2005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Again the plaintiff was driving to work, proceeding in an easterly direction on the Fraser Highway. As he approached a construction zone while proceeding down a hill he was required to stop his vehicle. He testified he heard what sounded like a semi truck decelerating behind him. He said he braced himself, putting both feet on the brakes. The truck hit the plaintiff's vehicle in the rear, pushing it into the vehicle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he immediately felt pain in his arm, developed a headache and "was completely sore". He said that evening he could not lift his head off the bed, that his left arm was in a state of constant numbness, his fingers tingled and this caused him to wake up several times during the night. He testified he developed regular daily headaches which "spiked" later in the day and which continued up until about a year prior to the trial. He said the second accident intensified the effects of the injuries he received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took two days off as a result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March 19, 2007 (the "at-fault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was driving his Mazda pickup truck and proceeded to make a turn at an intersection which was controlled by four-way stop signs. In doing so he hit another vehicle. The plaintiff testified he was travelling between 20 and 30 km/h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testified that prior to this accident there had been no improvement to the numbness and tingling he felt in his left arm and hand or in the headaches he was experiencing. He said he did not attend Dr. Burak as a result of this accident as the symptoms arising from the first two accidents did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September 18, 2007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driving south on 140th Street with his wife, intending to visit his sister-in-law. Mr. Singh testified that as he was about to make a right turn into the sister-in-law's driveway his vehicle was hit from the rear by a following vehicle. He noticed it was a black car. He testified he first asked his wife if she was okay, then he straightened his vehicle out to park it, expecting the other driver would do the same. He was wrong in that assumption. The driver of the second vehicle drove away without stopping, as the plaintiff exited his vehicle. The plaintiff's wife was able to obtain two of the letters from the vehicle's license plate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testified that after he exited his vehicle he ran down the block to a man and woman who had witnessed the accident. The female was hesitant to speak with him. The male gave the plaintiff his name and phone number and told him the driver was a Caucasian female with whitish hair and that he had observed she was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then went to his sister-in-law's home. He testified that by that time he had developed a "pounding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telephoned ICBC and was advised to telephone the police and obtain a file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following day he attended the police station at Guildford Mall. He was advised that with only a partial plate number there was nothing the police could do to assist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then contacted his lawyer's office. He was advised to post flyers in the vicinity of the accident asking anyone who had witnessed the accident to contact him. Over the next several days he posted some 20 flyers in the immediate vicinity. He received no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cross-examination it was suggested to Mr. Singh he could have obtained the licence plate number. He acknowledged he could have done so but said he did not look at the licence plate as he did not expect the driver to drive off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there was neither improvement to his left arm and shoulder before the September 18, 2007 accident nor worsening of his symptoms after. Again, in cross-examination, Mr. Pici suggested Mr. Singh reported a "small" increase in symptoms to his physician after this accident. Mr. Singh responded he did not recall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November 1, 2008 (the "fourth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November 1, 2008 the plaintiff's vehicle was rear-ended by a pickup truck as it was stopped at a red light while northbound on Edmonds. The plaintiff testified that at the time he still had symptoms from the first two accidents and that as a result of the fourth accident he felt "soreness"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Singh testified the lower back soreness resolved itself within several months of the fourth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testified his problem with recurring headaches resolved itself in or about the spring of 2010 - about 12 months prior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has been attended by his family physician, Dr. Burak and has been seen by Dr. Robert Keyes, a physician specialising in neurology and neurophysiology and by Dr. Andrew Travlos, a physician specialising in physical medicine and rehabilitation. It appears from the medical records he also sometimes saw Dr. Dodek, a colleague of Dr. Burat.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J. Lorne, a physician managing Dr. Burak's medical practice, prepared a medical report dated October 3, 2008 following a review of Mr. Singh's medical file. Drs. Keyes and Travlos prepared medical reports which were admitted into evidence at trial. Both were cross-examined on the opinions contained in their respective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1. Dr. Lorne's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stated, Dr. Lorne reviewed Dr. Burak's medical file and the notes made by Dr. Burak relating to the accidents of October 18, 2004, September 12, 2005 and September 18, 2007. Dr. Burak last saw Mr. Singh June 23, 2008, some four months before the fourth and final accident. Some of the more notable comments in Dr. Lorne's report of October 3, 2008 include:</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reported that immediately after the accident he experienced low back pain and left anterior knee pain. Later that day, he developed a continuous headache, sore shoulders (left worse than right), and a stiff upper back.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was diagnosed with a Grade II whiplash associated disorder and a left lateral knee strain. He was recommended to rest, perform modified duties at work for two weeks, physiotherapy, home stretching exercises, and Tylenol as needed for pain.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returned on November 3, 200[4] for follow-up of his motor vehicle accident with Dr. D. Dodek. Mr. Singh reported continued low back soreness, and left shoulder pain. His headaches were also still present, but were improving ... He was diagnosed with improving whiplash, and advised to go for physiotherapy ...</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was seen again by Dr. Dodek in the office on November 17, 200[4]. He still complained of low back pain (especially with sitting/standing) and left should pain with no numbness or tingling in the hands.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reported a flare up of his injuries from the previous motor vehicle accident (October 18, 2004). These symptoms included headaches, and left arm numbness/tingling.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reported that prior to the September 19, 2005 accident [should read September 12, 2005], he was still experiencing left shoulder pain, tingling and lack of strength from his previous October 18, 2004 accident.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was diagnosed with a Grade II cervical spine and thoracic spine whiplash associated disorder and a left rotator cuff strain.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30, 2005], the patient reported a painful left lateral neck, left shoulder pain to the elbow, right posterior-lateral neck stiffness, and bifrontal headaches. ... The diagnosis remained the same, and the patient was advised to start physiotherapy and return to work.</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was seen again by Dr. Burak in the office on December 14, 2005. He reported much improved neck pain, but he still complained of intermittent numbness in the left 4th and 5th fingers. The patient reported feeling 50-60% improvement of his injuries.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still complained of left neck and shoulder pain [on January 9, 2006].</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was seen on January 23, 2006 with the same injuries, reporting to be 55-60% recovered. The patient had recently noticed sudden twitches in the left arm and shoulder.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reported having some success with acupuncture treatment - relieving 60-70% of his left shoulder ache [February 27, 2006]. Other symptoms and examination were unchanged. The patient was diagnosed with left peripheral ulnar neuropathy with a good prognosis.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Singh was seen on June 12, 2006 reporting to be 85-90% recovered.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20, 2006 Mr. Singh was seen for follow-up of his motor vehicle accidents. He still complained of intermittent numbness in his left 4th and 5th fingers.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left shoulder had a full range of motion, with tenderness over the supraspinatus muscle. The patient was 90% recovered.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12, 2007 the patient was referred to the neurologist Dr. Keyes due to persistent intermittent numbness and weakness in the left 4th and 5th digits, as well as an involuntary twitch in the left supraspinatus muscle.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was seen for a final motor vehicle accident follow-up by Dr. Burak on January 14, 2008. At this time the patient was using a TENS unit to manage his symptoms (numbness left 4th/5th digit, and scalene muscle spasm).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note that the dates of referred to as the dates of the second and third accidents are incorrect. Dr. Lorne summarized his review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Mr. Singh was involved in a motor vehicle accident on October 18, 2004. </w:t>
      </w:r>
      <w:r>
        <w:rPr>
          <w:rFonts w:ascii="arial" w:eastAsia="arial" w:hAnsi="arial" w:cs="arial"/>
          <w:color w:val="000000"/>
          <w:sz w:val="20"/>
          <w:u w:val="single"/>
          <w:lang w:val="en-US" w:eastAsia="en-US" w:bidi="ar-SA"/>
        </w:rPr>
        <w:t>According to the patient, and to Dr. Burak's chart notes, this accident resulted in persistent left 4th and 5th finger numbness, and left scalene muscle spasms. Two further motor vehicle accidents on September 19, 2005 and October 22, 2007, aggravated these symptoms</w:t>
      </w:r>
      <w:r>
        <w:rPr>
          <w:rFonts w:ascii="arial" w:eastAsia="arial" w:hAnsi="arial" w:cs="arial"/>
          <w:color w:val="000000"/>
          <w:sz w:val="20"/>
          <w:lang w:val="en-US" w:eastAsia="en-US" w:bidi="ar-SA"/>
        </w:rPr>
        <w:t xml:space="preserve">. Neurologist, Dr. Keyes, diagnosed Mr. Singh with thoracic outlet syndrome with intermittent scalenous muscle spasm. </w:t>
      </w:r>
      <w:r>
        <w:rPr>
          <w:rFonts w:ascii="arial" w:eastAsia="arial" w:hAnsi="arial" w:cs="arial"/>
          <w:color w:val="000000"/>
          <w:sz w:val="20"/>
          <w:u w:val="single"/>
          <w:lang w:val="en-US" w:eastAsia="en-US" w:bidi="ar-SA"/>
        </w:rPr>
        <w:t>Dr. Keyes reported "no indication of any significant permanent neurological injury". In accordance with Dr. Keyes [</w:t>
      </w:r>
      <w:r>
        <w:rPr>
          <w:rFonts w:ascii="arial" w:eastAsia="arial" w:hAnsi="arial" w:cs="arial"/>
          <w:i/>
          <w:color w:val="000000"/>
          <w:sz w:val="20"/>
          <w:u w:val="single"/>
          <w:lang w:val="en-US" w:eastAsia="en-US" w:bidi="ar-SA"/>
        </w:rPr>
        <w:t>sic</w:t>
      </w:r>
      <w:r>
        <w:rPr>
          <w:rFonts w:ascii="arial" w:eastAsia="arial" w:hAnsi="arial" w:cs="arial"/>
          <w:color w:val="000000"/>
          <w:sz w:val="20"/>
          <w:u w:val="single"/>
          <w:lang w:val="en-US" w:eastAsia="en-US" w:bidi="ar-SA"/>
        </w:rPr>
        <w:t>] consult it is unlikely that future deterioration of this injury will occur</w:t>
      </w:r>
      <w:r>
        <w:rPr>
          <w:rFonts w:ascii="arial" w:eastAsia="arial" w:hAnsi="arial" w:cs="arial"/>
          <w:color w:val="000000"/>
          <w:sz w:val="20"/>
          <w:lang w:val="en-US" w:eastAsia="en-US" w:bidi="ar-SA"/>
        </w:rPr>
        <w:t>. I will leave the opinion regarding the possibility for full recovery of these injuries to the expertise of Dr. Keyes. As Mr. Singh has decided not to continue with physiotherapy, the only anticipated future care requirements or costs at this time would be those related to potential botox treatments. It is not clear from the chart notes, how or if Mr. Singh's injuries affect his past, present, or future recreational pursuits. The patient reported missing two scheduled days of work in total.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 to Dr. Burak's clinical notes, the plaintiff's symptoms of fourth and left scalene muscle spasms and fifth finger numbness commenced after the first accident and these symptoms were aggravated by the second and third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2. Dr. Robert Keyes'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Dr. Keyes prepared reports dated October 14, 2008 and March 10, 2011, both of which were referred to at the trial. As his latter report was prepared to comply with the new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 will refer to it. Other than changes made to comply with the Rules, the reports are essentially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noted, Dr. Keyes practises in the specialty field of neurology and clinical neurophysiology. He was asked to provide an opinion on the causes and mechanisms of the plaintiff's injuries as well as whether there would be any permanent or partial disability arising from the injuries. Dr. Keyes' expertise was admitted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Keyes saw the plaintiff at the request of Dr. Burak on July 9, 2007. At the time of the examination Dr. Keyes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presented with a number of different neurological and non neurological symptoms at the time of the July 9, 2007 clinical neurological assessment and neurophysiological assessment. The patient complained of persistent and fluctuating neck pain &amp; stiffness; the patient complained of persistent &amp; fluctuating left shoulder pain; the patient complained of intermittent left upper limb pain; and the patient complained of intermittent left upper limb numbness, tingling and weakness. The patient reported that all of the aforementioned symptoms occurred following a motor vehicle accident that occurred in 2004. The patient also reported that he developed a worsening of the pre-existing neck, left shoulder and left upper limb symptoms following a second motor vehicle accident that occurred in 2005. Finally the patient reported that despite a variety of physiotherapy and other treatments, his neck, left shoulder and left upper limb symptoms had neither improved nor worsened since the time of the first motor vehicle accident and the clinical neurological assessment and neurophysiological assessments of July 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Following his examination of Mr. Singh, Dr. Keyes formed the opinion the plaintiff's symptoms were the result of thoracic outlet syndrome which was caused by the first accident and which was aggravated by the second accident.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my opinion at that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time of the July 9, 2007 clinical neurological assessment that the patient's reported symptoms of left shoulder pain and left upper limb pain, numbness, tingling and weakness were most probably due to a left thoracic outlet syndrome. Specifically, it was my opinion that the patient had intermittent spasm of the scalenus muscles in the left thoracic outlet anatomic space which in turn would cause intermittent irritation with permanent injury or damage of the neurovascular bundle in the left thoracic outlet space. It was my opinion that the intermittent irritation of the neurovascular bundle in the left thoracic outlet anatomic space would be consistent with longevity of the patient's self reported left upper limb symptoms; the normality of the previous laboratory investigations; the normality of the previous clinical neurological examination; the normality of the previous left upper limb neurophysiological study; the minimal clinical neurological findings identified on July 9, 2007; and the borderline neurophysiological findings identified on July 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Keyes testified he used the word "permanent" in the above paragraph because of his findings on the nerve conduction tests he performed during his July 7 assessment of the plaintiff. He testified that the length of time over which the muscle spasms had occurred and the frequency of the spasms contributed to his assessment there was "permanent" damage to the neurovascular bundle in the left thoracic space. He testified that at the time of his examination of the plaintiff his symptoms had been affecting him for in excess of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however Dr. Keyes confirmed his diagnosis and opinion the plaintiff did not sustain "any significant or permanent injuries ... to his peripheral nervous system as a result of either the 2004 or 2005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report Dr. Keyes gave the following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the combination of the patient's reported symptoms, the clinical findings and the presence of positive thoracic outlet manoeuvres that permits a diagnosis of thoracic outlet syndrome as a cause for any given patient's neck, shoulder and upper limb symptoms. Thus, it was my opinion at the time of the July 9, 2007 clinical neurological assessment that the cause of the patient's left upper limb symptoms was most probably a left thoracic outlet syndrome secondary to intermittent scalenus muscle spasm associated with intermittent and variable irritation </w:t>
      </w:r>
      <w:r>
        <w:rPr>
          <w:rFonts w:ascii="arial" w:eastAsia="arial" w:hAnsi="arial" w:cs="arial"/>
          <w:color w:val="000000"/>
          <w:sz w:val="20"/>
          <w:u w:val="single"/>
          <w:lang w:val="en-US" w:eastAsia="en-US" w:bidi="ar-SA"/>
        </w:rPr>
        <w:t>without permanent injury or damage of the neurovascular bundle in the left thoracic outlet anatomic space. It was my opinion that the left thoracic outlet syndrome first developed following the 2004 motor vehicle accident and was aggravated by the 2005 motor vehicle accident. At the time of the July 9, 2007 clinical neurological assessment it was not possible to determine if either of the two motor vehicle accidents was the more responsible for the patient's ongoing symptoms and signs.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my opinion that the minimal sensory findings in the left fingers and left hand combined with the suggestive findings on the neurophysiological study and the patient's self reporting longstanding left upper limb symptoms all supported a diagnosis of left thoracic outlet syndrome as a cause for the left upper limb symptoms. </w:t>
      </w:r>
      <w:r>
        <w:rPr>
          <w:rFonts w:ascii="arial" w:eastAsia="arial" w:hAnsi="arial" w:cs="arial"/>
          <w:color w:val="000000"/>
          <w:sz w:val="20"/>
          <w:u w:val="single"/>
          <w:lang w:val="en-US" w:eastAsia="en-US" w:bidi="ar-SA"/>
        </w:rPr>
        <w:t>It was also my opinion that the patient had sustained no significant or permanent neurological injuries on [</w:t>
      </w:r>
      <w:r>
        <w:rPr>
          <w:rFonts w:ascii="arial" w:eastAsia="arial" w:hAnsi="arial" w:cs="arial"/>
          <w:i/>
          <w:color w:val="000000"/>
          <w:sz w:val="20"/>
          <w:u w:val="single"/>
          <w:lang w:val="en-US" w:eastAsia="en-US" w:bidi="ar-SA"/>
        </w:rPr>
        <w:t>sic</w:t>
      </w:r>
      <w:r>
        <w:rPr>
          <w:rFonts w:ascii="arial" w:eastAsia="arial" w:hAnsi="arial" w:cs="arial"/>
          <w:color w:val="000000"/>
          <w:sz w:val="20"/>
          <w:u w:val="single"/>
          <w:lang w:val="en-US" w:eastAsia="en-US" w:bidi="ar-SA"/>
        </w:rPr>
        <w:t>] any kind as a result of either the 2004 or 2005 motor vehicle accidents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It was my opinion that the patient had sustained musculoligamentous injuries to the cervical spine and upper torso as a result of both the 2004 and 2005 motor vehicle accidents</w:t>
      </w:r>
      <w:r>
        <w:rPr>
          <w:rFonts w:ascii="arial" w:eastAsia="arial" w:hAnsi="arial" w:cs="arial"/>
          <w:color w:val="000000"/>
          <w:sz w:val="20"/>
          <w:lang w:val="en-US" w:eastAsia="en-US" w:bidi="ar-SA"/>
        </w:rPr>
        <w:t>. It was my opinion that the patient should be treated with physiotherapy directed at a diagnosis of left thoracic outlet syndrome secondary to intermittent left scalenus muscle spasm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Keyes considered the plaintiff's symptoms would improve over time and likely resolve: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was my opinion that the patient's symptoms would probably improve and hopefully resolve over time with the appropriate physical therapy type treatments indicated.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my opinion following the results of the radiological studies that the aforementioned clinical diagnoses and opinions detailed at the time of the clinical neurological assessment and neurophysiological assessment of July 9, 2007 were the most likely causes for the patient's ongoing symptoms. </w:t>
      </w:r>
      <w:r>
        <w:rPr>
          <w:rFonts w:ascii="arial" w:eastAsia="arial" w:hAnsi="arial" w:cs="arial"/>
          <w:color w:val="000000"/>
          <w:sz w:val="20"/>
          <w:u w:val="single"/>
          <w:lang w:val="en-US" w:eastAsia="en-US" w:bidi="ar-SA"/>
        </w:rPr>
        <w:t>It was my opinion that the patient would almost certainly respond to non surgical treatments for left thoracic outlet syndrome with the expectation that the symptoms would improve and probably resolve over time</w:t>
      </w:r>
      <w:r>
        <w:rPr>
          <w:rFonts w:ascii="arial" w:eastAsia="arial" w:hAnsi="arial" w:cs="arial"/>
          <w:color w:val="000000"/>
          <w:sz w:val="20"/>
          <w:lang w:val="en-US" w:eastAsia="en-US" w:bidi="ar-SA"/>
        </w:rPr>
        <w:t>. The patient was then referred back to the care of the patient's family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was my opinion that the patient would most probably improve with appropriate physiotherapy treatments. It was my opinion that the patient's short term and long term neurological prognoses were very good to excellent. It was my opinion that the patient's recreational and employment activities would not be significantly affected over the long term because of any of the aforementioned difficulties.</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Keyes noted the patient did not tell him about the September 18, 2007 accident. Dr. Keyes commented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repeated injuries to the same areas of the neck, upper torso and shoulders by the same mechanism would be expected to result in similar symptoms and a more prolonged recovery time when compared to those individuals who experienced only one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3. Dr. Andrew Travlos's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Travlos was retained by Mr. Singh's counsel to conduct an examination of Mr. Singh, to review the medical records and to provide an opinion on causation of the injuries, his diagnosis, prognosis, suggested treatment and to comment on activity limitations the injuries might have on Mr. Singh. Dr. Travlos prepared a report dated April 29, 2009 which was tendered in evidence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Travlos had reviewed Dr. Burak's clinical records and Dr. Keyes' report. He examined Mr. Singh on the date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found Dr. Travlos to be qualified to offer opinion evidence to the Court on the subject matters contained in his medical-legal report dated April 29, 2009. Dr. Travlos is a qualified and registered Physical Medicine and Rehabilitation specialist in B.C. He testified the difference between his area of specialty and that of a neurologist was that his specialty focused more on rehabilitation than on diagnostics.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essence, Dr. Travlos agreed with Dr. Keyes' diagnosis that Mr. Singh suffered from left thoracic outlet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Travlos's report included these comments and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Mr. Singh's current symptoms are, indeed, consistent with the opinions of Dr. Keyes. Mr. Singh definitely does have a left thoracic outlet syndrome accounting for these pains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Singh likely has a functional thoracic outlet syndrome that is being intermittently activated to entrap the nerves of the thoracic outlet as they enter the upper extremity. This is hence the reason for the intermittent numbness and tingling that he has. Thoracic outlet syndromes are typically associated with pains around the left shoulder girdle, just as Mr. Singh describes, and they also cause a sensation of heaviness and tingling down the arm just as Mr. Singh complains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He has now had symptoms for four and a half years and there is no real expectation that further treatment is going to magically cure his symptoms</w:t>
      </w:r>
      <w:r>
        <w:rPr>
          <w:rFonts w:ascii="arial" w:eastAsia="arial" w:hAnsi="arial" w:cs="arial"/>
          <w:color w:val="000000"/>
          <w:sz w:val="20"/>
          <w:lang w:val="en-US" w:eastAsia="en-US" w:bidi="ar-SA"/>
        </w:rPr>
        <w:t>. Nevertheless, his symptom complaints can be improved upon to assist in reduction of their severity, frequency, and duration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my opinion that Mr. Singh's current symptoms are residual from the injuries he sustained with these accidents. It is difficult to know just when the arm symptoms started in terms of whether they arose following the first or second accident. If one assumes the history to be correct, then the symptoms began with the first accident, but when one looks at the records, it would appear that the arm symptoms started after the second accident. </w:t>
      </w:r>
      <w:r>
        <w:rPr>
          <w:rFonts w:ascii="arial" w:eastAsia="arial" w:hAnsi="arial" w:cs="arial"/>
          <w:color w:val="000000"/>
          <w:sz w:val="20"/>
          <w:u w:val="single"/>
          <w:lang w:val="en-US" w:eastAsia="en-US" w:bidi="ar-SA"/>
        </w:rPr>
        <w:t>In any event, the majority of his complaints were a result of a combination of both the first and second accidents. It appears that the third and fourth accidents were of much lesser severity, but may have played a role in perpetuating the problem</w:t>
      </w:r>
      <w:r>
        <w:rPr>
          <w:rFonts w:ascii="arial" w:eastAsia="arial" w:hAnsi="arial" w:cs="arial"/>
          <w:color w:val="000000"/>
          <w:sz w:val="20"/>
          <w:lang w:val="en-US" w:eastAsia="en-US" w:bidi="ar-SA"/>
        </w:rPr>
        <w:t xml:space="preserve">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Travlos recommended Mr. Singh would benefit from further treatment for his symptoms. He suggested a structured conditioning program, medication to improve his sleep and in his medical-legal report that, as a final option, Mr. Singh should consider an injection of botulinium toxin. At trial Dr. Travlos testified he no longer strongly recommended such injection treatment - it was simply an option for Mr. Singh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Travlos drew the following conclusions regarding Mr. Singh's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Singh is capable of doing chores and activities around the home. It is quite likely that certain types of activities will be more likely than not to trigger his symptoms, but he is and will remain able to do the majority of home chores. He may have to pace out the activities or return back to the activity if needed at a later time. This may, however, limit what he can and cannot do, and there may be chores and activities around the house that he prefers to have others do for him. He may well have to employ people to do certain types of work of a heavier nature. He would definitely be challenged to do home renovations or decorating, such as painting.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Singh should be encouraged to participate in recreational activities as he desires. I would not specifically restrict him from doing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Singh is capable of continuing to work as he is doing on a full time capacity. </w:t>
      </w:r>
      <w:r>
        <w:rPr>
          <w:rFonts w:ascii="arial" w:eastAsia="arial" w:hAnsi="arial" w:cs="arial"/>
          <w:color w:val="000000"/>
          <w:sz w:val="20"/>
          <w:u w:val="single"/>
          <w:lang w:val="en-US" w:eastAsia="en-US" w:bidi="ar-SA"/>
        </w:rPr>
        <w:t>It is probable that these symptoms are affecting aspects of his work but he should remain gainfully employed. If he were to lose this job for whatever reason, he would need to avoid work that required a lot of overhead reaching activities as these would definitely trigger his symptoms and he would have difficulty maintaining such work. In other words, Mr. Singh's access to the unrestricted job market will be affected by his symptoms if he finds himself in need of alternative work. He is nevertheless capable of gainful, full time employment and should remain so into the future.</w:t>
      </w:r>
      <w:r>
        <w:rPr>
          <w:rFonts w:ascii="arial" w:eastAsia="arial" w:hAnsi="arial" w:cs="arial"/>
          <w:color w:val="000000"/>
          <w:sz w:val="20"/>
          <w:lang w:val="en-US" w:eastAsia="en-US" w:bidi="ar-SA"/>
        </w:rPr>
        <w:t xml:space="preserve"> There is no reason for his situation to deteriorate over time unless he has a new accident or injury. His current symptoms have therefore left him more vulnerable to further injury and a prolonged recovery.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cross-examination Dr. Travlos agreed (as did Dr. Keyes) that thoracic outlet syndrome is a "disputed" diagnosis as it is a diagnosis which cannot be substantiated by objective clinical testing. Rather, it is a diagnosis based on an assessment of the patient's subjective complaints. He also agreed Mr. Singh did not report "numbness" or "tingling" in his hands until after November 2004, and that at the time he saw Mr. Singh, the results of his neurological examination were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further agreed Dr. Burak had noted in his clinical records that Mr. Singh had reported he was 55% - 60% recovered by January 23, 2006 ("but was still having left shoulder and hand tingling and weakness") and that he had reported he was 85% - 90% recovered by June 2006. On review however I note from the clinical records filed in evidence that Mr. Singh continued to complain of hand and arm numbness subsequent to June 2006. He advised Dr. Burak his symptoms had become 10% - 15% worse following the accident of September 18, 2007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 AND THE IMPACT OF THE INJURIES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accept Mr. Singh to have been a credible witness. I find he did not over estimate his injuries or the impact they had on his ability to perform his duties at work or the limitations he experienced in his daily life. His description of his limitations is generally consistent with that provided to the physicians he has seen. The odd difference is not surprising given the number of accidents he has been involved in, the similarity of symptoms which have persisted throughout to the date of trial and the passage of time since the first and second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My assessment of Mr. Singh is that he is a modest, unassuming plaintiff who is struggling stoically to deal with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Singh is 39 years of age and married with two children, aged 7 and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graduated from high school in 1992 and, after working for several years, obtained a certificate from the B.C. Institute of Technology in entry level auto mechanics. He did that type of work for a period but did not stay with it. He has maintained an interest in the field and has done maintenance work on his own and others' vehicles as a hobby.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then working as a warehouse employee for a time he took a year-long course to obtain a certification as an Electronics Technician. The certification allows him to do bench testing of equipment using proprietary software, install video cameras, work on telephone lines and install transformers.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or about 1998 he worked for a company which made receivers and transmitters for satellite systems. The job lasted for 1 1/2 years until its Burnaby, B.C., plant was closed and Mr. Singh lost his job. He then took a job with his present employer, a company which did contract work for his former employer. He testified the work force has shrunk from about 40 employees when he first commenced employment to 12 employees at present. One of the main causes for the reduction in the workforce was the loss of a major customer a number of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Singh presently acts in many capacities for his employer. While he is the only electronics technician employed, he also performs the job functions of purchaser, production manager, shipper, receiver, and performs maintenance functions. He bench tests and programs machinery.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Prior to the first accident, Mr. Singh was generally a healthy person. In particular he had no health issues with his left arm or with his musculoskeletal system. He was able to perform overhead tasks without difficulty and without tingling or numbness developing in his left arm and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a vocation, Mr. Singh has enjoyed working on automobiles. He has performed oil changes, changed out brakes and done other mechanical work without assistance and in doing so he had no difficulty doing the overhead reaching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Singh testified that within months subsequent to the first accident he began experiencing pain, numbness and tingling in his left arm and shoulder when raising his arms to do overhead work while working under machinery at work, and while typing on a keyboard. These symptoms were aggravated by the second accident and have continued to the present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a result of the injury he is required to take short breaks at work to "shake out" the numbness and tingling. His testified his employer tolerates what he says is his reduced productivity as a result of these breaks. He testified his employer "was ok" with his taking breaks because it appreciated the range of functions he was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Singh testified his arm felt "heavy" all the time. Mr. Singh testified he had looked for other jobs - particularly at Telus and BC Hydro - in search of a position that would utilize his training as an electronics technician but that such work would entail overhead lifting and he feels he cannot perform such work. He also testified there are not many jobs available in the field. His present intention is to stay with his current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numbness and tingling to the left arm and hand has also had the significant effect of waking him several times during the night. This has been an ongoing and persistent problem since the first accident. It occurs nightly and leaves him feeling tired throughout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injuries have also had an effect on his daily family activities. It is difficult for him to lift his children while playing with them, takes longer to assist in household chores such as vacuuming and cleaning and carrying groceries, which he says are difficult for more than a few minutes without resting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description of the effect of his injuries on his daily life was supported by the evidence of his brother-in-law, Mr. Alvir Ram. Mr. Ram testified as to the difficulties Mr. Singh had in doing automotive work and when assisting him to paint Mr. Singh's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accept Mr. Singh's evidence as to the effect the injuries have had on him and his work and his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argues that as required under s. 24(5)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he took all reasonable steps to determine the identity of the driver of the accident of September 18, 2007: </w:t>
      </w:r>
      <w:r>
        <w:rPr>
          <w:rFonts w:ascii="arial" w:eastAsia="arial" w:hAnsi="arial" w:cs="arial"/>
          <w:i/>
          <w:color w:val="000000"/>
          <w:sz w:val="20"/>
          <w:lang w:val="en-US" w:eastAsia="en-US" w:bidi="ar-SA"/>
        </w:rPr>
        <w:t>Smoluk v. Insurance Corp. of British Columbia</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(1993), 83 B.C.L.R. (2d) 328</w:t>
        </w:r>
      </w:hyperlink>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26 B.C.A.C. 23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any event, the plaintiff says the injury to his left arm and shoulder and his headaches were caused by the first accident and aggravated by the second accident and that his injuries were not aggravated or affected by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 argues a range of non-pecuniary damages between $90,000 and $110,000 is appropriate, relying on: </w:t>
      </w:r>
      <w:r>
        <w:rPr>
          <w:rFonts w:ascii="arial" w:eastAsia="arial" w:hAnsi="arial" w:cs="arial"/>
          <w:i/>
          <w:color w:val="000000"/>
          <w:sz w:val="20"/>
          <w:lang w:val="en-US" w:eastAsia="en-US" w:bidi="ar-SA"/>
        </w:rPr>
        <w:t>Cimino v. Kwit</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2009 BCSC 912</w:t>
        </w:r>
      </w:hyperlink>
      <w:r>
        <w:rPr>
          <w:rFonts w:ascii="arial" w:eastAsia="arial" w:hAnsi="arial" w:cs="arial"/>
          <w:color w:val="000000"/>
          <w:sz w:val="20"/>
          <w:lang w:val="en-US" w:eastAsia="en-US" w:bidi="ar-SA"/>
        </w:rPr>
        <w:t xml:space="preserve"> ($85,000); </w:t>
      </w:r>
      <w:r>
        <w:rPr>
          <w:rFonts w:ascii="arial" w:eastAsia="arial" w:hAnsi="arial" w:cs="arial"/>
          <w:i/>
          <w:color w:val="000000"/>
          <w:sz w:val="20"/>
          <w:lang w:val="en-US" w:eastAsia="en-US" w:bidi="ar-SA"/>
        </w:rPr>
        <w:t>Durand v. Bolt</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($75,000); and </w:t>
      </w:r>
      <w:r>
        <w:rPr>
          <w:rFonts w:ascii="arial" w:eastAsia="arial" w:hAnsi="arial" w:cs="arial"/>
          <w:i/>
          <w:color w:val="000000"/>
          <w:sz w:val="20"/>
          <w:lang w:val="en-US" w:eastAsia="en-US" w:bidi="ar-SA"/>
        </w:rPr>
        <w:t>Hooper v. Nair</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2009 BCSC 862</w:t>
        </w:r>
      </w:hyperlink>
      <w:r>
        <w:rPr>
          <w:rFonts w:ascii="arial" w:eastAsia="arial" w:hAnsi="arial" w:cs="arial"/>
          <w:color w:val="000000"/>
          <w:sz w:val="20"/>
          <w:lang w:val="en-US" w:eastAsia="en-US" w:bidi="ar-SA"/>
        </w:rPr>
        <w:t xml:space="preserve">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addition, the plaintiff seeks an award of $616 for past loss of income, between $85,000 and $110,000 for loss of future earning capacity, $1,000 for the cost of future care (botulinum injections and analgesic medications) and $10,000 for loss of housekeeping capacity (future painting of townhouse).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 ICBC agrees the appropriate approach to the assessment of damages in this case is that set out by our Court of Appeal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leave to appeal to S.C.C. refused, </w:t>
      </w:r>
      <w:hyperlink r:id="rId109" w:history="1">
        <w:r>
          <w:rPr>
            <w:rFonts w:ascii="arial" w:eastAsia="arial" w:hAnsi="arial" w:cs="arial"/>
            <w:i/>
            <w:color w:val="0077CC"/>
            <w:sz w:val="20"/>
            <w:u w:val="single"/>
            <w:shd w:val="clear" w:color="auto" w:fill="FFFFFF"/>
            <w:lang w:val="en-US" w:eastAsia="en-US" w:bidi="ar-SA"/>
          </w:rPr>
          <w:t>[2011] S.C.C.A. No. 337</w:t>
        </w:r>
      </w:hyperlink>
      <w:r>
        <w:rPr>
          <w:rFonts w:ascii="arial" w:eastAsia="arial" w:hAnsi="arial" w:cs="arial"/>
          <w:color w:val="000000"/>
          <w:sz w:val="20"/>
          <w:lang w:val="en-US" w:eastAsia="en-US" w:bidi="ar-SA"/>
        </w:rPr>
        <w:t>, 2011 CarswellBC 890. The defendant ICBC agrees the injuries following the first accident are indivisible from those sustained in the other accidents: that is, it is appropriate to assess damages globally, not apportion them between the various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there are five named defendants other than ICBC, the damages alleged result from motor vehicle accidents and will be assessed globally. I will therefore refer to ICBC as the defendant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defendant argues Mr. Singh did not take sufficient steps to ascertain the identity of the driver responsible for the third accident. The defendant says the plaintiff could have reasonably obtained the vehicle licence plate number at the time the accident occurred and did not act reasonably in failing to do so. The defendant relies on: </w:t>
      </w:r>
      <w:r>
        <w:rPr>
          <w:rFonts w:ascii="arial" w:eastAsia="arial" w:hAnsi="arial" w:cs="arial"/>
          <w:i/>
          <w:color w:val="000000"/>
          <w:sz w:val="20"/>
          <w:lang w:val="en-US" w:eastAsia="en-US" w:bidi="ar-SA"/>
        </w:rPr>
        <w:t>Leggett v. Insurance Corp. of British Columbia</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(1992), 96 D.L.R. (4th) 123</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72 B.C.L.R. (2d) 201</w:t>
        </w:r>
      </w:hyperlink>
      <w:r>
        <w:rPr>
          <w:rFonts w:ascii="arial" w:eastAsia="arial" w:hAnsi="arial" w:cs="arial"/>
          <w:color w:val="000000"/>
          <w:sz w:val="20"/>
          <w:lang w:val="en-US" w:eastAsia="en-US" w:bidi="ar-SA"/>
        </w:rPr>
        <w:t xml:space="preserve"> at para. 11 (C.A.), leave to appeal to S.C.C. refused, </w:t>
      </w:r>
      <w:hyperlink r:id="rId111" w:history="1">
        <w:r>
          <w:rPr>
            <w:rFonts w:ascii="arial" w:eastAsia="arial" w:hAnsi="arial" w:cs="arial"/>
            <w:i/>
            <w:color w:val="0077CC"/>
            <w:sz w:val="20"/>
            <w:u w:val="single"/>
            <w:shd w:val="clear" w:color="auto" w:fill="FFFFFF"/>
            <w:lang w:val="en-US" w:eastAsia="en-US" w:bidi="ar-SA"/>
          </w:rPr>
          <w:t>[1992] S.C.C.A. No. 558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Watson v. Insurance Corporation of British Columbia</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2004 BCSC 1695</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 argues the evidence establishes the plaintiff has suffered but that they are "mild" injuries which have had "minimal" impact on his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says the diagnosis of left thoracic outlet syndrome made by Drs. Keyes and Travlos is not a universally accepted diagnosis by neurologists and that several of the tests performed by the physicians (Adson's and Allen's tests) were negative for TOS. The defendant argues this fact suggests some other cause for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 also points to several inconsistencies between the plaintiff's evidence at trial and at his examination for discovery. In particular counsel noted inconsistencies regarding the onset of the plaintiff's hand numbness, when his headaches resolved, the nature of the injuries following the fourth accident, his ability to lift weights and the amount of weight he could lift and his evidence regarding his overall improvement from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defendant argues non-pecuniary damages should be assessed in the range of $50,000 to $55,000 and relies on </w:t>
      </w:r>
      <w:r>
        <w:rPr>
          <w:rFonts w:ascii="arial" w:eastAsia="arial" w:hAnsi="arial" w:cs="arial"/>
          <w:i/>
          <w:color w:val="000000"/>
          <w:sz w:val="20"/>
          <w:lang w:val="en-US" w:eastAsia="en-US" w:bidi="ar-SA"/>
        </w:rPr>
        <w:t>Langley v. Heppner</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2011 BCSC 179</w:t>
        </w:r>
      </w:hyperlink>
      <w:r>
        <w:rPr>
          <w:rFonts w:ascii="arial" w:eastAsia="arial" w:hAnsi="arial" w:cs="arial"/>
          <w:color w:val="000000"/>
          <w:sz w:val="20"/>
          <w:lang w:val="en-US" w:eastAsia="en-US" w:bidi="ar-SA"/>
        </w:rPr>
        <w:t xml:space="preserve"> ($55,000), as well as the cases cited by the plaintiff where, it is asserted, the injuries were considerably more significant than those sustained by Mr.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defendant says there should be no award made for loss of earning capacity as any such loss is entirely speculative: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The s. 24 defence relating to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have outlined the parties' positions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question for determination is whether the plaintiff made all reasonable efforts to obtain the identity of the driver of the vehicle which struck his vehicle on September 18, 2007: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the present case, Mr. Singh might have been able to take down the licence plate number of the offending vehicle if he had done so immediately. However, he did not expect the vehicle to leave the scene of the accident. Once it became clear that the vehicle was not going to stop, his wife made an effort to write the number down, but only got two of the letters. Following the accident Mr. Singh took all reasonable steps to ascertain the identity of the driver. He spoke to two witnesses, he telephoned ICBC, attended the police, phoned his lawyer to obtain advice as to how to proceed, and, as a result, put up flyers seeking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the plaintiff's case was dismissed because the Court found he had made a decision not to pursue his rights at the time of the accident. In </w:t>
      </w:r>
      <w:r>
        <w:rPr>
          <w:rFonts w:ascii="arial" w:eastAsia="arial" w:hAnsi="arial" w:cs="arial"/>
          <w:i/>
          <w:color w:val="000000"/>
          <w:sz w:val="20"/>
          <w:lang w:val="en-US" w:eastAsia="en-US" w:bidi="ar-SA"/>
        </w:rPr>
        <w:t>Smoluk</w:t>
      </w:r>
      <w:r>
        <w:rPr>
          <w:rFonts w:ascii="arial" w:eastAsia="arial" w:hAnsi="arial" w:cs="arial"/>
          <w:color w:val="000000"/>
          <w:sz w:val="20"/>
          <w:lang w:val="en-US" w:eastAsia="en-US" w:bidi="ar-SA"/>
        </w:rPr>
        <w:t xml:space="preserve"> the Court distinguished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stating,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In my view, the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case is clearly distinguishable from this case because the plaintiff in this action made no decision not to pursue her rights. She was prevented from obtaining more information because of the precipitate departure of the wrongdoer, and in my view the plaintiff acted reasonably in taking down the license plate number which would lead any reasonable person to believe that the identity of the person had been or could easily be ascertained. The fact that she got the number wrong in such circumstances does not indicate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Smoluk</w:t>
      </w:r>
      <w:r>
        <w:rPr>
          <w:rFonts w:ascii="arial" w:eastAsia="arial" w:hAnsi="arial" w:cs="arial"/>
          <w:color w:val="000000"/>
          <w:sz w:val="20"/>
          <w:lang w:val="en-US" w:eastAsia="en-US" w:bidi="ar-SA"/>
        </w:rPr>
        <w:t xml:space="preserve"> are similar to those in this case. The offending driver in that case drove away while the plaintiff was inspecting the damage to his vehicle. While the driver in </w:t>
      </w:r>
      <w:r>
        <w:rPr>
          <w:rFonts w:ascii="arial" w:eastAsia="arial" w:hAnsi="arial" w:cs="arial"/>
          <w:i/>
          <w:color w:val="000000"/>
          <w:sz w:val="20"/>
          <w:lang w:val="en-US" w:eastAsia="en-US" w:bidi="ar-SA"/>
        </w:rPr>
        <w:t>Smoluk</w:t>
      </w:r>
      <w:r>
        <w:rPr>
          <w:rFonts w:ascii="arial" w:eastAsia="arial" w:hAnsi="arial" w:cs="arial"/>
          <w:color w:val="000000"/>
          <w:sz w:val="20"/>
          <w:lang w:val="en-US" w:eastAsia="en-US" w:bidi="ar-SA"/>
        </w:rPr>
        <w:t xml:space="preserve"> did get the opportunity to take down a partial plate number Mr. Singh did not. I find that under the circumstances his expectation the other driver would comply with the law and stop his/her vehicle was a reasonable one. When the vehicle left the scene as he was getting out of his vehicle, it was too late to get particulars of the licence plate number. I conclude Mr. Singh acted as a reasonable person would have acted in preserving his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Based on the medical reports and testimony of Drs. Keyes and Travlos, I am satisfied the plaintiff suffers from thoracic outlet syndrome which causes him difficulty holding his hands above his head, causes his left arm and shoulder to go numb such that he must lower his arm and "shake" the tingling and numbness out, and that this injury affects him both at work and in his home life as described earlier in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is also affected because his injury wakes him several times each night, causing him to be tired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also suffered low back pain and persistent headaches which lasted for several years after the second accident but which have now cleared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Some of the factors important to an assessment of non-pecuniary damages include: the age of the plaintiff; the nature of the injury; the severity and duration of the pain; the extent of disability; the degree of emotional suffering; the loss of or impairment to the enjoyment of life; the impairment of family and other social relationships; the impairment of physical and mental abilities; and the loss of lifestyle: see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to S.C.C. refused, </w:t>
      </w:r>
      <w:hyperlink r:id="rId11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2006 CarswellBC 2598.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cases relied on by the plaintiff to support the range of appropriate damages were recently reviewed by Mr. Justice Barrow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He stated at paras. 75, 76, and 79-81: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In </w:t>
      </w:r>
      <w:r>
        <w:rPr>
          <w:rFonts w:ascii="arial" w:eastAsia="arial" w:hAnsi="arial" w:cs="arial"/>
          <w:i/>
          <w:color w:val="000000"/>
          <w:sz w:val="20"/>
          <w:lang w:val="en-US" w:eastAsia="en-US" w:bidi="ar-SA"/>
        </w:rPr>
        <w:t>Cimino</w:t>
      </w:r>
      <w:r>
        <w:rPr>
          <w:rFonts w:ascii="arial" w:eastAsia="arial" w:hAnsi="arial" w:cs="arial"/>
          <w:color w:val="000000"/>
          <w:sz w:val="20"/>
          <w:lang w:val="en-US" w:eastAsia="en-US" w:bidi="ar-SA"/>
        </w:rPr>
        <w:t>, Dillon J. awarded a 44-year-old plaintiff who suffered from thoracic outlet syndrome $85,000 in non-pecuniary damages. Ms. Cimino, however, was in continual daily pain. She took synthetic morphine every day. Without that medication she would be unable to function by noon. Her right-sided weakness was so significant that she could not hold a jug of water (paras. 15 and 16). Dillon J. found that the plaintiff's condition was permanent and would continue to require daily doses of various kinds of pain medication in order for the plaintiff to function both personally and at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In </w:t>
      </w:r>
      <w:r>
        <w:rPr>
          <w:rFonts w:ascii="arial" w:eastAsia="arial" w:hAnsi="arial" w:cs="arial"/>
          <w:i/>
          <w:color w:val="000000"/>
          <w:sz w:val="20"/>
          <w:lang w:val="en-US" w:eastAsia="en-US" w:bidi="ar-SA"/>
        </w:rPr>
        <w:t>Durand</w:t>
      </w:r>
      <w:r>
        <w:rPr>
          <w:rFonts w:ascii="arial" w:eastAsia="arial" w:hAnsi="arial" w:cs="arial"/>
          <w:color w:val="000000"/>
          <w:sz w:val="20"/>
          <w:lang w:val="en-US" w:eastAsia="en-US" w:bidi="ar-SA"/>
        </w:rPr>
        <w:t>, Davies J. awarded a 45-year-old plaintiff $75,000 in non-pecuniary damages. Again, Ms. Durand's injuries were more serious than Mr. Langley's. Like Mr. Langley, Ms. Durand was stoic and uncomplaining. She needed to continue to work, but doing so in the face of her permanent injuries, consumed virtually all her energy. She was unable to carry grocery bags and had difficulty performing relatively minor physical tasks such as wringing out clothes (paras. 56 and 57). Her situation was not expected to improve.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In </w:t>
      </w:r>
      <w:r>
        <w:rPr>
          <w:rFonts w:ascii="arial" w:eastAsia="arial" w:hAnsi="arial" w:cs="arial"/>
          <w:i/>
          <w:color w:val="000000"/>
          <w:sz w:val="20"/>
          <w:lang w:val="en-US" w:eastAsia="en-US" w:bidi="ar-SA"/>
        </w:rPr>
        <w:t>Driscoll</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[2009] B.C.J. No. 478</w:t>
        </w:r>
      </w:hyperlink>
      <w:r>
        <w:rPr>
          <w:rFonts w:ascii="arial" w:eastAsia="arial" w:hAnsi="arial" w:cs="arial"/>
          <w:color w:val="000000"/>
          <w:sz w:val="20"/>
          <w:lang w:val="en-US" w:eastAsia="en-US" w:bidi="ar-SA"/>
        </w:rPr>
        <w:t>, the 45-year-old plaintiff suffered low back and right shoulder pain which, like Mr. Langley, reduced his capacity for repetitive overhead reaching and lifting (para. 101). At trial, some five years after the accident, Mr. Driscoll still suffered from pain, sleep disturbance, and restrictions on his activities. Gray J. described him as "stoic" and "inclined to push through pain until it becomes intolerable". Although the nature of Mr. Driscoll's injuries differ in some respects from Mr. Langley's, the way they impacted his life is similar to the way that Mr. Langley's injuries have impacted his life. Mr. Driscoll was awarded $55,000 in general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In </w:t>
      </w:r>
      <w:r>
        <w:rPr>
          <w:rFonts w:ascii="arial" w:eastAsia="arial" w:hAnsi="arial" w:cs="arial"/>
          <w:i/>
          <w:color w:val="000000"/>
          <w:sz w:val="20"/>
          <w:lang w:val="en-US" w:eastAsia="en-US" w:bidi="ar-SA"/>
        </w:rPr>
        <w:t>Verhnjak</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[2005] B.C.J. No. 1714</w:t>
        </w:r>
      </w:hyperlink>
      <w:r>
        <w:rPr>
          <w:rFonts w:ascii="arial" w:eastAsia="arial" w:hAnsi="arial" w:cs="arial"/>
          <w:color w:val="000000"/>
          <w:sz w:val="20"/>
          <w:lang w:val="en-US" w:eastAsia="en-US" w:bidi="ar-SA"/>
        </w:rPr>
        <w:t>, a 55-year-old plaintiff was awarded $40,000 in non-pecuniary damages in 2005. Although her injuries were permanent, their affect on her life was less significant than in the case of Mr. Langley. That is so in part because Ms. Verhnjak was 55 years old, and whatever recreational pursuits she enjoyed they were not significantly affected by her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In view of all of the foregoing, an appropriate award for non-pecuniary damages is $55,000.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Barrow J. summarized the plaintiff's injuries at para. 54 and 58-64. Mr. Langley also suffered a mechanical injury to his back which had returned to pre-accident condition within five years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Singh's injuries are somewhat similar to those suffered by Mr. Langley. The latter was a younger person and the injuries impacted significantly on his sporting activities. Mr. Singh's injuries impact on his at-work activities and family life. In addition he is impacted by his arm becoming numb at night and waking him several times a night. He suffered from lower back pain and headaches for several years although these have now cleared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the prognosis for Mr. Singh is a mixed one. Dr. Keyes' diagnosis is a difficult one to understand. On the one hand he has opined that there is likely some permanent injury to the plaintiff's neurovascular bundle in the left thoracic outlet space. On the other hand, he has opined there is no permanent injury or damage of the neurovascular bundle in the left thoracic anatomic space. Dr. Keyes was clear however Mr. Singh would "almost certainly respond" without surgical intervention and expected that his symptoms would improve "and probably resolve over time". Dr. Keyes' prognosis for the plaintiff's injuries is "very good to excellent" and he says that his recreational and employment activities would "not be significantly affected over the long term". The caveat Dr. Keyes offered to this opinion in the penultimate paragraph was that "repeated injuries to the same areas... would be expected to result in similar symptoms and a more prolonged recovery..." Mr. Singh was involved in motor vehicle accidents on September 18, 2007 (which he did not tell Dr. Keyes about) and November 1, 2008, and the at-fault accident on March 19,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the time of trial Dr. Keyes had not seen the plaintiff for some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Travlos's prognosis, based on an assessment made in April 2009 was much more guarded. As noted above he was of the opinion "there is no real expectation that further treatment is going to magically cure his symptoms." Dr. Travlos recommended Mr. Singh commence a structured conditioning program outside the home. There was no evidence to suggest Mr. Singh has followed Dr. Travlos's recommendation to engage in a conditioning program outside his home or that he take medication to help relieve his sleeping problems. Had he done so it is possible these problems would have resolved more quickly than they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my view the injuries suffered by Mr. Singh are more significant than those suffered by the plaintiff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xml:space="preserve"> but less serious than those suffered by the plaintiffs in </w:t>
      </w:r>
      <w:r>
        <w:rPr>
          <w:rFonts w:ascii="arial" w:eastAsia="arial" w:hAnsi="arial" w:cs="arial"/>
          <w:i/>
          <w:color w:val="000000"/>
          <w:sz w:val="20"/>
          <w:lang w:val="en-US" w:eastAsia="en-US" w:bidi="ar-SA"/>
        </w:rPr>
        <w:t>Cimino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Durand</w:t>
      </w:r>
      <w:r>
        <w:rPr>
          <w:rFonts w:ascii="arial" w:eastAsia="arial" w:hAnsi="arial" w:cs="arial"/>
          <w:color w:val="000000"/>
          <w:sz w:val="20"/>
          <w:lang w:val="en-US" w:eastAsia="en-US" w:bidi="ar-SA"/>
        </w:rPr>
        <w:t>. I assess the plaintiff's non-pecuniary damages at $65,000.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2.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have earlier described the circumstances of Mr. Singh's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earns roughly $30,000 per annum at his current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Singh testified he has searched for other better paying work as an electrical technician but there are no available positions. In any event such work would involve lifting or working with his arms above his head and he cannot perform such work on a continuous basis. His current condition would be a handicap to him as much of the work available to him as an electrical technician is based on a quota system. It is for this reason he has not pursued searching for a position in this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is no evidence Mr. Singh's current employment with his employer Leading Edge Manufacturing is in immediate jeopardy as a result either of Mr. Singh's injuries or because of the economic viability of the industry in which his employer operates. Mr. Singh has been employed by Leading Edge for about 11 years. His employer has accommodated his injury because he has the flexibility to perform a broad range of employment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law on the issue of a claim for loss of future income earning capacity was recently reviewed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xml:space="preserve"> Barrow J. summarized that court's conclusion, at para 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on the issue of loss of future income earning capacity was recently summarized by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From a review of the authorities, she identified two principles that are to guide the assessment of damages under this head: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a loss of earnings, but, rather, loss of earning capacity for which compensation must be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paragraph 32 she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or a capital asset approach, 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 [v. Vallianatos</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2010 BCCA 20</w:t>
        </w:r>
      </w:hyperlink>
      <w:r>
        <w:rPr>
          <w:rFonts w:ascii="arial" w:eastAsia="arial" w:hAnsi="arial" w:cs="arial"/>
          <w:color w:val="000000"/>
          <w:sz w:val="20"/>
          <w:lang w:val="en-US" w:eastAsia="en-US" w:bidi="ar-SA"/>
        </w:rPr>
        <w:t>]. A plaintiff may indeed be able to prove that there is a substantial possibility of a future loss of income despite having returned to his or her usual employment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am satisfied there is a real and substantial possibility Mr. Singh may lose his job at Leading Edge at some time during his lifetime. He obtained his job at Leading Edge when his previous employer shut down its Burnaby plant. Leading Edge had done contract work with that employer. When he joined his current employer there were some 40 employees. As a result of the loss of its biggest customer the workforce has shrunk to some 12 employees. The fact the workforce has been at this level mitigates against any prospect Mr. Singh may lose his job in the immediate future. However the facts demonstrate there is transition and risk inherent in his employment in his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As the plaintiff cannot demonstrate the loss of a stream of income it is appropriate to apply the "capital asset" approach to the assessment of damages in this area. The plaintiff must meet the criteria set out in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[1995] 3 W.W.R. 728</w:t>
        </w:r>
      </w:hyperlink>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100 B.C.L.R. (2d) 260</w:t>
        </w:r>
      </w:hyperlink>
      <w:r>
        <w:rPr>
          <w:rFonts w:ascii="arial" w:eastAsia="arial" w:hAnsi="arial" w:cs="arial"/>
          <w:color w:val="000000"/>
          <w:sz w:val="20"/>
          <w:lang w:val="en-US" w:eastAsia="en-US" w:bidi="ar-SA"/>
        </w:rPr>
        <w:t>, at para. 24 (C.A.). Those criteria are whether:</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An assessment of whether a particular plaintiff meets the criteria has been described as "arbitrary", "judgemental", and "crystal ball gazing": see </w:t>
      </w:r>
      <w:r>
        <w:rPr>
          <w:rFonts w:ascii="arial" w:eastAsia="arial" w:hAnsi="arial" w:cs="arial"/>
          <w:i/>
          <w:color w:val="000000"/>
          <w:sz w:val="20"/>
          <w:lang w:val="en-US" w:eastAsia="en-US" w:bidi="ar-SA"/>
        </w:rPr>
        <w:t>Letourneau v. Min</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2001 BCSC 1519</w:t>
        </w:r>
      </w:hyperlink>
      <w:r>
        <w:rPr>
          <w:rFonts w:ascii="arial" w:eastAsia="arial" w:hAnsi="arial" w:cs="arial"/>
          <w:color w:val="000000"/>
          <w:sz w:val="20"/>
          <w:lang w:val="en-US" w:eastAsia="en-US" w:bidi="ar-SA"/>
        </w:rPr>
        <w:t xml:space="preserve"> at para. 60, aff'd </w:t>
      </w:r>
      <w:hyperlink r:id="rId123" w:history="1">
        <w:r>
          <w:rPr>
            <w:rFonts w:ascii="arial" w:eastAsia="arial" w:hAnsi="arial" w:cs="arial"/>
            <w:i/>
            <w:color w:val="0077CC"/>
            <w:sz w:val="20"/>
            <w:u w:val="single"/>
            <w:shd w:val="clear" w:color="auto" w:fill="FFFFFF"/>
            <w:lang w:val="en-US" w:eastAsia="en-US" w:bidi="ar-SA"/>
          </w:rPr>
          <w:t>2003 BCCA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Langley</w:t>
      </w:r>
      <w:r>
        <w:rPr>
          <w:rFonts w:ascii="arial" w:eastAsia="arial" w:hAnsi="arial" w:cs="arial"/>
          <w:color w:val="000000"/>
          <w:sz w:val="20"/>
          <w:lang w:val="en-US" w:eastAsia="en-US" w:bidi="ar-SA"/>
        </w:rPr>
        <w:t xml:space="preserve"> at para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the present case, should Mr. Singh be required to seek alternative employment I conclude he has met all the criteria above noted: he has been rendered less capable overall from earning income from all types of employment, particularly that of an electronics technician; with his current physical limitations he is less marketable as an employee; he has lost the ability to take advantage of all job opportunities which might have been open to him; and he is less valuable to himself as a person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have taken into account: his symptoms have remained constant since the date of the second accident (some 4 1/2 years ago); he remains unable to work with his arms extended above his head for any length of time; and he will likely obtain some form of relief following the regime set forth by his physicians. It is not likely a new employer would be as accommodating to (or even hire) Mr. Singh should he lose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Singh is 39 years old and, assuming he works to age 65, has 26 years of earning capacity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view of all the forgoing I assess damages under this head of damages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3.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lost five days of work as a result of the first two accidents. He did not lose time from work from the third or fourth accident. The total amount of lost wages amounts to $616. The plaintiff will recover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4.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Singh was unable to paint his townhouse. He required the assistance of Mr. Ram to do so, in the fall of 2010. Dr. Travlos has made reference to the fact the plaintiff may well have to employ people to do work of a heavy nature such as home renovating or decorating. The plaintiff seeks an award of $10,000 in compensation for this head of damage. In my view, an award of $5,000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5.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seeks $1,000 to cover the cost of botulinum toxin injections as well as for the cost of ongoing analgesic medications. Given the testimony of Dr. Travlos I am not satisfied Mr. Singh will actually take such injections. I award the sum of $600 to cover the cost of sleeping medication and any other analgesic medication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summary, the plaintiff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earnings</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w:t>
            </w:r>
          </w:p>
        </w:tc>
        <w:tc>
          <w:tcPr>
            <w:tcW w:w="430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616.00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1359"/>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600.00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$111,216.00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Counsel may speak to the issue of costs should they be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Somani v. Jilani, [2018] B.C.J. No. 2950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24-26, February 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13-14 and February 22,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S152434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2950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1331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Moe Somani, Somani Group International, Plaintiff, and Layla Jilani, Layla Jilani doing business as Wellness Massage Therapy Center,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Civil litigation — Civil procedure — Costs — Particular orders — Special orders — For reprehensible or inefficient conduct — Increase in scale of costs — Action by plaintiff for damages for breach of contract dismissed — Counterclaim by defendant for damages for defamation allowed — Plaintiff alleged parties, who were friends, orally agreed to establish massage business as equal partners — Plaintiff wrote internet articles indicating he was suing defendant for fraud and embezzlement — Plaintiff had lied to court — His misconduct alone warranted dismissal of his claim — Parties never had agreement — Defamatory articles were motivated by malice — Defendant was awarded $10,000 in general damages, $15,000 in aggravated damages, $25,000 in punitive damages, and $75,000 in increased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Formation — Oral contracts — Action by plaintiff for damages for breach of contract dismissed — Counterclaim by defendant for damages for defamation allowed — Plaintiff alleged parties, who were friends, orally agreed to establish massage business as equal partners — Plaintiff wrote internet articles indicating he was suing defendant for fraud and embezzlement — Plaintiff had lied to court — His misconduct alone warranted dismissal of his claim — Parties never had agreement — Defamatory articles were motivated by malice — Defendant was awarded $10,000 in general damages, $15,000 in aggravated damages, $25,000 in punitive damages, and $75,000 in increased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Defamation — Method of publication — Internet — Action by plaintiff for damages for breach of contract dismissed — Counterclaim by defendant for damages for defamation allowed — Plaintiff alleged parties, who were friends, orally agreed to establish massage business as equal partners — Plaintiff wrote internet articles indicating he was suing defendant for fraud and embezzlement — Plaintiff had lied to court — His misconduct alone warranted dismissal of his claim — Parties never had agreement — Defamatory articles were motivated by malice — Defendant was awarded $10,000 in general damages, $15,000 in aggravated damages, $25,000 in punitive damages, and $75,000 in increased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Exemplary or punitive damages — Where high-handed, malicious, arbitrary or highly-reprehensible misconduct — Aggravated damages — Action by plaintiff for damages for breach of contract dismissed — Counterclaim by defendant for damages for defamation allowed — Plaintiff alleged parties, who were friends, orally agreed to establish massage business as equal partners — Plaintiff wrote internet articles indicating he was suing defendant for fraud and embezzlement — Plaintiff had lied to court — His misconduct alone warranted dismissal of his claim — Parties never had agreement — Defamatory articles were motivated by malice — Defendant was awarded $10,000 in general damages, $15,000 in aggravated damages, $25,000 in punitive damages, and $75,000 in increased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What constitutes defamatory words — Imputations of crime — Allegations of dishonesty in business — Action by plaintiff for damages for breach of contract dismissed — Counterclaim by defendant for damages for defamation allowed — Plaintiff alleged parties, who were friends, orally agreed to establish massage business as equal partners — Plaintiff wrote internet articles indicating he was suing defendant for fraud and embezzlement — Plaintiff had lied to court — His misconduct alone warranted dismissal of his claim — Parties never had agreement — Defamatory articles were motivated by malice — Defendant was awarded $10,000 in general damages, $15,000 in aggravated damages, $25,000 in punitive damages, and $75,000 in increased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3"/>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self-represented plaintiff for damages for breach of contract. Counterclaim by the self-represented defendant for damages for defamation. The plaintiff alleged the parties, who were friends, orally agreed to establish a massage business as equal partners. The defendant testified that although the parties discussed a partnership, she operated the business as a sole proprietorship after the plaintiff failed to make a financial contribution to the business or agree to be jointly liable under the commercial lease. The plaintiff incorporated a company in both parties' names without the defendant's knowledge. The defendant had asked for his help to incorporate a company in her name only. Only the defendant's name was on the business bank accounts and commercial lease. She alone paid the lease deposit from personal funds. The plaintiff lied in his affidavit to support substitutional service, filed a certificate of pending litigation against the defendant's home, knowing she had not used business funds to purchase it, tried to place a builders' lien on the defendant's business premises knowing he had no legal basis for it, and altered court documents. He commenced the litigation after learning the defendant was dating his best friend. The plaintiff denied writing articles on the internet that indicated he was suing the defendant for embezzlement and fraud.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3"/>
            <w:bookmarkEnd w:id="29"/>
            <w:r>
              <w:rPr>
                <w:rFonts w:ascii="arial" w:eastAsia="arial" w:hAnsi="arial" w:cs="arial"/>
                <w:color w:val="000000"/>
                <w:sz w:val="20"/>
                <w:lang w:val="en-US" w:eastAsia="en-US" w:bidi="ar-SA"/>
              </w:rPr>
              <w:t>HELD: Action dismissed;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a credible witness and had lied to the court. He had used the litigation to intimidate and harass the defendant and interfere with her business. The plaintiff's conduct was intentionally deceptive, high-handed and abusive. His misconduct alone warranted the dismissal of his entire claim. In the alternative, the parties never had an agreement about the business. From its inception, the business belonged solely to the defendant. The similarities and identical phrases used in the internet articles and the plaintiff's pleadings were too many to be mere coincidence. It was more probable than not the plaintiff wrote the articles. The articles were defamatory as they imputed wrongful, criminal, and dishonest conduct to the plaintiff and served to objectively lower her reputation. The plaintiff was motivated by malice. The defandent was awarded $10,000 in general damages, $15,000 in aggravated damages, and $25,000 in punitive damages. She had not established the plaintiff unilaterally withdrew $30,000 from the business. The defendant's increased costs were fixed at $75,000.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Legislation Cited_2"/>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3-7(21)(a), Rule 4-4, Rule 14-1, Rule 14-1(1)(c), Rule 14-1(3), Rule 14-1(15)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 w:name="Counsel_3"/>
      <w:bookmarkEnd w:id="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in person: Moe Somani.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in person: Layla Jilani.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 w:name="Judgment_3"/>
      <w:bookmarkEnd w:id="32"/>
      <w:r>
        <w:pict>
          <v:line id="_x0000_s1047"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Three Different Versions of the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Three Different Versions of the Amended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Different Versions of the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LEGAL CLAIMS RAISED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Assessing Credibility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Mr. Somani's False Allegations and Statements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Default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Placing a Lien on the Business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Altered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Conclusion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 OF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Nature of the Parties'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Idea for the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Incorporation of the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Business Partnership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Business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SUMMARY OF CONCLUSIONS DISMISSING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COUNTERCLAIM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Defamation</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Mr. Somani Wrote the Articles</w:t>
      </w:r>
      <w:r>
        <w:rPr>
          <w:rFonts w:ascii="arial" w:eastAsia="arial" w:hAnsi="arial" w:cs="arial"/>
          <w:sz w:val="20"/>
          <w:lang w:val="en-US" w:eastAsia="en-US" w:bidi="ar-SA"/>
        </w:rPr>
        <w:cr/>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Virtually Identical Wording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 Information Matching Assertions of Fact Most Probably Known Only to the Parties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 The Second Article was Received and Read by a Third Party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Defamatory Meaning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Pleadings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 Defamatory Meanings in the Second Article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Defences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Defamation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Assessing Damages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 Conclusion on Damages for Defamation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Funds Wrongfully Taken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C. Passing off the Business's Financial Documents To Be Documents From a Different Business and Misappropriated Funds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Conclusion on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Increased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Assessment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"B"</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 w:name="N. SHARMA J."/>
            <w:bookmarkEnd w:id="33"/>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Moe Somani, alleges that he and the defendant, Layla Jilani, entered into an oral agreement to establish a massage business (the other defendant, Layla Jilani dba Wellness Massage Therapy Centre) as equal partners. Ms. Jilani denies this. Her position is that they initially discussed an equal partnership, but its formation was dependent upon each of them assuming liability and making financial contributions on an equal basis. Mr. Somani failed to do so, so the partnership never came to fruition. She claims the business has always been a sole proprietorship owned by her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represented themselves at trial, and throughout most of this litigation. There are significant flaws with the pleadings. Both parties added parties to the litigation and amended pleadings without the appropriate court order, and I addressed some of those problems at the start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One defect I did not address was Mr. Somani's addition without court order of a numbered company as a defendant in August 2016. Mr. Somani incorporated the business at the end of December 2014, listing both himself and Ms. Jilani as equal shareholders, but the validity of that incorporation is in dispute. Ms. Jilani alleges that Mr. Somani made himself an equal shareholder and director without her knowledge or consent; she then removed him as shareholder and director. He submits his removal was invalid. Accordingly, I deal with that issue in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Underscoring this business dispute is the narrative of the parties' personal relationship. That narrative is relevant because Ms. Jilani contends the litigation was triggered by Mr. Somani's anger and feelings of betrayal after he found out she was dating his best friend. The parties dated for a few months, but ended that relationship about a year and a half before the dispute. In May 2014, Mr. Somani became married. Despite that, they both described that they remained "best friends", who were very close and placed enormous trust in one another. Her position is Mr. Somani continued to harbour intensive feelings for her even after his marriage and finding out she was dating his best friend produced in Mr. Somani a desire for vengeance which lies at the heart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Somani denies Ms. Jilani's version of events, except that he agreed that for the majority of the time the business operated, they were very close friends who placed a lot of trust in one another. He claims at some point he became suspicious of her role in what he asserts was their joint business, which caused the business dispute and ended their friendship. The timing of his suspicion coincides with his learning that Ms. Jilani was his best friend; Mr. Somani claims that timing is merely coincidental.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trial was originally set for nine days, in large part, because of the number of witnesses Mr. Somani said he would be calling. Instead, the trial was 18 days, and Mr. Somani only called four witnesses in addition to himself. He took 14 days to present his case. Ms. Jilani testified and did not call any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case turns almost entirely on credibility. As the trial judge who has heard and observed all witnesses, reviewed all documents, observed the parties both as witnesses and as litigants, reviewed all of the pleadings, and considered everything together as a whole, I find that Mr. Somani is not a credible witness. I do not rely on his evidence unless other reliable evidence corroborates his testimony or documents. I also find that he has lied to the court to gain advantage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reasons that follow, I conclude that he has failed to prove any of his claims. Rather, I find based on all the evidence, inferences I have drawn from that evidence and the conduct of the parties that Mr. Somani engaged in a deliberate scheme to intimidate Ms. Jilani and interfere with the business. I find he was motivated by a vindictive attitude towards Ms. Jilani and conclude his scheme included misrepresenting facts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tragedy of this case is that Mr. Somani has been able to harness the court process in furtherance of his scheme to intimate and harass Ms. Jilani since early 2015. I find that his campaign of harassment has largely been responsible for Ms. Jilani suffering financial hardship, having periods of high emotional stress and disrupting her life to a significant degree. His conduct throughout the litigation process augmented Ms. Jilani's ordeal for almost three years and compounded by an enormous amount the typical stress that in-person litigants experience when defending cases in this Court. A judgment I issued during the trial is an apt illustration of his inexcusable conduct during this case: </w:t>
      </w:r>
      <w:r>
        <w:rPr>
          <w:rFonts w:ascii="arial" w:eastAsia="arial" w:hAnsi="arial" w:cs="arial"/>
          <w:i/>
          <w:color w:val="000000"/>
          <w:sz w:val="20"/>
          <w:lang w:val="en-US" w:eastAsia="en-US" w:bidi="ar-SA"/>
        </w:rPr>
        <w:t>Somani v. Jilani</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2018 BCSC 394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beginning of the trial, Mr. Somani brought an application to strike the counterclaim, which I dismissed. When considering his application, I reviewed the pleadings (the trial record has 17 tabs), and in doing so, it was clear that the pleadings were in a state of disarray. Since the pleadings delineate the issues at trial, it is imperative to identify issues properly raised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attempted to have the parties clarify the pleadings. I gave specific and detailed instructions to identify by way of highlighting on copies of specific pleadings what allegations were "new" as compared to previous pleadings. That method was necessary because it was impossible without engaging in a word for word comparison to discern what substantive allegations remained (but were stated in different or slightly different wording), and what new allegations were added in pleadings filed subsequent to the original pleadings. That is because the parties amended many pleadings improperly without identifying changes with underlining.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parties were unable to complete the highlighting task as instructed. Therefore, I have relied on my own review of all the pleadings. During that review, I discovered a large number of anomalies, which I identify below. A few of the irregularities in the filed court documents came to light during the trial. That and the defective pleadings I referred to above, prompted me to review both the physical and electronic court files and the pleadings put before me by the parties. I was disturbed to find that different versions of filed court documents exist.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Three Different Versions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are three different versions of the notice of civil claim. All three have an identical front page bearing a Supreme Court of British Columbia, Vancouver registry stamp dated March 20, 2015. However, the version in the physical court file (and on the electronic court record) has a blank space on the last page for "Plaintiff's address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one contained in the filed trial record, however, has typed on the last page the following as the plaintiff's address for service: Moe Somani, Somani Group International, 360-5525 West Blvd.,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third version of the original notice of civil claim was an exhibit to Ms. Jilani's January 31, 2017 affidavit (filed in response to Mr. Somani's January 20, 2017 application, discussed below). I infer that version was served on her. There are two differences on this version compared to the other two. First, the plaintiff's address for service is Alnoor R.S. Gangji, Barrister &amp; Solicitor, 400-601 West Broadway, Vancouver, who was at one time Mr. Somani's lawyer. A letter sent to Ms. Jilani by Mr. Gangji dated February 3, 2015 confirmed he represented Mr. Somani (also included in Ms. Jilani's January 31, 2017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second difference is on page 2, in paragraph 8 under Part 1, Statement of Facts, which has two hand written lines: "Misappropriation of Funds" appears on one line and beneath it, "8. Plaintiff claims an interest by CPL belonging to" and the rest is blank. Paragraph 8 of the other two versions has the identical text handwritten on the first line, but the second line is different in that it repeats the handwriting that appears on the second line, but has the following words handwritten at the end of the second line: "Layla Jilani description: [legal description of her home]". In the version contained in the trial record version, the handwriting on the second line of paragraphs 8 is different from all others. The words bolded in the following sentence do not appear in any other version: "8. Plaintiff claims an interest in </w:t>
      </w:r>
      <w:r>
        <w:rPr>
          <w:rFonts w:ascii="arial" w:eastAsia="arial" w:hAnsi="arial" w:cs="arial"/>
          <w:b/>
          <w:color w:val="000000"/>
          <w:sz w:val="20"/>
          <w:lang w:val="en-US" w:eastAsia="en-US" w:bidi="ar-SA"/>
        </w:rPr>
        <w:t>the by</w:t>
      </w:r>
      <w:r>
        <w:rPr>
          <w:rFonts w:ascii="arial" w:eastAsia="arial" w:hAnsi="arial" w:cs="arial"/>
          <w:color w:val="000000"/>
          <w:sz w:val="20"/>
          <w:lang w:val="en-US" w:eastAsia="en-US" w:bidi="ar-SA"/>
        </w:rPr>
        <w:t xml:space="preserve"> [there's a small arrow beneath the word "by"] CPL belonging to Layla Jilani: Description [legal description of her home]".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Three Different Versions of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noted above, Ms. Jilani's January 31, 2017 affidavit was responsive to Mr. Somani's January 20, 2017 application. That application sought approval to file a second amended notice of civil claim, but as a new document rather than with the usual underlining. In his notice of application, "Part 2: Factual Basis", "Summary of Application", paragraph 5 it states that Mr. Somani "drafted the current amended notice of civil claim (which was filed August 25, 2016) without assistance of legal counsel". As explained below, the veracity of that statement is doubtful, but more worrying, further differences exist amongst what should be identical copies of that August 25, 2016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amended notice of civil claim was filed on August 25, 2016, which is also the typewritten date beside Mr. Somani's signature of the version on the electronic court file. The last page of that version shows the plaintiff's address for service as "4023 East Hastings Street, Burnaby BC". That is the address of Mr. Somani's counsel of record at that time, Mr. Ellis</w:t>
      </w:r>
      <w:bookmarkStart w:id="34"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34"/>
      <w:r>
        <w:rPr>
          <w:rFonts w:ascii="arial" w:eastAsia="arial" w:hAnsi="arial" w:cs="arial"/>
          <w:color w:val="000000"/>
          <w:sz w:val="20"/>
          <w:lang w:val="en-US" w:eastAsia="en-US" w:bidi="ar-SA"/>
        </w:rPr>
        <w:t>. The notice of trial filed August 30, 2016 shows the same counsel's address. This is why I doubt the veracity of the statement in the January 20, 2017 application that the August 25, 2016 amended notice of civil claim was filed without legal counsel's assistance. Furthermore, the August 25, 2016 claim itself has Mr. Ellis's address as the address for service, contradicting the statement in the application that Mr. Somani did not have legal assistance drafting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copy of the August 25, 2016 amended notice contained in the court's physical file is very different to the electronic version. The first three pages of both versions are the same. However, the content changes at page 4 and from that point, none of the content, pagination or paragraph numbers on the two versions match. The electronic version has 11 subparagraphs after paragraph 8 that do not exist on the physical version. Additionally, on the last page of the physical version, the typed date above Mr. Somani's signature was August 26 but the "6" was crossed out and replaced with a handwritten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version contained in the filed trial record matches the version contained in the court's physical file (thereby differing significantly from the electronic version), </w:t>
      </w:r>
      <w:r>
        <w:rPr>
          <w:rFonts w:ascii="arial" w:eastAsia="arial" w:hAnsi="arial" w:cs="arial"/>
          <w:i/>
          <w:color w:val="000000"/>
          <w:sz w:val="20"/>
          <w:lang w:val="en-US" w:eastAsia="en-US" w:bidi="ar-SA"/>
        </w:rPr>
        <w:t>except</w:t>
      </w:r>
      <w:r>
        <w:rPr>
          <w:rFonts w:ascii="arial" w:eastAsia="arial" w:hAnsi="arial" w:cs="arial"/>
          <w:color w:val="000000"/>
          <w:sz w:val="20"/>
          <w:lang w:val="en-US" w:eastAsia="en-US" w:bidi="ar-SA"/>
        </w:rPr>
        <w:t xml:space="preserve"> on the last page above Mr. Somani's signature where "26 August 2016" was typed.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version attached to Ms. Jilani's affidavit (which I infer would be the version served on her, matches the one on the electronic court file.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Different Versions of the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September 13, 2017, the plaintiff filed an application seeking an order granting leave to further amend the amended notice of civil claim; the proposed further amended notice of civil claim was attached as Schedule A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September 25, 2017, this Court granted the plaintiff leave to further amend the amended notice of civil claim "as set out in the proposed Further Amended Notice of Claim". The further amended notice of civil claim, as approved, was filed on September 27, 2017, and it appears in the court's electronic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a second, different version of the further amended notice of civil claim filed September 27, 2017 is on the court's electronic file. It is not the version approved by Justice Gropper. However, it appears in both the Trial Record and the court's physical file. This "unapproved" version differs from the version approved in the following ways: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Part 2, Relief Sought, para. 1(t), it adds "for the period of September 2012 to December 2016" (to the claim that Mr. Somani is entitled to approximately $123,000 for income he alleges Ms. Jilani did not report in that time period).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 2, paragraphs 1(v) and (w) are completely new and do not appear in the approved version. They seek:</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Jilani was not authorized by Somani to pay for her legal fees from the funds generated from the Business income, and Jilani reimburse the Business legal fees paid by the Business in the amount of $13,444.37;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Jilani was not authorized by Somani to pay for her personal Dental and Insurance premiums from the income generated from the Business, and Jilani reimburse the Business in the amount of $1,979.68.</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2, paragraphs 2(f), (g), (h), (i), (j), (i) and (j), are also new in the "unapproved version". They seek:</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Equal amount of Business income in the amount of $116,740.00 for the period September 2012 to December 2016;</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Equal amount of business income not reported in the amount of $123,000.00 for the period of September 2012 to December 2016;</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Loss of opportunity to earn income generated from the Business in the amount of $53,740.00 for the period of January 2015 to December 2016;</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Loss of income not reported in the amount of $101.232.00 [sic] for the period of January 2015 to December 2016;</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Loss of income not reported to be determined after a tracing of Jilani's general and personal bank accounts, and on average income for the period of September 2012 to December 2016 to be determined by this in the amount of $189,735.00 for the period of January 2017 to May 2017;</w:t>
      </w:r>
    </w:p>
    <w:p>
      <w:pPr>
        <w:numPr>
          <w:numId w:val="15"/>
        </w:numPr>
        <w:spacing w:before="120" w:line="260" w:lineRule="atLeast"/>
        <w:jc w:val="both"/>
        <w:rPr>
          <w:rFonts w:ascii="arial" w:eastAsia="arial" w:hAnsi="arial" w:cs="arial"/>
          <w:sz w:val="20"/>
          <w:lang w:val="en-US" w:eastAsia="en-US" w:bidi="ar-SA"/>
        </w:rPr>
      </w:pPr>
      <w:bookmarkStart w:id="35"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35"/>
      <w:r>
        <w:rPr>
          <w:rFonts w:ascii="arial" w:eastAsia="arial" w:hAnsi="arial" w:cs="arial"/>
          <w:color w:val="000000"/>
          <w:sz w:val="20"/>
          <w:lang w:val="en-US" w:eastAsia="en-US" w:bidi="ar-SA"/>
        </w:rPr>
        <w:t>- Reimbursement of Somani's contributions to the Business in the amount f [sic] $40,154.73 for the period of June 2012 to January 2015;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Reimbursement for all legal fees paid from the Business income in the amount of $13,444.37.</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 2, paragraphs 2(k), (l) and (n) are modified from what appears in the approved version as follows: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amount sought for loss of goodwill is 100,000.00 instead of $175,000 in the approved version;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The amount sought for loss of future income "for remaining 5 year option on lease" is $414,447.00 instead of $239,740.00 sought simply for "loss of future income" in the approved version;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Judgment is sought in the amount of $1,032,493.10 and "additional Judgment in an amount to be determined after a tracing and full accounting of all of Jilani's personal accounts, through all of her bank accounts of any and all the money and benefits improperly received from the Business by Jilani for the period of September 2012 to May 2017", instead of judgment sought in the amount of $464,740.00 for the same thing, except the approved version also included the words "inclusive of future goodwill and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LEGAL CLAIMS RAISED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Based on my review of the pleadings and court file, briefly stated, the legal claims Mr. Somani has raised are: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 by Ms. Jilani of the alleged partnership, joint venture agreement and/or the written incorporation agreement;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 for Ms. Jilani withdrawing more than her share of funds from the business;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 for Ms. Jilani not informing the person that bought the business that there was litigation regarding ownership of the business;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Ms. Jilani failing to obtain Mr. Somani's consent to sell the business;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conveyance because of Ms. Jilani selling the business in order to avoid and defeat Mr. Somani's legal claims against the business and its assets;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for management services (which he described in his pleadings as including setting up, registering and operating the business domain names and website), assisting with daily operations, marketing, advertising, human resources, managing client and contractors, communication with the landlord, and creating publications, templates and other documents used by the business;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 by Ms. Jilani, arising either from an agreement that she would hold his share of the business "in trust", and/or her duty as a co-director of the business after they agreed to incorporate the business;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Oppression because of Ms. Jilani's illegal removal of Mr. Somani as director and shareholder of the numbered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All of the above claims are premised on Mr. Somani's allegation that Ms. Jilani and he had an agreement that they were business partners. His pleadings and testimony present several different versions of the alleged agreement, but fundamental to all is that the two of them had a contract about the ownership, operations and financial arrangements of the business. If Mr. Somani is able to prove that the parties had a contract, he would also have the burden to prove that he never received his fair share of profits from the business, taking into account each party's financial contributions, payment of expenses and "draws" from the business, whether as salary or lump sum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Somani also alleges the parties had a written agreement to incorporate the business (with both of them holding equal shares, and being directors) and that Ms. Jilani breached that agreement by removing him as a director and shareholder without his knowledge or consent. Mr. Somani must prove the existence of such an incorporation agreement to make out his claims in breach of fiduciary duty and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Thus, Mr. Somani has the legal and evidentiary burden to prove on a balance of probabilities that he and Ms. Jilani had a partnership agreement with regard to the business that included, at a minimum, an agreement to share profits on an equal basis. He also claims they agreed he would receive compensation for management services, and he never received adequate compensation for the services he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existence of different versions of filed court documents is deeply troubling, raising the distinct possibility that someone has impermissibly tampered with and/or altered pleadings. Not only does this potentially compromise the trial process, it justifies greater scrutiny generally of all documents, evidence and the parties' conduct. In those circumstances, the parties' credibility is clearly a crucial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Even without those troubling circumstances, however, it became clear during the trial that credibility would likely be a determinative factor in this case for a number of reasons, including that the alleged partnership agreement was not in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Assessing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test for assessing credibility is well known. The court assesses credibility by looking at the evidence as a whole, rather than isolated pieces of evidence. Moreover, a witness's demeanour or appearance is unlikely to be as helpful, in contrast to, among other things, assessing their opportunity for observation, their knowledge, their memory, and their capacity to answer questions clearly. As stated in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(C.A.) at 357, "the real test of the truth of the story of a witness...must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Credibility is critically important in this case because for many key events, only one of them can be telling the truth. In addition to challenging Mr. Somani's testimony about what happened, Ms. Jilani asserts that some of the documents he put forward to support his case are not authentic and she suspects he created them solely to advance his position in the litigation. Mr. Somani denies any wrongdoing, and submits the documents support his theory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overwhelming majority of the contested documents are not originals and that reinforces the importance of the parties'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Viewed in isolation, Ms. Jilani's allegations about the documents are troubling and warrant careful scrutiny of the evidence. However, when viewed together in the context of all the evidence, I found a clear pattern emerged. The pattern is one of Mr. Somani being deceptive by, among other things, creating a "trail" of documents and engaging in activities supportive of his scheme to gain control or ruin Ms. Jilani's business and to harass and intimidate her. I find the evidence demonstrated that upon Ms. Jilani becoming suspicious about his motives, and her taking action that presented a hurdle to his plan, Mr. Somani launched this litigation with the dual purpose of fulfilling his scheme, and intimidating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discuss below the evidence that led me to find Mr. Somani not to be credible.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Mr. Somani's False Allegations and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following narrative of evidence represents my findings of facts unless I specifically identify an unresolved factual dispute. However, my failure to mention an alternative fact or version of facts does not mean I did not consider that evidence; I have focussed the judgment on resolving the evidentiary disputes on the facts necessary to decide key legal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on a balance of probabilities that Mr. Somani intentionally misled the court, and engaged in highly improper conduct during this litigation. These findings are the main reason I do not find him to be an honest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Somani successfully placed a certificate of pending litigation (CPL) against Ms. Jilani's home for $450,000, which is a claim he made in his original notice of civil claim. There was never any testimony or document adduced at trial upon which anyone could reasonably believe that the business ever generated revenue or profits, 1/2 of which (each party's share) would be $450,000. Indeed, the most Mr. Somani ever alleged in subsequent pleadings (filed after he obtained the CPL) was that Ms. Jilani misappropriated $250,000, itself a figure I conclude was unsupported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Jilani pointed out that Mr. Somani consistently alleged (including by statements he made in court on various applications) that she misappropriated funds from the business to buy a car and make the down payment on her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Those allegations are contained in Mr. Somani's June 19, 2015 affidavit. At paragraph 46, Mr. Somani deposed that Ms. Jilani used funds from the business "sometime in early 2013 to purchase a vehicle with an approximate value of $40,000". In paragraph 24 of the same affidavit, he stated that Ms. Jilani "used funds generated from the business, and embezzled the funds from the business to pay a down payment of approximately $40,000 on her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the following reasons, I am satisfied that both statements are false and that Mr. Somani knew they were false at the time. Ms. Jilani was involved in a motor vehicle accident in May 2012, which resulted in her vehicle being written off. Mr. Somani picked her up and took her to the hospital. Shortly thereafter, Mr. Somani helped her buy a new vehicle. He took her to a car dealer, whom he knew personally. Mr. Somani admitted these facts without hesitation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Jilani testified that Mr. Somani's personal connection with the dealer is why she got a good deal: purchase of the car with no down payment, 0% interest on financing, and $5,000 cash back. She also got money from ICBC for her damaged vehicle. In other words, she did not outlay any money for her new vehicle. She testified that Mr. Somani was involved in every aspect of the purchase, and was aware of these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During cross-examination, Mr. Somani easily agreed with Ms. Jilani's description of how and under what terms she purchased her car. He did not deny he was aware at the time that she did not have to put any money down to buy her car. With regard to when Ms. Jilani purchased the car, he agreed it could have been May or June 2012, but he said he could not recall exactly.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problem is that she bought the car before there was a business or any money in a business for Ms. Jilani to withdraw. She signed the lease for the business in mid-July 2012 and the business did not start operations until September 2012. It was impossible for Ms. Jilani to have drawn any funds from the business in May or June 2012 because the business did not yet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When confronted with this inconsistency during cross-examination, Mr. Somani testimony became vague and confused; he had difficulty explaining that timing. Eventually, he said he must have made an innocent mistake, or he was confused when he swore the affidavit. I find his explanations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have no doubt that Mr. Somani was aware of that timing and the details of the car purchase when he affirmed in his affidavit that Ms. Jilani misappropriated business funds to buy the vehicle. I am satisfied that he knew the statements he made in paragraph 46 of the affidavit were false when he affirmed and filed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also find he made similar misrepresentations to the court about the source of funds Ms. Jilani used to put a deposit and down payment on her home. Mr. Somani assisted Ms. Jilani to buy the property, including searching for properties, connecting her with a mortgage broker and corresponding directly with the mortgage broker on Ms. Jilani's behalf including "confirming" her income. There are text messages and correspondence on the record that are consistent with Ms. Jilani's heavy reliance on Mr. Somani's assistance to purchase her home. He also helped her move into the residence. He did not deny any of these facts in his testimony. Indeed, according to his testimony in chief, Ms. Jilani told him directly shortly before she made the down payment that she used her RRSP's to do so. Ms. Jilani also introduced documents verifying that she virtually depleted her personal RRSP'S for the down payment. She got a mortgage for the remainder of the purchase price, which was just over $270,000.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Somani did not deny he knew these facts at the time she negotiated and purchased her home when first asked during cross-examination, although he testified he could not recall certain details about the amounts or timing. When he was confronted with his allegation that she used money from the business to make the payments, however, he tried to feign confusion. Again, his testimony was unpersuasive.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Mr. Somani always knew the funds for Ms. Jilani's down payment on her residence came only from her personal RRSP's. Accordingly, I find that he knew the statement he made in paragraph 24 of the affidavit was false when he affirmed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Despite that knowledge, he claimed an interest in her residence in the original notice of civil claim, and claimed that interest amounted to $450,000. I have no doubt that he knew that claim had no merit when he filed it. I am satisfied, on a balance of probabilities, that Mr. Somani misled the court not only to gain advantage in the litigation, but also to intimidate Ms. Jilani.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CPL was devastating for Ms. Jilani. She had nightmares that she would lose her home. She had no idea how she could possibly come up with $450,000; nor did she understand how she could pay him that much for a home that she bought for just over $270,000. She hired a lawyer and the default judgment was eventually set aside, but Mr. Somani would not voluntarily remove the lien until she filed an application in April 2016 seeking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Somani's testimony giving a benign explanation of preceding events was completely unpersuasive. Not only does simple logic contradict his story, when confronted with the discrepancy between his sworn statements and his testimony, his testimony became vague and inconsistent. It is also inconceivable on the evidence presented in this case that 1/2 of the business was ever worth any figure close to $450,000, and I am satisfied Mr. Somani always knew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Mr. Somani's conduct was intentionally deceptive, high-handed and abusive. I find that he intentionally lied under oath and filed pleadings with the court that he knew to be false to gain advantage in the litigation, and to intimidate Ms. Jilani.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Somani obtained a desk order to serve Ms. Jilani with the notice of civil claim "alternately" by registered mail. The application for alternate service (without notice) in the court file appears to be deficient because it makes no mention of the proper rule (Rule 4-4) and does not have a draft order attached. It refers to a supporting affidavit of Mr. Somani, but with no date. Regrettably, no copy of that supporting affidavit exists in the physical file, although the electronic file does record an affidavit being filed on April 2, 2015, the same day as his requisition. However, the electronic file does not identify the deponent, nor include the content of the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testimony, Mr. Somani explained the basis upon which he sought the desk order. He said he could not attend the business premises so he applied for substitutional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true that Ms. Jilani changed the locks on the business in late January 2015 and that she told staff not to allow Mr. or Mrs. Somani onto the premises; she further instructed them to call the police if either person showed up. She did that because I am satisfied the evidence proves that Mr. Somani came into the business on January 29, 2015, was angry, threatening and punched a hole in the drywall. He says he merely "slapped" the wall, but not in anger. His version is not believable given the picture of damage put in evidence and the force that it would take to put a hole in drywall. I am satisfied his behaviour was threatening and frightening for Ms. Jilani and staff, and she was fully justified in changing the locks to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Mr. Somani's inability to attend personally at the business does not explain why he needed substitutional service. He was caught off guard when asked why he did not hire a process server. He testified that he did not hire a process server because he "wanted to save money", but that explanation was not given spontaneously. It was clear to me he did not appreciate that substitutional service was an exception to the normal rule. Nor did he provide any context whatsoever for why the process server fee would be onerous. He claimed not to know much a process server would have cost; he made no enquiries about hiring one. His testimony about why he did not hire a process server was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also admitted he made no effort whatsoever to service Ms. Jilani personally by serving her at her home or asking someone else to hand the documents to her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This is disturbing because as I understand the law, an application for substitutional service will not succeed without evidence that personal services had been attempted, but had not succeeded, because either it was impractical to find the person, or that person was evading service. Yet, Mr. Somani's testimony confirms he did not attempt personal service at all. This raises the spectre that his affidavit in support of his application for substitutional service contained false statements, or his testimony before me was dishonest. Because his April 2, 2015 affidavit is not in any court file, I cannot make a finding either way based on those facts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I find that other facts support my drawing an inference that Mr. Somani was untruthful in the affidavit he filed in support of the desk order for substitutional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undisputed that Mr. Somani was aware that Ms. Jilani was returning, without accepting or opening any mail, in his name at the business. It is highly probable that Mr. Somani believed that Ms. Jilani would return without opening registered mail coming from him, given her refusal to accept mail directed to him. He was right. She did not accept the registered mail, so she was unaware of the proceedings. She did not file a response. Mr. Somani obtained default judgment on May 12, 2015. Records in the physical court file reveal that Mr. Somani was anxious to get default judgment because on at least one occasion he filed for it before enough time had passed allowing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satisfied, on a balance of probabilities that once he realized she was rejecting his mail at the business, he concocted a plan hoping to obtain default judgment by serving her alternately, believing she would reject the mail and not file a response. That is exactly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Based on the foregoing, I draw the inference that Mr. Somani was not completely truthful with the court in his affidavit supporting his application for substitutional service.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Placing a Lien on the Business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Throughout the life of the business, Mr. Somani arranged for some minor renovations to be done to the business premises to internal doors and flooring and some redecorations were done (furniture and wallpaper were changed and some portion was painted). Nothing structural was changed, nor were any major renovations done. The City required the business to add sinks to the treatment rooms, and a plumber did that work. Although Mr. Somani arranged for the plumber, he did not perform any construction work himself. He may have removed some doors, but that would have been a minor repair. The treatment rooms originally had "closet" doors that kept falling off, and taking those off would be very simple. There was no reliable evidence about who installed the new doors, but even if Mr. Somani did, I find that he was performing maintenance work, not upgrading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Around the time he started this action, Mr. Somani also started an action against the landlord, and added "Layla Jilani, dba Wellness Massage Centre" as a defendant, based on what he says was his belief that he was entitled to a "builder's lien" for the "improvements or upgrades" he did to the premises. I do not find his belief credible. As noted above, he did not do any work himself on the premises that any person would reasonably believe amounted to an "improvement"; at most, he did some minor repair and some re-decorating.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lease is clear that the tenant is responsible for repairs and decorations. Clause 8.01, specifies: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tenant is not responsible for "structural repairs or any roof repairs", but that it is required, "at its own cost and expense" to repair and maintain the premises, including "exterior and interior doors, windows, glass partitions, glass and plate glass within the Premises or attached to or forming part of any exterior or partition wall of the Premises, heating, ventilating and air conditioning equipment and fixtures, and plumbing and electrical fixtures...".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Clause 8.02 states that the obligation to repair contained in clause 8.01 "will be subject to reasonable wear and tear which does not adversely affect: ... (b) the safety or appearance of the Premises; and (c) the plumbing, mechanical and electrical equipment within the Premises. Clause 8.05 states the tenant will "...effect and pay for such maintenance, repairs, replacements, or decorating as may be the responsibility of the Tenant under sections 8.01 and 8.02".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Not surprisingly, the landlord put Ms. Jilani on notice that it would look to her to be responsible for any financial consequences of Mr. Somani's lien against the premises. This was obviously an additional source of stress and concern for Ms. Jilani.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Somani claimed in his testimony at one point that he filed the action because he was "just following legal advice". I highly doubt that is true given the complete lack of any reasonable basis for the builders' lien. Moreover he contradicted himself in his testimony when he claimed later to be ignorant of the legal basis for a builders' lien and his filing of the lien against the landlord was an innocent mistake. Both versions cannot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Adding to my doubt of his ignorance about builders' liens is Ms. Jilani's testimony that while Mr. Somani was assisting her with her divorce, he encouraged her to place a lien on the matrimonial home (Mr. Somani denies he made that suggestion, but I reject his denial). Clearly, Mr. Somani was somewhat familiar with liens before he started the action against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satisfied, on a balance of probabilities that Mr. Somani was aware the builders' lien he tried to place on the business premises had no legal basis. I also find he started that action in order to harass and further intimidate Ms. Jilani, which explains why he added the business and Ms. Jilani as defendants to the invalid action. On that basis, I find the lien action against the landlord was an abuse of this Court's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Altered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noted earlier, the anomalies in the pleadings in the court's files and elsewhere are disturbing. One anomaly on a filed court document could be attributed to innocent mistake and/or human error. However, the number of anomalies in this case is greater than can reasonably be attributed to innocent or unintentional mistakes. The only reasonable explanation for the versions of filed documents that differ from those on the electronic file is that someone altered filed documents in the court's physical file, or, more than one version was presented to the counter in the court registry for filing. No one but court staff have access to the court's electronic file, but both parties (and any member of the public) have access to the physical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are two reasons I believe Mr. Somani was involved with the different versions of filed court documents: the anomalies exist only in Mr. Somani's pleadings and, Mr. Somani prepared the trial record. The trial record contains a version of the notice of civil claim that appeared nowhere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Combined with my conclusion that Mr. Somani was not forthright with his evidence before this Court and only his pleadings were altered, I draw the inference that Mr. Somani altered filed court documents in the court's physical file, which was accessible to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Conclusion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Based on the above discussions, I find Mr. Somani not to be a credible or reliable witness. I find that he intentionally misled the court in statements he made, and in pleadings he filed and in his June 19, 2015 affidavit. I find that he altered filed court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Furthermore, I conclude Mr. Somani's conduct demonstrates that he was using the litigation as a tactic to intimidate and harass Ms. Jilani, and interfere with the business. I am also satisfied this motive existed when he started the lawsuit. His conduct was reprehensible.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my view, given the seriousness of my conclusions with regard to Mr. Somani's behaviour, especially in not being honest with the court and altering filed court documents, this is the rare case where his misconduct alone warrants dismissing the entire claim, and I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emphasize that I do not make this conclusion lightly. However, based on my experience as the trial judge, I find there is no other resolution that would be a fair result for the wronged party. More importantly, nothing else would adequately reinforce and protect the integrity of the court process. As awful as Mr. Somani's behaviour has been for Ms. Jilani, Mr. Somani's conduct, especially altering filed court documents and lying to the court, represents a serious affront to our justice system and this Court's processes. Dismissing his claims in response to the nature and severity of his reprehensible conduct is in my view vital to uphold this Court's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However, in the event I am mistaken about whether those are sufficient grounds to dismiss his claim, I analyse the evidence below and conclude Mr. Somani has failed to meet the evidentiary or legal burden to establish any of his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ANALYSIS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narrative below represents my findings of fact. There were too many factual disputes between the parties to mention all of them. Moreover, many of those disputes were immaterial to the issues I have to decide. Again, my failure to mention any fact or different version of facts does not mean I did not consider that evidence. Instead, I focus my reasoning on the critical factual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At its heart, this litigation is a contractual dispute. A contract is formed when parties reach a meeting of the minds, or </w:t>
      </w:r>
      <w:r>
        <w:rPr>
          <w:rFonts w:ascii="arial" w:eastAsia="arial" w:hAnsi="arial" w:cs="arial"/>
          <w:i/>
          <w:color w:val="000000"/>
          <w:sz w:val="20"/>
          <w:lang w:val="en-US" w:eastAsia="en-US" w:bidi="ar-SA"/>
        </w:rPr>
        <w:t>consensus ad idem</w:t>
      </w:r>
      <w:r>
        <w:rPr>
          <w:rFonts w:ascii="arial" w:eastAsia="arial" w:hAnsi="arial" w:cs="arial"/>
          <w:color w:val="000000"/>
          <w:sz w:val="20"/>
          <w:lang w:val="en-US" w:eastAsia="en-US" w:bidi="ar-SA"/>
        </w:rPr>
        <w:t xml:space="preserve"> about its essential terms. There must be evidence of an intention to be bound and sufficient clarity or certainty of the essential terms: see </w:t>
      </w:r>
      <w:r>
        <w:rPr>
          <w:rFonts w:ascii="arial" w:eastAsia="arial" w:hAnsi="arial" w:cs="arial"/>
          <w:i/>
          <w:color w:val="000000"/>
          <w:sz w:val="20"/>
          <w:lang w:val="en-US" w:eastAsia="en-US" w:bidi="ar-SA"/>
        </w:rPr>
        <w:t>Le Soleil Hotel &amp; Suites Ltd. v. Le Soleil Management Inc.</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2009 BCSC 1303</w:t>
        </w:r>
      </w:hyperlink>
      <w:r>
        <w:rPr>
          <w:rFonts w:ascii="arial" w:eastAsia="arial" w:hAnsi="arial" w:cs="arial"/>
          <w:color w:val="000000"/>
          <w:sz w:val="20"/>
          <w:lang w:val="en-US" w:eastAsia="en-US" w:bidi="ar-SA"/>
        </w:rPr>
        <w:t xml:space="preserve"> at para. 322; </w:t>
      </w:r>
      <w:r>
        <w:rPr>
          <w:rFonts w:ascii="arial" w:eastAsia="arial" w:hAnsi="arial" w:cs="arial"/>
          <w:i/>
          <w:color w:val="000000"/>
          <w:sz w:val="20"/>
          <w:lang w:val="en-US" w:eastAsia="en-US" w:bidi="ar-SA"/>
        </w:rPr>
        <w:t>Tham v. Bronco Industries Inc.</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2017 BCSC 828</w:t>
        </w:r>
      </w:hyperlink>
      <w:r>
        <w:rPr>
          <w:rFonts w:ascii="arial" w:eastAsia="arial" w:hAnsi="arial" w:cs="arial"/>
          <w:color w:val="000000"/>
          <w:sz w:val="20"/>
          <w:lang w:val="en-US" w:eastAsia="en-US" w:bidi="ar-SA"/>
        </w:rPr>
        <w:t xml:space="preserve"> at para. 75; </w:t>
      </w:r>
      <w:r>
        <w:rPr>
          <w:rFonts w:ascii="arial" w:eastAsia="arial" w:hAnsi="arial" w:cs="arial"/>
          <w:i/>
          <w:color w:val="000000"/>
          <w:sz w:val="20"/>
          <w:lang w:val="en-US" w:eastAsia="en-US" w:bidi="ar-SA"/>
        </w:rPr>
        <w:t>Berthin v. Berthin</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2016 BCCA 104</w:t>
        </w:r>
      </w:hyperlink>
      <w:r>
        <w:rPr>
          <w:rFonts w:ascii="arial" w:eastAsia="arial" w:hAnsi="arial" w:cs="arial"/>
          <w:color w:val="000000"/>
          <w:sz w:val="20"/>
          <w:lang w:val="en-US" w:eastAsia="en-US" w:bidi="ar-SA"/>
        </w:rPr>
        <w:t xml:space="preserve"> at para. 47. As I explain below, I am satisfied that the parties never had an agreement about the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Nature of the Parties'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Underlying all the events is the complicating factor of the nature of the parties' relationship. As I discuss below, I find this evidence is corroborative of my conclusions that Mr. Somani is not credible, and that he started the litigation as a strategy to interfere with the business and to harass and intimidate Ms. Jilani.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parties met in about 2011 through a mutual friend. Mr. Somani was a pastor within the Ismaili community, of which he and Ms. Jilani are both members. He learnt that Ms. Jilani was having difficulty with her now ex-husband and needed assistance. As part of his voluntary service to the community, Mr. Somani assisted Ms. Jilani with her divorce proceedings; he accompanied her to a self-help centre and helped her complete court forms. Ms. Jilani revealed at trial that her ex-husband had been abusive towards her and she sought counselling because of that. She shared custody of her daughter with her ex-husband. Ms. Jilani has no family in Vancouver other than her daughter. Most of her family is in Atlanta, USA. She also described herself as a very private person with few friends. Leaving her marriage was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This background is important because it illustrates that Mr. Somani came to know Ms. Jilani at a time in her life when I find she was very vulnerable. Their testimony was consistent that after ending their romantic relationship they became best friends. Ms. Jilani testified that Mr. Somani "was there for her" in any capacity, even after his marriage. That trust was mutual. Ms. Jilani says Mr. Somani invited her to events that only Mr. Somani's family attended. Ms. Jilani described that he was her "go to" person for many things, including small repairs and maintenance in her home, the purchase of a vehicle and getting a mortgage for her home. Mr. Somani and his wife sometimes took care of Mr. Jilani's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Somani did not disagree with that preceding characterization of their relationship, except he denied during his direct testimony and beginning of his cross-examination that they ever dated or that he ever had romantic feelings for Ms. Jilani. When questioned about their dating history, he repeatedly denied ever having romantic feelings for Ms. Jilani. At that point, Ms. Jilani confronted him with emails he sent her in January and February 2012. The content of those emails leaves no doubt whatsoever that he was intensely and romantically involved with her at that time. In addition, his reaction to the introduction of those emails was revealing.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At first, he denied sending the emails, claiming someone must have compromised or hacked his email. It was immediately after Ms. Jilani questioned him about those emails that the events described in </w:t>
      </w:r>
      <w:r>
        <w:rPr>
          <w:rFonts w:ascii="arial" w:eastAsia="arial" w:hAnsi="arial" w:cs="arial"/>
          <w:i/>
          <w:color w:val="000000"/>
          <w:sz w:val="20"/>
          <w:lang w:val="en-US" w:eastAsia="en-US" w:bidi="ar-SA"/>
        </w:rPr>
        <w:t>Somani v. Jilani</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2018 BCSC 394</w:t>
        </w:r>
      </w:hyperlink>
      <w:r>
        <w:rPr>
          <w:rFonts w:ascii="arial" w:eastAsia="arial" w:hAnsi="arial" w:cs="arial"/>
          <w:color w:val="000000"/>
          <w:sz w:val="20"/>
          <w:lang w:val="en-US" w:eastAsia="en-US" w:bidi="ar-SA"/>
        </w:rPr>
        <w:t xml:space="preser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Upon return the next day after the break in the trial caused by his uttering a threat to Ms. Jilani in the courtroom, he explained that he was very embarrassed to admit to writing those emails in front of his wife (she sat in the gallery for almost the entire trial), and he then admitted that he had sent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difficult to accept that the presence of his wife was why he denied sending the emails. Ms. Jilani did not read out the content of the emails when they were first presented; he was simply asked if he sent them. Moreover, the emails pre-date Mr. Somani's marriage by more than two years. He testified that his wife was aware that he was involved with other women before their marriage. He also said his wife was aware that Ms. Jilani had been in his life for a couple of years before the marriage. The timing is such that the emails were sent before he said he was "in love"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any event, wanting to be protective of his wife's feelings does not justify not telling the truth. Instead, I find that Mr. Somani simply did not want to answer any questions about the nature of his personal relationship with Ms. Jilani. He claimed that the amendments made to the pleadings meant their personal relationship was "irrelevant" and he would not have to answer questions about that. He suggested that in part triggered his anger leading to the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do not find his belief to be genuine, or reasonable. Instead, I find Mr. Somani wanted to avoid a discussion about the personal relationship because he realized that evidence would be harmful to his version of events, and probably bolster Ms. Jilani's case. I am also satisfied that being confronted with the emails triggered his anger, and his true antipathy towards Ms. Jilani was revealed, consistent with what she claims is at the root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were numerous text messages put into evidence that confirmed that Mr. Somani had a deep personal connection to Ms. Jilani even after they stopped dating. Ms. Jilani claimed he remained interested in her romantically after they broke up and before his marriage. Mr. Somani strongly denied that and admitted only to being very good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Jilani also claims that the trust and friendship they developed after they stopped dating, began to unravel when she started dating Mr. Somani's best friend in November 2014. Mr. Somani admitted that he was unhappy with the two dating, but denied it had any relationship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said his friendship with that man started in childhood, and they remained close friends. He was concerned things may become awkward amongst the three of them, and he was worried Ms. Jilani dating his friend might affect his friendship with Ms. Jilani. He also testified that he did not feel his friend was good for Ms. Jilani. He described the man as a "womanizer". All of those explanations are reasonable. He also emphasized a concern with the two dating was that Ms. Jilani and his best friend each knew separate confidences about him that they may share, and he was worried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Jilani's position, however, is that Mr. Somani was very angry and felt betrayed about her dating his friend. She said the anger stemmed from his continuing to hold romantic feelings for her, which he disguised as feelings of friendship.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Text messages Mr. Somani sent around this time provide more than ample support for Ms. Jilani's version of their relationship and his feelings for her. On November 14, 2014 at 11:06:29, he wrote in a text to Ms. Jilani, about her new relationship with his male best friend: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might sound harsh, but I'm going to tell it to you straight. That is NOT a best friend. Any best friend who respects FRIENDSHIP is way out of bounds doing so. That's the biggest rule ever. Not sure why my best friend could even think of doing this to me. I'm angry, I have every right. And as hard as it is, a real friend does not even go there and obviously does not value my friendship to go his way to break the bro code. He asked me, what was i supposed to say? No and then u think i am jealous?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Further extracts confirm that Mr. Somani clearly harboured intense, passionate feelings for Ms. Jilani and felt angry and betrayed by her relationship with his friend:</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is an extract from a text received by Ms. Jilani from Mr. Somani November 14, 2014, at 15:06:40: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off chance i appeared as I couldn't care less, but felt deceived. I know for sure it would get sticky I became aware that if you choose to go through with it and date my supposedly best friend, recognize that you are potentially choosing to risk our very valued friendship.</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is an extract from a text received by Ms. Jilani from Mr. Somani November 15, 2014, 23:32:16: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have been most important person in my life ...I wud do anything for u evry now and thn my eyes just well up with tears its hard. Really hard knowing things will never be the [same] I want to be there always for u...</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extract from a text received by Ms. Jilani from Mr. Somani November 26, 2014, 17:31:44 (preceded by text indicating Mr. Somani felt Ms. Jilani said something very hurtful to him)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 cannot compare [friendship] to love. I'm not so shallow that I wud compare u to Salima [his wife]. Its not possible in fact impossible I cannot possibly build with her in a year what we hv built in three years...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text conversation continued and at one point Ms. Jilani wrote that she does not know what she said to hurt Mr. Somani. At 18:10:07 he wrote: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...I'm happy for you this is not about me and Karim its not a competition I've already been there its about yours and mine bond which I imagined was built with trust sincerity and loyalty, not even my wife can have that with me after a year and you can be so cynical towards me..its all good I should have known better...Not mad at you at all just disappointed at your ignorance.</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of Mr. Somani's November 27, 2014 text sent at 16:06:12 read: "[Three] years Layla three years and we have had no tension so why now...You know me like no one else..."</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extract from another text received by Ms. Jilani from Mr. Somani sent later that same day, at 17:05:15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still have trust issues because I feel my friendship was not valued to cross these boundaries, nothing against your husband to be but for me its a challenge to not think a hidden agenda, an ulterior motive, one acts a certain way full of benevolence, but the real reason they actually did that was also for personal gain, not just for love. ...Please don't think I'm not happy for you, or becoz I am jealous or envious, but deep down you know me better. ...back in the day i can still remember when he'd just turn around, wouldn't look twice at you, and I'm being straight with you don't want him to take you for a fool...you'll end up all alone with a broken heart, when he gets what he wants so my dearest sweetest friend keep your eyes always open. ... Remember if he ever does you wrong I'll make sure you're alright and I promise to pik up the pieces if he breaks your heart...</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17:18:56 he sent another, which included the following: "U know I really really really truly care for you now and always..."</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at 21:04:45 he wrote: "Ok but be careful sweety he is playing u.</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Extracts from a text received by Ms. Jilani from Mr. Somani November 29, 2014, 14:53:52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this to me has been the most powerful [betrayal] in my life, i have never felt so much hurt but u know even though i say its okay its really not okay to do that to your best friend. You were right when u said u felt sorry for me cos u thot my emotions were all over the place...Its not something i can get over, its something i need to get past...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replied to the preceding text at 15:01:32 by writing: "Neither one of us had planned this to happen &amp; never wanted to hurt ur feelings." Mr. Somani replicated that text and wrote at 15:21:28: "Speak for yourself Not him. He planned it not you!"</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Then at 15:23:04, Mr. Somani texted the following to Ms. Jilani: "You just will never understand and it is okay i understand why u dont understand and i forgive you."</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15:25:52, Mr. Somani replicate an earlier text sent by Ms. Jilani at 15:19:53: ("The friendship changes only if u want it to change") and wrote: "Seriously? He pulls such a stunt and u really think its ok to @%%# your best friends over.. He knew it wud change everything..U r so naïve."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15:37:09, Mr. Somani wrote: "I am just venting becoz i have lost the value and respect I had placed on both of you."</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2, 2014, in response to Ms. Jilani texting: "Just cos m dating doesn't change the friendship", Mr. Somani replied at 12:58:36: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nothing to do with u dating for the record i'm married... Think u confuse the act with the person.. but its okay really it is just hv moments when i felt betrayed sorry i cannot control how i feel.</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travelled overseas in December which explains a time gap in the texts. On January 4, 2015 Ms. Jilani sent a few texts saying she was sorry he felt hurt and that she did not want the friendship to change. Although he wrote in response to those texts at 20:26:16: "We will mend it slowly inshallah", that is followed by a longer text 23:45:04 Mr. Somani sent to Ms. Jilani, extracts from which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You're kidding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 seriously delusional &amp; stuck on this false belief ignorantly denying logic and [reasoning]. You really think I can't accept it even though its been clear for the last 3 years there was no way of me and you EVER happening?! You are delusional.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have a false and highly exaggerated opinion of yourself.. Get over yourself!...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Wake up call, i do have some people who are loyal and just to me so now you two want to make it seem like its all my fault... nope u not gonna pin this on me not now not ever...u two will find yourself in check mate so fast it will make your head spin...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if you want to play this game, lets play.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is an extract from a text received by Ms. Jilani from Mr. Somani on January 5, 2015 at 00:23:51: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Enough is enough forgive me if i was harsh, if u want to fix our [friendship] and value it then learn to behave like a loyal friend, act like one and show some gratitude for all that we built over three years...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Yup too busy too tired to value my friendship now that was the last straw to say i was disappointed well guess your priorities have changed.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Expecting kindness and empathy from you would be like expecting water not to be wet.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a minute later he texted: "I'M DONE WITH THIS BULLSHIT."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Later that day at 16:38:20, in response to Ms. Jilani saying she's stressed out by his texts, he sent a very long text, extracts from which follow: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Good you need to learn some appreciation, gratitude and stop being so selfish and insensitive...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GET REAL AND STOP MAKING EXCUSES FOR YOU SCREWING ME OVER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 KNOW WHAT U BOTH DESERVE EACH OTHER I DON'T KNOW WHY I EVEN BOTHER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NEVER EXPECTED THAT YOU OF ALL PEOPLE COULD BE SO SELF RIGHTEOUS...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you learn to accept responsibility for what role you played in sabotaging this friendship maybe we can salvage this but until then all you going to do is blame me for what has transpired...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Maybe I shud open my eyes and listen to others what they telling me that you just don't get it all u want to be is right, done even have the decency to apologise for part you played in betraying my trust and sadly you have no remorse no gratitude.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You have the freaking audacity to just say i started it. My god u cant even see how vain you've become that you really think it was okay to do and share things i told you.</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really hurts NEVER EVER EXPECTED THAT FROM YOU...</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NOBODY IS ENVIOUS OF YOU, NOBODY IS JEALOUS OF YOU, YOU CONCOCT THIS IN YOUR LITTLE HEAD SO YOU NEED TO GET [OFF] YOUR HIGH HORSE AND SHOW SOME GRATITUDE NO MAKE EXCUSES FOR YOUR MISTAKES...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I've been made a fool of and fraking doing everything in my power to protect your honor, stand by you, helped you and this is how you show me your gratitude.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VERY DISAPPOINTED IN YOU .. U DON'T DESERVE MY FRIENDSHIP U NEVER DID AND YUP MY INITIAL OPINION OF YOU WAS FOUNDED ON POOR JUDGEMENT.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above are a sample of extracts from a text conversation between them in the period November 14, 2014 to January 5, 2015. What stands out about the text conversations is that Mr. Somani, by far, initiated the text exchanges and frequently sent long, intense, emotional-laden texts. Her responses were generally very brief and polite. On only a few occasions did Ms. Jilani respond to or comment on the emotional issues he wrote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progress of the text conversations is revealing. Over a three-week period Mr. Somani began by expressing feelings of betrayal towards his male friend, which changed into feelings of anger, and eventually feelings of both betrayal and anger towards Ms. Jilani. The manner in which his attitude changed in the text conversations, and the intensity of some of the messages texts given the largely concise responses from Ms. Jilani, is somewhat disturbing.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the tone and content of these text messages demonstrates two things. First, whether romantic or not, Mr. Somani had extremely intense feelings for Ms. Jilani, that turned into anger, which became equally intense to the extent that I find it reasonable to produce worry and concern in Ms. Jilani. Secondly, together with other evidence I discuss later in this judgment, the messages confirm Ms. Jilani's testimony that her relationship with Mr. Somani's best friend, and nothing else, precipitated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Somani continued to deny that Ms. Jilani's relationship with his former best friend prompted either his suspicions about the business or this litigation. However, he did not cite any event or circumstance in the business that had changed in that period to support his becoming suspicious. He stated he began to believe Ms. Jilani was withdrawing money that was more than "her share" from the business. The documents do not reveal any change in the pattern of Ms. Jilani's compensation from the business, nor its operations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only variable in their business and personal relationship that coincides with the start of his suspicion was that Ms. Jilani started dating his best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Considering all of that and together with my findings below, I am satisfied that what he labels as "suspicions" about Ms. Jilani's draw of money from the business was instead the birth of his scheme to interfere with the business and harass her, motivated by his emotions of anger, betrayal, and vengeance.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Idea for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Somani's pleadings are inconsistent about where the idea came from to start the business. His original notice of civil claim alleges Ms. Jilani "induced" him to start the business. The inducement claim remained in the notice of civil claim until February 7, 2017 when the second amended notice of civil claim was filed, by court order. However, it reappeared in a slightly different version in the further amended civil claim, filed pursuant to court order September 27, 2017. Contrary to Ms. Jilani's inducement to start the business, his pleadings between February 7, 2017 and September 2017 stated, and he testified, that he had the concept of the business for about two years before the business opened in or around 2011 and that he brought the proposal to Ms. Jilani.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Both versions cannot be true and I find it virtually inconceivable that Mr. Somani was merely "mistaken" about the genesis of the idea for the business. He was challenged about these inconsistencies during cross-examination, and significantly, he did not provide a coherent answer for why he originally pled inducement, removed it, and then reintroduced the concept in later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contrast, Ms. Jilani's testimony was consistent in her direct and cross-examination, with her pleadings, and with other evidence. She did not waver in her position and testimony that Mr. Somani enticed her to start a business with him, and I accept that is what happened.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Incorporation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I noted earlier, the numbered company was improperly included in the style of cause. It cannot be a party to this action because a court order was required, but not obtained to add a party. I declined to strike out the incorporation at the beginning of the trial because it was unclear to me at that time who was in control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I explain below, I find that the corporation always should have been registered solely in Ms. Jilani's name. Thus, Mr. Somani's addition of the numbered company to the lawsuit was not only contrary to the Rules of Court, but without legal authority. I hereby order that the numbered company be removed from the 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Somani claims that the parties came to an agreement to incorporate the business in both their names, and the existence of that agreement proved they had always been equal partners. He produced a photocopy of what he claimed was the incorporation agreement. Among other things, the agreement set out the share structure and specified that both Mr. Somani and Ms. Jilani held 5000 common, non-voting and preferred shares, all of which were "without par value". The date on the agreement is December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Yet, Mr. Somani introduced into evidence a text message inconsistent with the agreement and the incorporation documents. On December 10, 2014, 11:00:36, he wrote to Ms. Jilani, "You. Shud [receive] package from Victoria for incorporation this week or nxt week". Clearly, that was not true because he did not file the documents until December 30,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Jilani's position is that Mr. Somani agreed to assist her by filing the incorporation documents, but in her name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Somani did not produce the original agreement. In addition to the photocopy, he produced a second photocopy of the agreement, which appears to have a notary stamp certifying it as "a true and correct copy of the original instrument". The notary's seal appears to be dated October 6, 2015 (the "15" is almost illegible). Mr. Somani relied on this photocopy of what he alleged is a "certified copy" of the agreement as evidence of the agreement. He could not explain why he did not produce the copy of the agreement bearing the original notary stamp.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any event, his own testimony refuted the authenticity of the copies. He testified (when giving his direct evidence) that immediately after signing the document, he handed the original to Ms. Jilani to explain why he did not produce the original at trial. At the same time, he relies on a photocopy of a certified copy of the agreement, which was certified in October 2015. How could a notary certify that as a true copy of the original if Mr. Somani did not possess the original, having handed it to Ms. Jilani on December 2014 according to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For those reasons, I can place no weight on the photocopied documents. I do not accept the photocopied documents are evidence of an agreement. I conclude there was never an agreement that Mr. Somani could be an equal shareholder or director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Ms. Jilani's testimony buttresses this finding. She denied that she intentionally signed any document that would give and/or confirm Mr. Somani had an equal stake in the business. She admitted the signature that appears on the photocopies is hers, but she has no memory of signing that document. She does not disagree that she may have signed </w:t>
      </w:r>
      <w:r>
        <w:rPr>
          <w:rFonts w:ascii="arial" w:eastAsia="arial" w:hAnsi="arial" w:cs="arial"/>
          <w:i/>
          <w:color w:val="000000"/>
          <w:sz w:val="20"/>
          <w:lang w:val="en-US" w:eastAsia="en-US" w:bidi="ar-SA"/>
        </w:rPr>
        <w:t>a document</w:t>
      </w:r>
      <w:r>
        <w:rPr>
          <w:rFonts w:ascii="arial" w:eastAsia="arial" w:hAnsi="arial" w:cs="arial"/>
          <w:color w:val="000000"/>
          <w:sz w:val="20"/>
          <w:lang w:val="en-US" w:eastAsia="en-US" w:bidi="ar-SA"/>
        </w:rPr>
        <w:t xml:space="preserve"> at Mr. Somani's request that had something to do with incorporation after she returned from a trip to Dubai in late December 2014. However, she insisted she did not sign any document on the day she returned (December 29, 2014, which is the date on the photocopied documents). She was also firm in her testimony that if she signed a document about incorporation, she believed at the time she signed it that the corporation would be in her name only. She testified that she never would have knowingly signed a document giving Mr. Somani shares or directorship in the corporation. I believe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 number of other reasons make Ms. Jilani's version more probable than Mr. Somani's version. There was no reason why she had to sign the incorporation document the day she arrived back from Dubai, and coincidentally, shortly before Mr. Somani and his wife took a trip overseas.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Somani testified that the idea for incorporation arose because of a fire on the premises and they worried about their personal liability. However, according to testimony at trial, that fire was in 2013. Ms. Jilani produced a WorkSafe BC document consistent with the fire being in 2013 because it shows that benefits were paid to one of the business's employees (Gloria Keramen) in 2013. Ms. Keramen confirmed in her testimony that she had to take some time off work because of smoke inhalation after the fire at the business and she made a WorkSafe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find that the fire that triggered a concern about liability, which first led the parties to the idea of incorporation, was in 2013. I also find that event was too remote in time to support Mr. Somani's claim that it was vital to complete incorporation in late December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Furthermore, Mr. Somani's testimony about the signing of the agreement was inconsistent with Ms. Jilani's evidence on some key points. They both testified that Mr. Somani picked Ms. Jilani up at the airport on December 29, 2014. She recalled she was tired because of the flight from Dubai, and her recollection is that she went straight home. Mr. Somani testified that they spoke about and signed the agreement that day, either at a coffee shop or at her home. He claimed he showed her the document and told her what it was, and that she agreed and signed it. When asked what he told her about the agreement, his answer was simply, "I explained it to her". Despite his vague recollection on those details, he insisted his memory was firm that she signed it on December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Somani submits Ms. Jilani's examination for discovery evidence supported his version of events. It does not. That evidence was consistent with her trial evidence; she admitted the signature on the photocopied document is hers, but she was firm she did not sign the document on December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find the agreement has the date December 29, 2014 on it, but that it was not signed that day. Ms. Jilani's testimony that she signed nothing that day was unshaken and consistent. Mr. Somani's testimony about the circumstances surrounding the signing of the document was vague and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Mr. Somani also produced text messages that he says demonstrates they discussed "incorporation" before she left for Dubai, in support of his contention that it was reasonable that she would have signed the agreement the day she returned even if she was jet-lagged. However, the texts are inconclusive. Importantly, they contain no comment about the corporation being in their joint names, so the messages are unhelpful on this issue. Moreover, there are only two texts that reference incorporation before December 29 2014 (one on December 3, 2014 from Mr. Somani to Ms. Jilani saying, "Hv to get incorp paper first will do it soon" and the one already mentioned on December 10, 2014 mentioned above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However, interestingly, there is a text message in the exhibit Mr. Somani put into evidence that is inconsistent with the pretense of there being an incorporation agreement on December 29, 2014 in both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On January 3 (or January 5, it is unclear) he wrote at 13:59:43: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u okay with this? Shud we proceed or is there now going to be a trust issue for me? If u like to change biz lease to my name for your protection cos don't know what u thinkin I okay with that. Or can wait for incorporation u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And after her response, he wrote at 14:02:51: "We can change once we get incorporated". Although this is consistent with them having come to an agreement ("we get incorporated") it also implies the business was not yet incorporated ("</w:t>
      </w:r>
      <w:r>
        <w:rPr>
          <w:rFonts w:ascii="arial" w:eastAsia="arial" w:hAnsi="arial" w:cs="arial"/>
          <w:color w:val="000000"/>
          <w:sz w:val="20"/>
          <w:u w:val="single"/>
          <w:lang w:val="en-US" w:eastAsia="en-US" w:bidi="ar-SA"/>
        </w:rPr>
        <w:t>once</w:t>
      </w:r>
      <w:r>
        <w:rPr>
          <w:rFonts w:ascii="arial" w:eastAsia="arial" w:hAnsi="arial" w:cs="arial"/>
          <w:color w:val="000000"/>
          <w:sz w:val="20"/>
          <w:lang w:val="en-US" w:eastAsia="en-US" w:bidi="ar-SA"/>
        </w:rPr>
        <w:t xml:space="preserve"> we get incorporated) despite the fact Mr. Somani knew that it was because he completed the forms on December 29,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He also relies on a text he alleges he sent Ms. Jilani on January 8, 2015 at a few minutes after 1:00 a.m. The print out of the text is a single page. Ms. Jilani was not sure she received it, and after she read it, she pointed out there was no response from her. I agree that is suspicious given the volume of texts produced which generally followed threads of conversations. She testified it is inconceivable she would not have responded given its content, so she questioned the authenticity of the document. As she noted, Mr. Somani claims he is an expert with computers and there is the possibility he would know how to produce an inauthentic print-out of a text message.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that text, Mr. Somani wrote that the "company is incorporated [and] automatically shields us from personal liability" and he reiterated that "anything to do with the business automatically shields us from personal liability including any debts, cc, suppliers, loc and business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not satisfied that the text is reliable evidence and authentic, but even if it was, it merely supports Mr. Somani's position that he incorporated the company in both their names: it does not prove he had authority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Other evidence confirms that there was never any agreement that they would jointly incorporate the business. Ms. Jilani testified when she received the documents in the mail from BC Registry showing the incorporation in both names, she was immediately concerned and took steps to correct it. At first, she was unsure who had created the company because of anomalies on the document itself. In other words, she did not immediately suspect Mr. Somani had deceived her. That evidence supports her claim that the business was never a partnership with Mr. Somani. If she believed they were equal partners, she would have no concerns about the corporation being in both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Somani confirmed he filled out the online application for incorporation himself. It is odd that his name appears differently in three places on the application. In two places, it appears as "Mo Somani", not "Moe Somani". However, on the page listing the directors, he identified himself as "M.J. Somani". Those alone would not necessarily be suspicious, but he also lists his mailing address in Stratford, Ontario. As far as I am aware, that address appeared on no other document put into evidence, and certainly did not appear as Mr. Somani's residential or mailing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Somani's explanation for using the Ontario address was it was his deceased father's residence. During cross-examination, Mr. Somani testified he spent a lot of time at the residence, "almost living there", sorting out his father's estate, which is why he listed that as his mailing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do not find his explanation credible. Earlier in his cross-examination, he said he spent time in Ontario during some time in 2012 and/or 2013, which would match his reasoning that his father's death explained why he was in Ontario (his father died in early January 2012). However, the application form was dated December 30, 2014, almost three years after his father's death. When confronted with that timing, he changed his testimony to say that he was not really living "anywhere" in December 2014. That is not convincing because he was married and his wife had moved from Toronto to live with him. The couple left on a trip to Asia in early January 2015, and there was no other evidence whatsoever at trial suggesting they were not living in Vancouver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Finally, throughout the trial, Mr. Somani emphasized many times that he was "always" at the business unless on vacation. He said several times in his testimony that he attended the business daily or every other day. That is inconsistent with him being at his father's residence for a long enough period that he considered it his mailing address. He also did not mention being in Ontario to deal with his father's estate until confronted with the Ontario address on the application form during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Even if it were true that he was spending time at his deceased father's residence (and I specifically find it was not true as of December 2014), that does not explain why he would list it as his residence for the purpose of the official registration of the incorporated business. He did not say he was living there permanently, and no other document introduced at trial listed his residence to be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Instead, I find that he used the Ontario address in the misguided hope he could delay and/or hide the fact of the company's incorporation in both their names from Ms. Jilani because his registration documents arrived at that Ontario address. Ms. Jilani speculated that desire also explains why he would have deliberately used three different versions of his name on the form, although he claimed it was merely a typographical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am persuaded that listing the Ontario address as his mailing address was Mr. Somani's deliberate but misguided (and ineffective) attempt to delay Ms. Jilani's awareness that he incorporated the company in both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Based on all of the evidence discussed in this section of the judgment, I am satisfied on a balance of probabilities that Mr. Somani did not have Ms. Jilani's agreement to incorporate the business in both their names. I am not satisfied that Ms. Jilani signed any agreement regarding incorporation. I specifically find the incorporation agreement entered in evidence is neither authentic nor reliable. I find that Ms. Jilani relied on Mr. Somani to fill out the paperwork for the incorporation, but that he knew his instructions were to incorporate only in her name because the business was solely 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Business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Somani alleged the parties had an oral agreement that they would be equal partners. Ms. Jilani's position is that there was no partnership. Instead, Mr. Somani made a proposal to her, but that proposal was contingent upon his doing certain things, which he never did. Thus, she submits the business has always been solely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One of the paramount issues in contract law is whether or not a contract is formed. The initial question is whether the parties themselves consider that a binding agreement has been made. This Court discussed this principle in </w:t>
      </w:r>
      <w:r>
        <w:rPr>
          <w:rFonts w:ascii="arial" w:eastAsia="arial" w:hAnsi="arial" w:cs="arial"/>
          <w:i/>
          <w:color w:val="000000"/>
          <w:sz w:val="20"/>
          <w:lang w:val="en-US" w:eastAsia="en-US" w:bidi="ar-SA"/>
        </w:rPr>
        <w:t>Indotan Inc. v. Invincible Resources Corp.</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2009 BCSC 1482</w:t>
        </w:r>
      </w:hyperlink>
      <w:r>
        <w:rPr>
          <w:rFonts w:ascii="arial" w:eastAsia="arial" w:hAnsi="arial" w:cs="arial"/>
          <w:color w:val="000000"/>
          <w:sz w:val="20"/>
          <w:lang w:val="en-US" w:eastAsia="en-US" w:bidi="ar-SA"/>
        </w:rPr>
        <w:t xml:space="preserve">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Further, an agreement between two parties to enter into an agreement by which some critical part of the contract matter is left to be determined is no contract at all. A concluded contract is one which settled everything that is necessary to be settled and leaves nothing to be settled by agreement between the parties: see </w:t>
      </w:r>
      <w:r>
        <w:rPr>
          <w:rFonts w:ascii="arial" w:eastAsia="arial" w:hAnsi="arial" w:cs="arial"/>
          <w:i/>
          <w:color w:val="000000"/>
          <w:sz w:val="20"/>
          <w:lang w:val="en-US" w:eastAsia="en-US" w:bidi="ar-SA"/>
        </w:rPr>
        <w:t>May &amp; Butcher Ltd. v. The King</w:t>
      </w:r>
      <w:r>
        <w:rPr>
          <w:rFonts w:ascii="arial" w:eastAsia="arial" w:hAnsi="arial" w:cs="arial"/>
          <w:color w:val="000000"/>
          <w:sz w:val="20"/>
          <w:lang w:val="en-US" w:eastAsia="en-US" w:bidi="ar-SA"/>
        </w:rPr>
        <w:t>, [1934] 2 K.B. 17 H.L. at 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To put it another way, from a legal point of view, without consensus </w:t>
      </w:r>
      <w:r>
        <w:rPr>
          <w:rFonts w:ascii="arial" w:eastAsia="arial" w:hAnsi="arial" w:cs="arial"/>
          <w:i/>
          <w:color w:val="000000"/>
          <w:sz w:val="20"/>
          <w:lang w:val="en-US" w:eastAsia="en-US" w:bidi="ar-SA"/>
        </w:rPr>
        <w:t>ad item</w:t>
      </w:r>
      <w:r>
        <w:rPr>
          <w:rFonts w:ascii="arial" w:eastAsia="arial" w:hAnsi="arial" w:cs="arial"/>
          <w:color w:val="000000"/>
          <w:sz w:val="20"/>
          <w:lang w:val="en-US" w:eastAsia="en-US" w:bidi="ar-SA"/>
        </w:rPr>
        <w:t xml:space="preserve"> there can be no objective intention to enter into a binding contract: </w:t>
      </w:r>
      <w:r>
        <w:rPr>
          <w:rFonts w:ascii="arial" w:eastAsia="arial" w:hAnsi="arial" w:cs="arial"/>
          <w:i/>
          <w:color w:val="000000"/>
          <w:sz w:val="20"/>
          <w:lang w:val="en-US" w:eastAsia="en-US" w:bidi="ar-SA"/>
        </w:rPr>
        <w:t>Blair v. Western Mutual Benefit Assn.</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[1972] 4 W.W.R. 284</w:t>
        </w:r>
      </w:hyperlink>
      <w:r>
        <w:rPr>
          <w:rFonts w:ascii="arial" w:eastAsia="arial" w:hAnsi="arial" w:cs="arial"/>
          <w:color w:val="000000"/>
          <w:sz w:val="20"/>
          <w:lang w:val="en-US" w:eastAsia="en-US" w:bidi="ar-SA"/>
        </w:rPr>
        <w:t xml:space="preserve"> (B.C.C.A.) at para. 8. As I explain in this section, I find the parties never came to an agreement and no contract was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Jilani submits the business's important documents support her version. Only her name as sole proprietor appeared on both the business bank accounts (signed in April 2012 and November 2014) and commercial lease (signed July 2012). She alone paid the deposit on the lease from her personal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Even when the parties opened a new business account in November 2014, the bank documents identified the business as a "sole proprietorship" in her name. That is significant because Mr. Somani claimed that account was jointly in their names, but it was not. On the business account application document, there are different boxes than can be ticked on the front page to describe the business. Sole proprietorship was chosen even though both partnership and joint venture were available choices.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Somani believed his signature on the document was definitive of his partnership status, but Ms. Jilani explained the only reason Mr. Somani signed that document was to give him signing authority on the account and a second business credit card. Nothing in the document contradicts her testimony. In addition, a "merchant information" form filed with the bank at the same time only lists Ms. Jilani as the merchant.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ownership of the business is the main point of dispute between the parties. Ms. Jilani correctly pointed out that Mr. Somani's evidence and position in the lawsuit has been inconsistent, which supports her position that they never had a partnership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agree. At various points in his testimony, Mr. Somani stated each of the following:</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agreed to be partners, but that Mr. Somani would provide the business concept, expertise in marketing and advertising services, and Ms. Jilani would be responsible for the day-to-day operations;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agreed to be equal partners, but Ms. Jilani could withdraw a salary from the business to help her meet her living expenses, and he would forego drawing a salary until the business was turning a profit, at which point they would share profits 50/50;</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agreed to be equal partners, but he agreed to allow Ms. Jilani to withdraw a salary from the business to help her meet her living expenses and she was holding his "shares in trust" for him;</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agreed to be equal partners but his financial contribution would be given as "they went along". At other times, he testified his financial contribution was his "time and effort" for which he was not paid;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invitation to Ms. Jilani to participate in the business was part of his "sava" (community duty) in order to help her obtain a better future by earning more money while being able to spend time with her daughter, and he had no expectation of getting anything in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addition, Ms. Jilani relies on evidence given at his examination for discovery where he stated he very rarely entered into business partnerships and, if he did, it was only with family members. He also deposed that he did not consider Ms. Jilani to be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Moreover, Mr. Somani's testimony about his role in the business, and his explanations justifying money that he either charged to or withdrew from the business were not uniformly consistent with any one of the above theories. That is another reason why I am not satisfied he has proven they had an equal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Even his pleadings revealed an inconsistent narrative of how the business started:</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original notice of civil claim, he alleged Ms. Jilani induced him to go into business with him;</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August 25, 2016 amended notice of claim, he pled that Ms. Jilani "sought a business opportunity" from him. However, he also pled, in the alternative, that he offered her the opportunity to enter "a mutually beneficial, collaborative business" in which they would share "values, objectives, roles and responsibilities" given that she said she needed his business expertise, and had limited funds to start a business. He claims they agreed he would be paid $5,000 or $6,000 a month;</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posed a second alternative theory in that August 2016 pleading, that they had a "joint business venture" with specified terms, including that Ms. Jilani "agreed to hold the Plaintiff, Somani's share of business interest in trust". However, he also included the claim that Ms. Jilani induced Mr. Somani to contribute to the management of the business. He also pled that "[a]t all material times during the period of June 2012 to December 2014", Ms. Jilani "solicited and induced" him to contribute to the management of the business;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February 7, 2017 and September 27, 2017 further amended notice of civil claims, he alleged that he had come up with the business plan and concept for the business in or around 2011, and that Ms. Jilani approached him about pursuing a business in May 2012. However, he also pled in the September 27, 2017 claim that Ms. Jilani "induced" him to "share his business plan and concept in order to setup, develop and provide management services to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When asked about these different claims during cross-examination, he did not provide consistent, coherent testimony about how the business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addition, his pleadings revealed different amounts to which he claimed he was entitled, and he was unable to explain how he came up with the different figures he included in his pleadings. See, for example, the following figures that appeared in Mr. Somani's pleadings without evidentiary support:</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already discussed my conclusion that Mr. Somani knew the original claim for a lien on Ms. Jilani's residence for $450,000 was unjustified (see paras. 36 to 53);</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August 10, 2015 response to counterclaim, he alleged Ms. Jilani withdrew in excess of $250,000 from the business;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year later, in his amended notice of civil claim filed August 25, 2016, he claimed that Ms. Jilani withdrew $121,981.18;</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September 27, 2017 further amended notice of civil claim, he alleged that from September 2013 to December 2016, she withdrew $116,740 and he was entitled to an equal share of that (the wording is unclear, he may be claiming instead that his share would be $116,740). In the same pleading, he alleged Ms. Jilani "underreported" the amount of "her drawings for management fees of $63,000" from September 2012 to December 2014, and by $53,740 from January 2015 to December 2016;</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amended response to counterclaim filed December 30, 2015, he claimed he made "capital investments" in the approximate amount of $12,000 between June 2012 and December 2014;</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amended notice of civil claim filed August 25, 2016, he claims that he directly contributed equipment and supplies worth $23,511.38 to the business and he withdrew approximately $13,045.45 as his share of profit;</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February 7, 2017 further amended notice of civil claim, he alleges his "contributions for business expenses, equipment and supplies form his personal credit card" amounted to $40,154.73; and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his testimony, he relied on a document he created ("Business Capital Contributions injected into Wellness Massage Centre") in which he attempted to demonstrate that he directly deposited into the business's bank account $16,643.35 (which he referred to as his "investments"). He testified each amount he wrote down was backed up by documents already adduced into evidence, but he could not match up all the amounts and I find that document is not reliable. I discuss this aspect of his evidence later in this judgment (paras. 187 to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point is that even in his pleadings, Mr. Somani has been inconsistent and unclear about facts critical to his claim: how much he "invested"; how much he says Ms. Jilani withdrew, how much he withdrew as his share, and how much he is still owed. Normally, I would only look at the most recent pleadings, but I find the variations in the amounts he has pled to be further support for my conclusion that Mr. Somani is not credible. Most telling is that he was unable, through documents or testimony, to justify or provide a logical or coherent reason for the different amounts he claimed. Nor were any of the amounts pled at any time (or to which he testified) substantiated in the documents produced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Even without the lack of consistency and logic in Mr. Somani's testimony, evidence and pleadings, I am satisfied by Ms. Jilani's testimony that they never had an agreement and were never business partners. Her testimony was consistent throughout her direct evidence and cross-examination, and both with and within her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Somani's testimony and pleadings were also inconsistent about the fundamental terms of the alleged partnership agreement. Independent of anything else, that inconsistency does not support Mr. Somani's basic premise that the parties had any agreement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find Mr. Somani approached Ms. Jilani with the idea that they would open the business. He told her she could make more money and not have to work as many hours as she was at her previous employment. The other terms of his proposal were that they would share profits and liability on a 50/50 basis, and they would both work at the business, specifically at the reception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However, the evidence is clear that at one of the first steps in establishing the business (signing the commercial lease) Mr. Somani did not undertake 50% liability; nor did he directly contribute to the start-up costs. Thus, Mr. Somani's actions were inconsistent with his own position about what constituted their partnership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Furthermore, Ms. Jilani testified that she was confused about their business arrangements. She expected and hoped that they would both sign the lease but that never happened. Ms. Jilani was attracted to the business because she foresaw being able to limit her working hours to school hours allowing her to pick up her daughter from school. She believed that Mr. Somani would work in late afternoons to evenings obviating the need to hire someone to work at reception, obviously of benefit to the business's bottom line. Ms. Jilani accepted she might work longer hours at the reception, but Mr. Somani's taking care of advertising and computer systems and working more limited hours at reception would have equalized that. However, the evidence was clear that at no time did that arrangement come to fruition. I find that in the early days the business simply did not operate in the evenings and eventually they hired a receptionist.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Nor was there any document or compatible testimony from the parties about what the essential terms of the alleged partnership agreement were. Mr. Somani emphasized that he and Ms. Jilani searched for and found the premises for the business together, but critically, only Ms. Jilani made herself liable by the commercial lease and providing 100% of the required deposit in mid-July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She testified that she had believed when looking for premises that they would jointly sign the lease, and therefore she was surprised when Mr. Somani only forwarded her identification and financial information to the landlord. She immediately asked Mr. Somani why he expected only her to sign the lease and he told her that he had a lower credit rating and did not want to jeopardize getting the lease. When Ms. Jilani asked about paying the deposit, he also said it was difficult for him to get money because most of his funds were offshore. Accordingly, she paid the entire security deposit on the lease ($10,000) from her personal funds, and I find that Mr. Somani never contributed to that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Similarly, the business bank accounts were set up only in her name, meaning she was the only person liable for any debts incurred on the account and its credit card. Mr. Somani did not explain why he would not agree to share the risk of being responsible for the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these facts to be pivotal because they prove that only Ms. Jilani contributed (financially, and by incurring liability) to the establishment of the business. Her evidence was unwavering that the absence of Mr. Somani's acceptance of any liability or contribution to start-up costs was a clear indication from the start that they were not, in fact, partners, despite the proposal he made. I conclude the business belonged from its inception to Ms. Jilani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Ms. Jilani testified that she continued to ask Mr. Somani if he would contribute to the deposit and share the liability, but he was always evasive, made excuses, and he never paid. Thus, I find that she held open the opportunity for Mr. Somani to become her business partner, but he never availed himself of that opportunity. Even though Ms. Jilani held onto a hope or belief that Ms. Somani may have become her business partner, she soon realized that he would not undertake joint liability or contribute equally to the start-up costs. She realized that Mr. Somani was not working the amount of hours at the reception desk that she had hoped, eventually, she hired a receptionist to work the non-school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 have no doubt that despite Ms. Jilani's hopes and expectations, the parties never came to an agreement about the operation of the business, and they never became business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Somani does not deny that he did not directly re-pay Ms. Jilani for the initial costs of setting up the business, nor is there any dispute he never undertook to share the liability of the business. That is significant because I find those were fundamental terms of the contract that he proposed. His position was either his labour and services, or other financial contributions made up for that. Even if that were true (and I do not find it was), that was not the proposal that he made, and I find that at no time did Ms. Jilani agree his partnership could be satisfied by those alternative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Critically, there was no evidence from either party that they discussed and agreed on any specific or basic terms of a partnership. There was no evidence that Mr. Somani proposed and Ms. Jilani accepted that instead of making a direct financial contribution, he would substitute his work and services. There was never a meeting of minds. I conclude that is sufficient to defeat Mr. Somani's claim that the parties had a partnership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Somani challenged Ms. Jilani's position by pointing out that Ms. Jilani did not immediately challenge the "draws" he took from the business, which he stated was inconsistent with her position that they were not partners. Ms. Jilani admits that she did not complain or confront Mr. Somani about what he called the "draws" he was making from the business until the end of 2014. However, she stated (and I accept as true) that she was unaware of the extent to which he was doing so until this litigation. It is important to emphasize again that she inherently trusted that he would not do anything improper or to her disadvantage. He had access to all banking information including the account numbers and online passwords. She lent him the business credit card to make purchases for the business on her behalf. She trusted him to watch the business's finances. Clearly, that was unwise, and she admitted she was naïve to do so. However, Ms. Jilani's placing a certain amount of trust in Mr. Somani with regard to the management of the business does not prove that there was a partnership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Based on their agreed testimony that they were best friends, it is perhaps not surprising that neither party felt the need to clarify the terms of their involvement in the business. Both parties emphasized their relationship was based on "blindly trusting"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As Ms. Jilani gained more experience working at the business and an understanding of its finances, she became more confident. She began to notice Mr. Somani's unorthodox financial transactions, or how he would "run" personal expenses through the business. There is no dispute that he made these decisions on his own, not seeking Ms. Jilani's approval before "borrowing" the money. He explained he wanted to pay for certain things on the business credit card because the interest rate was lower than on his personal card, and promised that he would repay the business. She believed at the time these were loans. Again, she did not keep careful track of that, but trusted that he would keep his word. She also agreed that she never told him directly to halt that behaviour until the end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find there was no evidence to support Mr. Somani's theory that the parties agreed he could use the business as a private lending fund. In his testimony and with his documents, Mr. Somani attempted to show that he did repay all of these loans, but he was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What happened then is revealing. While he testified, if he could not match a particular personal expense to a deposit he made to the business, he would with words to the effect that "then I will consider it my draw from the business". In other words, his own testimony demonstrated he did not know in his own mind whether he was legitimately "drawing" money from the business on a regular basis or making "draws" by paying for personal expenses directly from the business and not repaying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the end, it does not matter because I am satisfied that there was never an agreement between the parties that he could use the business in this fashion. I also find that due to her inherent and blind trust in Mr. Somani and inexperience at business, she was not fully aware of what he was doing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However, Ms. Jilani began to watch the business's account more closely, and in late 2014, when Mr. Somani wanted to take $2,500 out of the business for an overseas trip, she refused. She told him the business would not have enough to meet its expenses. The evidence is clear that Mr. Somani was unhappy about her refusal. Ms. Jilani testified that was the first time she questioned or "pushed back" against Mr. Somani. She speculated that her refusal was part of what triggered his scheme to undermine the business and harass her. I find that her speculation is merited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Somani also tried to demonstrate through his documents that overall, he put more money into the business, than he took out. He was unable to do so, as I discuss later in this judgment at paras. 187-210.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His alternative claim is that he performed "management services" for which he is entitled to be reimbursed. I am not satisfied that the parties came to any agreement about this. Nor do I find (contrary to one of the positions he put forward) that his labour and services for the business were a substitute for his equal financial contribution, thus substantiating his claim that he was Ms. Jilani's business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He also relies on the testimony of two former employees: Niloufor Tabatabaei and Sweeta Kasimi, who were both receptionists at the business. Ms. Kasimi began working as a receptionist in December 2012 and stayed until the beginning of 2014, working three to four hours a day, six days a week. Ms. Tabatabaei started when Ms. Kasimi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Kasimi said the parties' business relationship as far she knew" was that Ms. Jilani and Mr. Somani were business partners. Ms. Tabatabaei stated that when Ms. Jilani interviewed her for the job, Ms. Jilani said that she and Mr. Somani were "business partners". Ms. Tabatabaei understood that the partnership ended January 31, 2015 when Ms. Jilani texted her the following: "Moe and I will b ending this partnership &amp; I will b taking over the business alone going fwd".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Ms. Jilani did not recall sending that text message, but did not deny she may have. However, she explained that in that text, or any conversation with staff, she would have meant "partner" not in the sense of their legal relationship, but more that his involvement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Although I agree that the use of the word "partner" attributed to Ms. Jilani, can be consistent with Mr. Somani's theory of the case, I find it equally possible that Ms. Jilani's explanation is truthful. She was not as experienced at business. To her, the word did not amount to him "owning" half of the business. Also, even if I accept the former employees' testimony and the text message as supporting Mr. Somani's contention that the parties were business partners (and I do not), that would be insufficient to overcome the other evidence I have discussed in the preceding paragraphs that is more consistent with them not being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An overriding theme of Mr. Somani's case was to ask how he could successfully insinuate himself into the business if he was not, in fact, a business partner. To support his position, Mr. Somani relies on a large body of text messages between him and Ms. Jilani, between him and staff members, and the testimony of three former staff members: Ms. Kasimi, Ms. Tabatabaei and Gloria Keramen, who was employed as a masseuse. He submits the volume and content of those texts, and the former employees' testimony illustrate he was intimately involved in running the business, consistent with his being a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That evidence does demonstrate that Mr. Somani took responsibility and performed tasks for operating the business including arranging for contractors to do repair and maintenance work; doing some redecoration; arranging for internet and other advertising; setting up the business's website; and dealing with some staffing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He also relies on his testimony and the employees' testimony about how frequently he was at the business. However, that evidence was not consistent. Significantly, Ms. Jilani's testimony differed from his about the frequency he was at the business. There is no dispute that of all the witnesses that testified, she was the person most frequently at the business from the day it opened, unless she was ill or on vacation. So while I accept that Mr. Somani attended the business frequently, I do not accept his evidence that he was there daily or every other day, and certainly not, as he claimed, for six to ten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find that Mr. Somani did perform work for the business, but I am not satisfied his attendance or work were sufficient to establish the parties were business partners in either an evidentiary or a legal sense. Instead, I find Mr. Somani's presence at and work for the business resulted first from a desire to be around and assist Ms. Jilani with the business, partially as a good friend. I also find on a balance of probabilities that he maintained intense feelings for her even after his marriage. I specifically find that once she started dating his former best friend, and refused his request to withdraw $2,500 from the business, he embarked on a concerted scheme to interfere with the business and to harass and intimidate Ms. Jilani.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My conclusion is supported by the following. This was Ms. Jilani's first venture into starting or operating a business. Mr. Somani was a very experienced and successful entrepreneur, which is consistent with what he pled, testified to at trial, and how he represented himself to Ms. Jilani. In her testimony. Ms. Jilani described that she was heavily dependent upon Mr. Somani, including guidance on matters involving her personal finances. She lacked experience and confidence to purchase a car or house without his considerable assistance and input. The same was true for the business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Also consistent with my conclusion is that Mr. Somani came to know Ms. Jilani just as she was leaving an abusive marriage; her family lived in the United States, and she had no other family or friends in Vancouver other than Mr. Somani. She was isolated and testified that she had no close friends except Mr. Somani. Both parties belong to an Ismaili community in Vancouver, and they both described Mr. Somani having a role in the community akin to a pastor. It was in this role that he first had contacted Ms. Jilani in late 2011. Specifically, he provided her with support as she was leaving her marriage. He knew about the abuse and her isolation. She described that during that period, she was in a dark vulnerable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Ms. Jilani claims that very soon after meeting her, Mr. Somani was immediately interested in a romantic relationship. She described that he was persistent, but she initially resisted because she was still finalizing her divorce. However, she testified that he kept pursuing her, would not take no for answer, so eventually she agreed to date him. They only dated for about four months. During that time, Mr. Somani mentioned a plan to move to Africa and encouraged her to accompany him, leaving her daughter with her ex-spouse. Ms. Jilani broke up with Mr. Somani at that point, and according to her, he was unhappy about the breakup. Mr. Somani did not dispute these facts, except for her testimony about moving to Africa (but I prefer her testimony to his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Nevertheless, they both testified that after the end of their romantic relationship, they remained close and regarded each other as best friends. Their testimony was consistent that they had enormous trust in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Given the dynamics of their friendship, and since nothing about the alleged business arrangement was in writing, Ms. Jilani's failure to protest Mr. Somani's withdrawal of money from the business makes sense. Ms. Jilani's inaction does not amount to the creation of a partnership agreement. It is a fundamental principle of contract law that silence does not constitute communication of acceptance, even if there is clear subjective communication of acceptance: </w:t>
      </w:r>
      <w:r>
        <w:rPr>
          <w:rFonts w:ascii="arial" w:eastAsia="arial" w:hAnsi="arial" w:cs="arial"/>
          <w:i/>
          <w:color w:val="000000"/>
          <w:sz w:val="20"/>
          <w:lang w:val="en-US" w:eastAsia="en-US" w:bidi="ar-SA"/>
        </w:rPr>
        <w:t>Felthouse v. Bindley</w:t>
      </w:r>
      <w:r>
        <w:rPr>
          <w:rFonts w:ascii="arial" w:eastAsia="arial" w:hAnsi="arial" w:cs="arial"/>
          <w:color w:val="000000"/>
          <w:sz w:val="20"/>
          <w:lang w:val="en-US" w:eastAsia="en-US" w:bidi="ar-SA"/>
        </w:rPr>
        <w:t xml:space="preserve"> (1862), 11 C.B.N.S. 869, 142 E.R. 1037 (Eng. C.P); The </w:t>
      </w:r>
      <w:r>
        <w:rPr>
          <w:rFonts w:ascii="arial" w:eastAsia="arial" w:hAnsi="arial" w:cs="arial"/>
          <w:i/>
          <w:color w:val="000000"/>
          <w:sz w:val="20"/>
          <w:lang w:val="en-US" w:eastAsia="en-US" w:bidi="ar-SA"/>
        </w:rPr>
        <w:t>Law of Contract</w:t>
      </w:r>
      <w:r>
        <w:rPr>
          <w:rFonts w:ascii="arial" w:eastAsia="arial" w:hAnsi="arial" w:cs="arial"/>
          <w:color w:val="000000"/>
          <w:sz w:val="20"/>
          <w:lang w:val="en-US" w:eastAsia="en-US" w:bidi="ar-SA"/>
        </w:rPr>
        <w:t>, Cheshire, Fifoot and Furmstone, 15th ed. Oxford, p.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Looking at the totality of evidence, I conclude that Mr. Somani has failed to prove that the parties had an agreement, much less a partnership agreement about the business. I find that the business was at all times a sole proprietorship owned by Ms. Jilani.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Business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Ms. Jilani claimed that important documents were removed from the business before she returned from an overseas trip on December 29, 2014. She testified that is why she did not produce many documents sought by Mr. Somani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Two types of documents were at issue. The business used an on-line Google calendar to book appointments and to keep track of masseuses' hours. Staff updated the document daily, but did not print it out. The business also tracked business expenses on excel spreadsheets. Receptionists were instructed to enter receipts turned in by Ms. Jilani and Mr. Somani for business expenses onto the excel spreadsheets, which again were not printed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Somani admits he copied both types of documents directly from the business's computer onto a USB stick, but he did not produce the USB stick in the litigation. Mr. Somani produced what he said was a summary of the information from the Google calendar, showing revenue from the business since it opened. He created the document. The Google calendar itself was not in evidence. He suggested that his summary showed the business was making far more money than Ms. Jilani admitted to, in order to bolster his position that she must have taken large sums of money out of the business. He contrasts his summary to printouts from QuickBooks software that Ms. Jilani put forward as indicating the business's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He also adduced excel spreadsheets, breaking down the business's expenses in each year into the following categories: food, supplies, gas, laundry, advertising, marketing, bills (utilities), payroll, medical/dental, bank fees, renovations and miscellaneous. He claimed the spreadsheets were from the business, but Ms. Jilani had never seen a printout of them before the litigation. Mr. Somani also produced credit card statements that he submitted had transactions matched with most of the business expenses. His position is that since he was not repaid for those expenses they represent in his "draw" from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Ms. Jilani submits the documents are not authentic nor reliable. She points out the circumstances under which Mr. Somani obtained the documents are suspicious and support her position that that Mr. Somani was conducting an ongoing campaign of harassment and interference with her business</w:t>
      </w:r>
      <w:bookmarkStart w:id="36"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36"/>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Ms. Jilani testified the excel expense documents disappeared some time while she was on an overseas trip. When she returned to work from that trip in early January 2015, the business's computer had been changed, and the excel documents described above were missing. She said that is why she eventually used QuickBooks software to keep track of the business's finances. She entered historical data by relying on transactions from the business's bank account. She also relied on the business's credit card statements because she used that credit card for all the expenses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At first, Mr. Somani denied the computer was changed. However, when confronted with text messages between him and the receptionist talking about a new computer in that timeframe, he admitted he changed the computer while Ms. Jilani was overseas. He then claimed he transferred to the new computer with a "cable" documents from the previous computer, and that he kept his own copy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As to why he copied the documents, Mr. Somani said he wanted to analyze the business expenses and revenues because of his suspicion that Ms. Jilani was taking too much money out of the business. He did both things surreptitiously because he stated that he did not want Ms. Jilani to be aware of his suspicions. However, she was out of the country during that time, and she was aware that he had full access to those documents at any time so the need for secrecy does not make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At the end of January, he asked Ms. Tabatabaei to review the entire Google Calendar since the business opened, and count and record in a separate book only for him, the number of different types of treatments each year. That book was not produced at trial. It is significant that he made that request by text very close to the same day that I find he punched a hole in the wall (January 29, 2014); he wrote in his text to Ms. Tabatabaei to keep the task confidential and that he would pay her privately to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He claimed Ms. Tabatabaei's testimony supports his version of events, but I have concerns that she was not a neutral witness. She admitted during cross-examination that she knew Ms. Jilani had forbade her to communicate with or give any information to Mr. Somani and she disobeyed those instructions. Not only that, she was paid by Mr. Somani to do so. She gathered the information he wanted while at work. She knew she was going behind Ms. Jilani's back at a time when she knew the two were in a business dispute. She agreed during cross-examination that Mr. Somani "paid her off" to undermine Ms. Jilani.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Of greater concern to the reliability of her testimony were the circumstances that led Ms. Tabatabaei to quit her job in May 2015. Ms. Jilani began noticing cash consistently missing from the business, and since Ms. Tabatabaei closed up at the end of day, and Ms. Jilani opened in morning, she asked Ms. Tabatabaei where the cash had gone. Ms. Jilani's testified she was making an enquiry as a genuine attempt to figure out what was happening. Ms. Tabatabaei took that as accusation that she stole the money, and quit her job. The text messages produced at trial made it clear that Ms. Tabatabaei harboured ill will towards Ms. Jilani because of that. Accordingly, I approach her evidence with caution because she was not impartial.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Somani's evidence as to why he asked Ms. Tabatabaei to confidentially record the number and type of treatments from Google Calendar was confusing. He claimed he wanted to "verify" the information he already had. He could not explain why that step was needed if he copied the documents himself from the business. I find it most probable that he asked Ms. Tabatabaei to do that work so he did not have to do it himself, and he then relied on her record to create his summary. Ms. Tabatabaei testified she had no idea what he was doing with the information, but she knew she was helping him out at a time when he was in a dispute with Ms. Jilani.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am not satisfied Mr. Somani's documents are genuine or accurate. He provided no reasonable explanation why he did not produce the original USB stick or the notebook in which Ms. Tabatabaei recorded the information. The only support for the authenticity of the summary is Mr. Somani's testimony and based on his tainted credibility, I do not accept the evidence as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have similar concerns about the excel expense spreadsheets. Again, the original USB stick was not produced, and I accept Ms. Jilani's testimony that the "original" documents no longer exist on the business's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Somani relies on the testimony of Ms. Kasimi and Ms. Tabatabaei to verify the excel expense records. However, their testimony was not definitive. Ms. Tabatabaei admitted in cross-examination that she could not say the document put before her matched what she input onto the computer because she did not have specific recollections of the entries. She recognized some of the restaurant and other business names to be ones that she probably entered into the computer. Ms. Kasimi's testimony was that "it's possible" the entries on the excel spreadsheets shown to her by Mr. Somani were inputted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Ms. Jilani does not accept the excel spreadsheets are an accurate record of legitimate business expenses. She said most, if not all, business expenses would be charged to the business credit card, so there would be few occasions when either of them would need to charge anything to their own credit card. Even before Mr. Somani had a business credit card in his own name, she testified she often gave him the business credit card to pay for business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Somani also attempted to verify the excel expense reports by producing credit card statements. He produced incomplete copies of credit card statements, which showed some transactions matching some entries on the excel spreadsheet. The problem is that he did not produce originals of the credit card statements, and when photocopying them, he altered the documents in two ways. First, he admitted to redacting certain information. On top of the statements where it stated, "prepared for", the title and first name is not visible; what appeared were "SOMANI" and the date range. In addition, at end of the list of transactions, there is a line that said, "Total for", and that is blank (on all but one of the statements even the words "Total for" are not visible). He also managed to have included on the top and bottom of each page in typewriting, page numbers not on the original to make it seem like the statements are sequential. They are not because you can see the page number on the original document behind the typewriting and many pages are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Ms. Jilani noticed the "whited out" information while cross-examining Mr. Somani. His explanation was that Ms. Jilani had also blacked out information on her statements, but she only blacked out her account numbers to protect her privacy. Her name and her address were visible on her documents. Instead, Mr. Somani has redacted information that would leave no doubt that the credit card statements are 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Had this been the only instance of documents being altered, it might not have been a bar to accepting it as authentic. However, given my conclusions about Mr. Somani's lack of credibility, his alteration of filed court documents and other documents he has put forward that are not authentic, I am not prepared to accept the incomplete, photocopied and altered statements as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any event, even if I did, the credit card statements do nothing more than record receipts that might have been entered as a business expense by a receptionist at the instruction of Mr. Somani. That does not prove the expenses were legitimate business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majority of "expenses" are for restaurant bills. Mr. Somani apparently believed that going out to a restaurant when you are running a massage centre was a legitimate business expense. He claimed most of those meals were when he and Ms. Jilani discussed the business. However, there would be no reason to do that at a restaurant when the business had an office. Ms. Jilani agreed they went out for lunch but she denied they did so frequently, or that they discussed the business. More importantly, she testified all business expenses were charged to the business credit card. Even if they were "expenses" for the purpose of income tax (and I highly doubt they are), they were certainly not a "contribution" to the business that would justify Mr. Somani having an ownership stake which is what he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Ms. Jilani also testified that Mr. Somani had a habit of "running money" through the business credit card to avoid the higher interest rate charges on his personal debts. Mr. Somani admitted that he did make payments for personal things (car loan payments for example) on the business credit card, but he claimed he always paid that back. He tried, but could not prove that with the documents he produced. He then explained if he did not pay the money back, he would count the expenditure as his "draw" from the business. As noted above, taking money out of the business and counting it as your draw, is not making a financial contribution to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He tried to prove with documents that he had contributed about $16,000 to the business. He was unable to do so. He relied on a "running print out" of the business account to point to specific deposits and identified them as coming from him. What he was unable to do was to show a corresponding debit from an account in his name to verify he made that deposit. I am not satisfied that he has produced all the relevant documents in that regard, and I have serious concerns about the authenticity of the ones he did produce. Accordingly, I do not find the excel spreadsheet printouts produced by Mr. Somani to be a true representation of the business's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conclude Mr. Somani has failed to adduce reliable evidence to substantiate his claim that he made financial contributions to the business, or that the business "owes" him any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SUMMARY OF CONCLUSIONS DISMISSING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For all those reasons, if I am mistaken that Mr. Somani's reprehensible conducts during this litigation justifies dismissing his claims, I find he has failed to establish the existence of a partnership agreement. Therefore, he has failed to make out his claims in breach of contract, unjust enrichment, negligent misrepresentation,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fraudulent conveyance. Further, I find that Mr. Somani was not unlawfully removed as a director and shareholder of the business because he never had the legal right or authority to incorporate the business jointly with Ms. Jilani. Therefore his claims in breach of fiduciary duty and oppression also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Jilani made the following claims in her further amended counterclaim filed January 26, 2017:</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Somani published articles on the internet that defamed her;</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Somani was not a partner in the business and there was no agreement to that effect. He made no financial contribution to the business, and spent time at the business premises in furtherance of his separate businesses, while providing little or no benefit to the business. He deliberately sabotaged the business by inappropriately accessing and hijacking the business's website domain name and e-mail accounts, and wrongly withdrew funds from the business, which should be paid back;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Somani covertly used the business's financial documents without authority to start a competing business (Medi-Spa Lounge Group) and misappropriated funds from the business to use in that business.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alleged defamatory articles (the Articles) are:</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Somani v. Jilani authentic premise in court records confirmations misleading practices and false guaranteeing responsibility for back rub focus in Burnaby, BC, undated, apparently published by "The Global Legal Post". (First Article, reproduced in full in Appendix "A").</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articles whose substantive content appears to be virtually identical but titles, "publisher" and taglines at the beginning and end differ slightly in wording (Second Article, portions other than titles, publisher and taglines reproduced in Appendix B);</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businessman Moe Somani sues Layla Jilani business partner for embezzlement and fraud", July 8, 2015, apparently published by Global News Media Group". This article, unlike the others, also has a purported comment, which includes the phrase "hows [sic] can you screw your best friends left overs;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appears to be the same article, with the identical title published at "http.globalnews.com" by "Free-Press-Release" dated July 7, 2015; and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"Global News Media Group" article titled "Supreme Court British Columbia Lawsuit Embezzlement Fraud Against Layla Jilani", July 8, 2015.</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article published at www.pr9.net/bubiness/financial/10498july.html by Global News Media, titled "Vancouver businessman Moe Somani sues Wellness Massage Therapy Centre business partner", July 6, 2015. This article is virtually identical to the Second Article but is missing the last three paragraphs, and has slightly different wording in at least three other paragraphs (Third Article). Most of the different wording is insignificant and immaterial but I have identified in Appendix B by italicized text, content in the Third Article that does not appear in the Second Article that may be significant.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A defamatory statement is one that has a tendency to lower the reputation of the person to whom it refers in the estimation of right-thinking members of society generally and, in particular, to cause him or her to be regarded with feelings of hatred, contempt, ridicule, fear, dislike or disesteem. Not every criticism of a person or disparaging comment is defamatory: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at para. 28 and </w:t>
      </w:r>
      <w:r>
        <w:rPr>
          <w:rFonts w:ascii="arial" w:eastAsia="arial" w:hAnsi="arial" w:cs="arial"/>
          <w:i/>
          <w:color w:val="000000"/>
          <w:sz w:val="20"/>
          <w:lang w:val="en-US" w:eastAsia="en-US" w:bidi="ar-SA"/>
        </w:rPr>
        <w:t>Lougheed Estate v. Wilson</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2017 BCSC 1366</w:t>
        </w:r>
      </w:hyperlink>
      <w:r>
        <w:rPr>
          <w:rFonts w:ascii="arial" w:eastAsia="arial" w:hAnsi="arial" w:cs="arial"/>
          <w:color w:val="000000"/>
          <w:sz w:val="20"/>
          <w:lang w:val="en-US" w:eastAsia="en-US" w:bidi="ar-SA"/>
        </w:rPr>
        <w:t xml:space="preserve"> at para. 156. Whether a statement is defamatory depends on the natural and ordinary meaning of the words. The court considers the meaning in the context of the publication as a whole. In other words, a statement taken out of context might be defamatory, but another part of the publication may neutralize its "sting": </w:t>
      </w:r>
      <w:r>
        <w:rPr>
          <w:rFonts w:ascii="arial" w:eastAsia="arial" w:hAnsi="arial" w:cs="arial"/>
          <w:i/>
          <w:color w:val="000000"/>
          <w:sz w:val="20"/>
          <w:lang w:val="en-US" w:eastAsia="en-US" w:bidi="ar-SA"/>
        </w:rPr>
        <w:t>Lougheed Estate</w:t>
      </w:r>
      <w:r>
        <w:rPr>
          <w:rFonts w:ascii="arial" w:eastAsia="arial" w:hAnsi="arial" w:cs="arial"/>
          <w:color w:val="000000"/>
          <w:sz w:val="20"/>
          <w:lang w:val="en-US" w:eastAsia="en-US" w:bidi="ar-SA"/>
        </w:rPr>
        <w:t xml:space="preserve"> at para.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A finding that the words are capable of having a defamatory meaning is a question of law, and the finding that the words actually contain defamatory meaning is a question of fact: </w:t>
      </w:r>
      <w:r>
        <w:rPr>
          <w:rFonts w:ascii="arial" w:eastAsia="arial" w:hAnsi="arial" w:cs="arial"/>
          <w:i/>
          <w:color w:val="000000"/>
          <w:sz w:val="20"/>
          <w:lang w:val="en-US" w:eastAsia="en-US" w:bidi="ar-SA"/>
        </w:rPr>
        <w:t>Mainstream Canada v. Staniford</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2013 BCCA 341</w:t>
        </w:r>
      </w:hyperlink>
      <w:r>
        <w:rPr>
          <w:rFonts w:ascii="arial" w:eastAsia="arial" w:hAnsi="arial" w:cs="arial"/>
          <w:color w:val="000000"/>
          <w:sz w:val="20"/>
          <w:lang w:val="en-US" w:eastAsia="en-US" w:bidi="ar-SA"/>
        </w:rPr>
        <w:t xml:space="preserve"> at paras.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In order to succeed in her defamation claim, Ms. Jilani has the burden to establish the following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 28):</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impugned words were defamatory, in the sense that they would tend to lower her reputation in the eyes of a reasonable person;</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referred to her;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words were published, meaning that they were communicated to at least one other person other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Crookes v. Newton</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2009 BCCA 392</w:t>
        </w:r>
      </w:hyperlink>
      <w:r>
        <w:rPr>
          <w:rFonts w:ascii="arial" w:eastAsia="arial" w:hAnsi="arial" w:cs="arial"/>
          <w:color w:val="000000"/>
          <w:sz w:val="20"/>
          <w:lang w:val="en-US" w:eastAsia="en-US" w:bidi="ar-SA"/>
        </w:rPr>
        <w:t xml:space="preserve">, aff'd </w:t>
      </w:r>
      <w:hyperlink r:id="rId141" w:history="1">
        <w:r>
          <w:rPr>
            <w:rFonts w:ascii="arial" w:eastAsia="arial" w:hAnsi="arial" w:cs="arial"/>
            <w:i/>
            <w:color w:val="0077CC"/>
            <w:sz w:val="20"/>
            <w:u w:val="single"/>
            <w:shd w:val="clear" w:color="auto" w:fill="FFFFFF"/>
            <w:lang w:val="en-US" w:eastAsia="en-US" w:bidi="ar-SA"/>
          </w:rPr>
          <w:t>2011 SCC 47</w:t>
        </w:r>
      </w:hyperlink>
      <w:r>
        <w:rPr>
          <w:rFonts w:ascii="arial" w:eastAsia="arial" w:hAnsi="arial" w:cs="arial"/>
          <w:color w:val="000000"/>
          <w:sz w:val="20"/>
          <w:lang w:val="en-US" w:eastAsia="en-US" w:bidi="ar-SA"/>
        </w:rPr>
        <w:t>, the Court of Appeal stated there are two aspects to the publication element of the tort at para. 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relating to the defendant as publisher, concerns the act of promulgating the impugned item. The second, relating to the third party receiver of the impugned item, concerns the receipt of that item by a person within the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There is no dispute that the second condition is met in this case as the Articles clearly refer to Ms. Jilani by name throughout. I begin my analysis by considering the third condition that must be established by Ms. Jilani to succeed in her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Publication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To establish publication, Ms. Jilani must prove that Mr. Somani was responsible for publishing the Articles and that the Articles were read by some third party.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Mr. Somani Wrote the 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Somani denied that he had any involvement with the Articles. He denied he had been "interviewed" by anyone as the Articles imply.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Ms. Jilani asked me to draw the inference that Mr. Somani wrote and published the articles based on their timing and their content, some of which she submits only she and Mr. Somani would know. Mr. Somani testified that he did not see any of the Articles until the parties attended a mediation in November or December 2015, and Ms. Jilani brought them to his attention. This is important for reasons that I explain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number of similarities and identical phrases used in the Articles to pleadings filed by Mr. Somani are remarkable. I conclude there are too many matches to be merely coincidences. Further, there are assertions made in the articles that came from the narrative of their business dispute, but are not contained in the pleadings in existence at July 2015, and thus were probably only known to the two of them. According to Ms. Jilani, she discussed with no one this litigation and the business dispute, and I accept her evidence. Given that, and the timing as discussed below, I am satisfied that it is more probable than not that Mr. Somani is the author of the articles.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 Virtually Identical Wording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her July 20, 2015 response (the first pleading filed by Ms. Jilani in this litigation) Ms. Jilani alleged at para. 3 of Division 3 - Additional Facts that upon learning of her "new relationship", Mr. Somani on January 1, 2015 confronted her and said "that if she did not stop seeing her partner, that Mr. Somani would destroy the business". Importantly, the pleading does not state that her new relationship was with Mr. Somani's former best friend. According to her testimony, she kept her romantic life very private.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Yet, in the Articles, all dated prior to July 20, 2015 (except for the First Article which is undated), reference is made to the pre-existing friendship between Mr. Somani and her then new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More telling, some wording is identical to what Mr. Somani included in subsequent pleadings. The language is awkward, stilted and therefore uncommon. I find it virtually impossible that the similarities are due to anything other than the same person composing them. He claimed he never saw the Articles until November or later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the First Article appears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...Jilani's new sweetheart was Somani's ex closest friend, and Somani unmistakably expressed: 'He is welcome to my remains, and I wish him the good luck, in helping and abetting Jilani to assume control over my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his response to the counterclaim, filed August 10, 2015 at para. 4 of Part 1, Division 3 the following appears (words underlined are identical to what appears in the First Article; in italics and parenthesis are words that appear in the First Article in place of the immediately preceding words that are not underlined):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w:t>
      </w:r>
      <w:r>
        <w:rPr>
          <w:rFonts w:ascii="arial" w:eastAsia="arial" w:hAnsi="arial" w:cs="arial"/>
          <w:i/>
          <w:color w:val="000000"/>
          <w:sz w:val="20"/>
          <w:lang w:val="en-US" w:eastAsia="en-US" w:bidi="ar-SA"/>
        </w:rPr>
        <w:t>Jilani's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new sweetheart</w:t>
      </w:r>
      <w:r>
        <w:rPr>
          <w:rFonts w:ascii="arial" w:eastAsia="arial" w:hAnsi="arial" w:cs="arial"/>
          <w:color w:val="000000"/>
          <w:sz w:val="20"/>
          <w:lang w:val="en-US" w:eastAsia="en-US" w:bidi="ar-SA"/>
        </w:rPr>
        <w:t xml:space="preserve"> is none other than the plaintiff's (</w:t>
      </w:r>
      <w:r>
        <w:rPr>
          <w:rFonts w:ascii="arial" w:eastAsia="arial" w:hAnsi="arial" w:cs="arial"/>
          <w:i/>
          <w:color w:val="000000"/>
          <w:sz w:val="20"/>
          <w:lang w:val="en-US" w:eastAsia="en-US" w:bidi="ar-SA"/>
        </w:rPr>
        <w:t>was Somani's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ex closest friend, and</w:t>
      </w:r>
      <w:r>
        <w:rPr>
          <w:rFonts w:ascii="arial" w:eastAsia="arial" w:hAnsi="arial" w:cs="arial"/>
          <w:color w:val="000000"/>
          <w:sz w:val="20"/>
          <w:lang w:val="en-US" w:eastAsia="en-US" w:bidi="ar-SA"/>
        </w:rPr>
        <w:t xml:space="preserve"> the plaintiff (</w:t>
      </w:r>
      <w:r>
        <w:rPr>
          <w:rFonts w:ascii="arial" w:eastAsia="arial" w:hAnsi="arial" w:cs="arial"/>
          <w:i/>
          <w:color w:val="000000"/>
          <w:sz w:val="20"/>
          <w:lang w:val="en-US" w:eastAsia="en-US" w:bidi="ar-SA"/>
        </w:rPr>
        <w:t>Somani</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unmistakably expressed</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He is welcome to my</w:t>
      </w:r>
      <w:r>
        <w:rPr>
          <w:rFonts w:ascii="arial" w:eastAsia="arial" w:hAnsi="arial" w:cs="arial"/>
          <w:color w:val="000000"/>
          <w:sz w:val="20"/>
          <w:lang w:val="en-US" w:eastAsia="en-US" w:bidi="ar-SA"/>
        </w:rPr>
        <w:t xml:space="preserve"> left overs </w:t>
      </w:r>
      <w:r>
        <w:rPr>
          <w:rFonts w:ascii="arial" w:eastAsia="arial" w:hAnsi="arial" w:cs="arial"/>
          <w:i/>
          <w:color w:val="000000"/>
          <w:sz w:val="20"/>
          <w:lang w:val="en-US" w:eastAsia="en-US" w:bidi="ar-SA"/>
        </w:rPr>
        <w:t>(remains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and I wish him the good luck, in helping and abetting</w:t>
      </w:r>
      <w:r>
        <w:rPr>
          <w:rFonts w:ascii="arial" w:eastAsia="arial" w:hAnsi="arial" w:cs="arial"/>
          <w:color w:val="000000"/>
          <w:sz w:val="20"/>
          <w:lang w:val="en-US" w:eastAsia="en-US" w:bidi="ar-SA"/>
        </w:rPr>
        <w:t xml:space="preserve"> you to take (</w:t>
      </w:r>
      <w:r>
        <w:rPr>
          <w:rFonts w:ascii="arial" w:eastAsia="arial" w:hAnsi="arial" w:cs="arial"/>
          <w:i/>
          <w:color w:val="000000"/>
          <w:sz w:val="20"/>
          <w:lang w:val="en-US" w:eastAsia="en-US" w:bidi="ar-SA"/>
        </w:rPr>
        <w:t>Jilani to assume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control over my business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the First Article, the following sentences appear: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...Layla Jilani's whole course of behavior confirmations her rehashed beguiling practices of dishonestly [sic] guaranteeing 100% ownership for the business, after Somani having overseen, creating and advertising the business in many regards following its association since June 2012. Jilani has made each endeavor to keep Somani far from the business premises in addition to other things, and making manufactured reports to nearby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At para. 4 of Part 3 of Mr. Somani's August 10, 2015 response to counterclaim are the following (words underlined are identical to what appears in the First Article; in italics and parenthesis are words that appear in the First Article in place of the immediately preceding words that are not underlined):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w:t>
      </w:r>
      <w:r>
        <w:rPr>
          <w:rFonts w:ascii="arial" w:eastAsia="arial" w:hAnsi="arial" w:cs="arial"/>
          <w:i/>
          <w:color w:val="000000"/>
          <w:sz w:val="20"/>
          <w:lang w:val="en-US" w:eastAsia="en-US" w:bidi="ar-SA"/>
        </w:rPr>
        <w:t>Layla Jilani's</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whole course of behavior confirmations her rehashed beguiling practices of dishonestly</w:t>
      </w:r>
      <w:r>
        <w:rPr>
          <w:rFonts w:ascii="arial" w:eastAsia="arial" w:hAnsi="arial" w:cs="arial"/>
          <w:color w:val="000000"/>
          <w:sz w:val="20"/>
          <w:lang w:val="en-US" w:eastAsia="en-US" w:bidi="ar-SA"/>
        </w:rPr>
        <w:t xml:space="preserve"> [sic] taking the business hostage and claiming (</w:t>
      </w:r>
      <w:r>
        <w:rPr>
          <w:rFonts w:ascii="arial" w:eastAsia="arial" w:hAnsi="arial" w:cs="arial"/>
          <w:i/>
          <w:color w:val="000000"/>
          <w:sz w:val="20"/>
          <w:lang w:val="en-US" w:eastAsia="en-US" w:bidi="ar-SA"/>
        </w:rPr>
        <w:t>guaranteeing</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100%</w:t>
      </w:r>
      <w:r>
        <w:rPr>
          <w:rFonts w:ascii="arial" w:eastAsia="arial" w:hAnsi="arial" w:cs="arial"/>
          <w:color w:val="000000"/>
          <w:sz w:val="20"/>
          <w:lang w:val="en-US" w:eastAsia="en-US" w:bidi="ar-SA"/>
        </w:rPr>
        <w:t xml:space="preserve"> ownership </w:t>
      </w:r>
      <w:r>
        <w:rPr>
          <w:rFonts w:ascii="arial" w:eastAsia="arial" w:hAnsi="arial" w:cs="arial"/>
          <w:color w:val="000000"/>
          <w:sz w:val="20"/>
          <w:u w:val="single"/>
          <w:lang w:val="en-US" w:eastAsia="en-US" w:bidi="ar-SA"/>
        </w:rPr>
        <w:t>for the business, after</w:t>
      </w:r>
      <w:r>
        <w:rPr>
          <w:rFonts w:ascii="arial" w:eastAsia="arial" w:hAnsi="arial" w:cs="arial"/>
          <w:color w:val="000000"/>
          <w:sz w:val="20"/>
          <w:lang w:val="en-US" w:eastAsia="en-US" w:bidi="ar-SA"/>
        </w:rPr>
        <w:t xml:space="preserve"> the plaintiff (</w:t>
      </w:r>
      <w:r>
        <w:rPr>
          <w:rFonts w:ascii="arial" w:eastAsia="arial" w:hAnsi="arial" w:cs="arial"/>
          <w:i/>
          <w:color w:val="000000"/>
          <w:sz w:val="20"/>
          <w:lang w:val="en-US" w:eastAsia="en-US" w:bidi="ar-SA"/>
        </w:rPr>
        <w:t>Somani</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having overseen, creating and advertising the business in</w:t>
      </w:r>
      <w:r>
        <w:rPr>
          <w:rFonts w:ascii="arial" w:eastAsia="arial" w:hAnsi="arial" w:cs="arial"/>
          <w:color w:val="000000"/>
          <w:sz w:val="20"/>
          <w:lang w:val="en-US" w:eastAsia="en-US" w:bidi="ar-SA"/>
        </w:rPr>
        <w:t xml:space="preserve"> all (</w:t>
      </w:r>
      <w:r>
        <w:rPr>
          <w:rFonts w:ascii="arial" w:eastAsia="arial" w:hAnsi="arial" w:cs="arial"/>
          <w:i/>
          <w:color w:val="000000"/>
          <w:sz w:val="20"/>
          <w:lang w:val="en-US" w:eastAsia="en-US" w:bidi="ar-SA"/>
        </w:rPr>
        <w:t>many</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regards following its association since June 2012</w:t>
      </w:r>
      <w:r>
        <w:rPr>
          <w:rFonts w:ascii="arial" w:eastAsia="arial" w:hAnsi="arial" w:cs="arial"/>
          <w:color w:val="000000"/>
          <w:sz w:val="20"/>
          <w:lang w:val="en-US" w:eastAsia="en-US" w:bidi="ar-SA"/>
        </w:rPr>
        <w:t>. The defendant (</w:t>
      </w:r>
      <w:r>
        <w:rPr>
          <w:rFonts w:ascii="arial" w:eastAsia="arial" w:hAnsi="arial" w:cs="arial"/>
          <w:i/>
          <w:color w:val="000000"/>
          <w:sz w:val="20"/>
          <w:lang w:val="en-US" w:eastAsia="en-US" w:bidi="ar-SA"/>
        </w:rPr>
        <w:t>Jilani</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has made each endeavor to keep</w:t>
      </w:r>
      <w:r>
        <w:rPr>
          <w:rFonts w:ascii="arial" w:eastAsia="arial" w:hAnsi="arial" w:cs="arial"/>
          <w:color w:val="000000"/>
          <w:sz w:val="20"/>
          <w:lang w:val="en-US" w:eastAsia="en-US" w:bidi="ar-SA"/>
        </w:rPr>
        <w:t xml:space="preserve"> the plaintiff (</w:t>
      </w:r>
      <w:r>
        <w:rPr>
          <w:rFonts w:ascii="arial" w:eastAsia="arial" w:hAnsi="arial" w:cs="arial"/>
          <w:i/>
          <w:color w:val="000000"/>
          <w:sz w:val="20"/>
          <w:lang w:val="en-US" w:eastAsia="en-US" w:bidi="ar-SA"/>
        </w:rPr>
        <w:t>Somani</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far from the business premises in addition to other things, and making manufactured reports to</w:t>
      </w:r>
      <w:r>
        <w:rPr>
          <w:rFonts w:ascii="arial" w:eastAsia="arial" w:hAnsi="arial" w:cs="arial"/>
          <w:color w:val="000000"/>
          <w:sz w:val="20"/>
          <w:lang w:val="en-US" w:eastAsia="en-US" w:bidi="ar-SA"/>
        </w:rPr>
        <w:t xml:space="preserve"> local authorities (</w:t>
      </w:r>
      <w:r>
        <w:rPr>
          <w:rFonts w:ascii="arial" w:eastAsia="arial" w:hAnsi="arial" w:cs="arial"/>
          <w:i/>
          <w:color w:val="000000"/>
          <w:sz w:val="20"/>
          <w:lang w:val="en-US" w:eastAsia="en-US" w:bidi="ar-SA"/>
        </w:rPr>
        <w:t>nearby powers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Notably, both passages contain the exact same misspelling of "dishonestly".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Some of the details appearing in the Articles are particular to this litigation, and are contained in the pleadings. Those pleadings are available to be viewed by anyone, but only if the person attends personally at the Vancouver courthouse and asks to see the court file. It is difficult to conceive why anyone other than those directly involved in the litigation would know to ask to view this specific court file. Furthermore, the only pleading in existence prior to July 20, 2015, was the notice of civil claim that Mr. Somani filed March 20, 2015, which made no mention of many of the personal facts and circumstances cited in the 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The following information is in the First Article and matches assertions contained in that notice of civil claim:</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Vancouver Registry court file number;</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business's website;</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Somani's claim that he was an equal business partner ("Somani has a half stake in the business");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started the business in June 2012 (this statement is also in the Second and Third Articles); and</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sentence that, "[t]here was on the other hand, one outright dependable and 'genuine' evidence: an 85 page oath...put tougher by Somani". On June 19, 2015, Mr. Somani swore an 85-page affidavit.</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ii. Information Matching Assertions of Fact Most Probably Known Only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Ms. Jilani also pointed to content that she testified, and I accept, she had told no one other than Mr. Somani. She also confirmed that she is a very private person and did not speak to people other than her lawyer about the litigation. It is important to note that family law files are inaccessible to the public at the courthouse.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the Second Article the following statements appear: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Somani going into partnership, Jilani was stuck in a basement suite, going through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[Jilani was] in desperation and needed help, separated from her estranged husband...whom Jilani claimed was mentally, emotionally, and sexually abusive, but still in love with her... [her husband] refused to give her a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Ms. Jilani confirmed she had been living in a "basement" suite. She testified, and I accept, that she told no one other than Mr. Somani that she went to counselling because of her abusive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Many other assertions in the Articles do not appear in the original notice of civil claim, but were known to the parties as discussed throughout this judgment. Some assertions do turn up in subsequent pleadings. I find it inconceivable that anyone other than Mr. Somani would have known the details of all these events. The relevant assertions from the First Article include:</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...now records Layla Jilani as proprietor"; Ms. Jilani was listed as sole proprietor on the lease, certain bank forms and the incorporation documents;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domain names registered with GoDaddy were done in what Mr. Somani testified was his United Kingdom company's name. Ms. Jilani confirmed that prior to seeing certain documents produced by Mr. Somani she was unaware of his claim that his UK company (rather than the business) "owned" the domain names;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misrepresented that she had authority to change those domain names into her name. Ms. Jilani did change the ownership of the domain names into her name in early February, 2015;</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alleges that Mr. Somani "was vexed when she went into another relationship";</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Somani has been "involved with his wife for more than two years";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"banished [Mr. Somani] from the premises by changing the locks", and prevented him from performing his administrative tasks at the business; at para. 29 of Part 1 of Mr. Somani's amended notice of civil claim he states: "On or about February 04, 2015 ... Somani attended the business premises to retrieve some personal items, and was unable to enter the business premises. The Defendant, Jilani had changed the locks, and barred the Plaintiff Somani, taking over all the business to the Plaintiff, Somani's exclusion" and at para. 40 of his further amended notice of civil claim of September 27, 2017, he repeats that statement;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asserted that "Somani would shut down the business". This is a claim later made by Ms. Jilani in her July 20, 2015 response to civil claim when she said at Division 3, #3 "Shortly after hearing of Ms. Jilani's new relationship...Mr. Somani confronted Ms. Jilani and said ... if she did not stop seeing her partner, that Mr. Somani would destroy the business";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problems, Mr. Somani continued to be involved with the business until end of January 2015. According to Ms. Jilani's response to civil claim of July 20, 2015 at paragraph 4 of Part 1, Division 3, January 30, 2015 is when the dispute escalated to the point of Ms. Jilani being afraid for her safety because of Mr. Somani's punching a hole in the wall. It was at that point that she changed the locks to the business;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"Jilani has asserted that Somani was simply helping her ... and just worked there for more or less four hours a month, and just went to the business to utilize the PC to deal with his different business intrigues". The number of hours and the claim that Mr. Somani worked on other businesses while at the premises is contained in Ms. Jilani's July 20, 2015 response to civil claim in Part 1, Division 2, para. 13; and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"...Jilani when requesting ... 21 days to record a response to the regular claim that Somani had archived" and later, "... judge tended to agree with Somani, and rejected Jilani's sales [sic] for the common 21 days response time...". At the application to set aside the default judgment, Ms. Jilani's counsel requested 21 days but the court only granted her 14 days. Only someone in court that day, or who had read the application she made would be aware that 21 days had been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Similarly, I am satisfied that it is highly improbable that anyone other than Mr. Somani would have known all of the following details which appear in the Second Article:</w:t>
      </w:r>
      <w:r>
        <w:rPr>
          <w:rFonts w:ascii="arial" w:eastAsia="arial" w:hAnsi="arial" w:cs="arial"/>
          <w:sz w:val="20"/>
          <w:lang w:val="en-US" w:eastAsia="en-US" w:bidi="ar-SA"/>
        </w:rPr>
        <w:cr/>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had no prior business education nor experience;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 that Ms. Jilani had withdrawn all funds to her personal bank account and "embezzled funds" for a down payment of $40,000 on her home "within six months of opening the business". This allegation is specifically contained in paragraph 24 of Mr. Somani's June 19, 2015 affidavit (which he introduced into evidence at trial);</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incorporation of the business in December 2014 had both Mr. Somani and Ms. Jilani as directors. Ms. Jilani filed a change of directors without Mr. Somani's knowledge or consent while he was out of the country; These facts were not pled by Mr. Somani until he filed the amended notice of civil claim dated August 25, 2016 (Part 1, para. 30) "On or about February 11, 2015 at 10:02 p.m. the Defendant, Jilani without the Plaintiff, Somani's knowledge, authorization or consent filed a Notice of Change of Directors with the Registrar of Companies, removed the Plaintiff, Somani as Director..." and, thus, while the event described did occur it would not have been known to any one except the parties; 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transferred domain names registered in what Mr. Somani claimed was his United Kingdom company to her own name. This is not contained in any version of the notice of claim but is mentioned in Mr. Somani's June 19, 2015 affidavit. Ms. Jilani testified that she was unaware until she saw Mr. Somani's affidavit that Mr. Somani claimed to own the UK companies under which he said he registered the business's domain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Given the above, I have no doubt that Mr. Somani was responsible for publishing the articles.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The Second Article was Received and Read by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Court of Appeal commented on what communication to a third party means in </w:t>
      </w:r>
      <w:r>
        <w:rPr>
          <w:rFonts w:ascii="arial" w:eastAsia="arial" w:hAnsi="arial" w:cs="arial"/>
          <w:i/>
          <w:color w:val="000000"/>
          <w:sz w:val="20"/>
          <w:lang w:val="en-US" w:eastAsia="en-US" w:bidi="ar-SA"/>
        </w:rPr>
        <w:t>Weaver v. Corcoran</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2017 BCCA 160</w:t>
        </w:r>
      </w:hyperlink>
      <w:r>
        <w:rPr>
          <w:rFonts w:ascii="arial" w:eastAsia="arial" w:hAnsi="arial" w:cs="arial"/>
          <w:color w:val="000000"/>
          <w:sz w:val="20"/>
          <w:lang w:val="en-US" w:eastAsia="en-US" w:bidi="ar-SA"/>
        </w:rPr>
        <w:t xml:space="preserve"> at para. 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 It must be established that the defendant has, by any act, conveyed the defamatory meaning concerning the plaintiff to a third party, who has received it. Traditionally, any act which transferred defamatory information to a third person was considered publication. However, in the modern age this has been modified to exclude entirely passive acts, such as some forms of referencing or hyperlinking of defamatory material. Where the acts at issue merely transmit information in a content-neutral way, without expression, adoption or endorsement, they are generally not considered publication: </w:t>
      </w:r>
      <w:r>
        <w:rPr>
          <w:rFonts w:ascii="arial" w:eastAsia="arial" w:hAnsi="arial" w:cs="arial"/>
          <w:i/>
          <w:color w:val="000000"/>
          <w:sz w:val="20"/>
          <w:lang w:val="en-US" w:eastAsia="en-US" w:bidi="ar-SA"/>
        </w:rPr>
        <w:t>Crookes</w:t>
      </w:r>
      <w:r>
        <w:rPr>
          <w:rFonts w:ascii="arial" w:eastAsia="arial" w:hAnsi="arial" w:cs="arial"/>
          <w:color w:val="000000"/>
          <w:sz w:val="20"/>
          <w:lang w:val="en-US" w:eastAsia="en-US" w:bidi="ar-SA"/>
        </w:rPr>
        <w:t xml:space="preserve"> at paras. 16, 21, 30,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Crookes v. Newton</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2011 SCC 47</w:t>
        </w:r>
      </w:hyperlink>
      <w:r>
        <w:rPr>
          <w:rFonts w:ascii="arial" w:eastAsia="arial" w:hAnsi="arial" w:cs="arial"/>
          <w:color w:val="000000"/>
          <w:sz w:val="20"/>
          <w:lang w:val="en-US" w:eastAsia="en-US" w:bidi="ar-SA"/>
        </w:rPr>
        <w:t xml:space="preserve">, in her concurring decision, Deschamps J. commented on </w:t>
      </w:r>
      <w:r>
        <w:rPr>
          <w:rFonts w:ascii="arial" w:eastAsia="arial" w:hAnsi="arial" w:cs="arial"/>
          <w:color w:val="000000"/>
          <w:sz w:val="20"/>
          <w:u w:val="single"/>
          <w:lang w:val="en-US" w:eastAsia="en-US" w:bidi="ar-SA"/>
        </w:rPr>
        <w:t>inferring readership</w:t>
      </w:r>
      <w:r>
        <w:rPr>
          <w:rFonts w:ascii="arial" w:eastAsia="arial" w:hAnsi="arial" w:cs="arial"/>
          <w:color w:val="000000"/>
          <w:sz w:val="20"/>
          <w:lang w:val="en-US" w:eastAsia="en-US" w:bidi="ar-SA"/>
        </w:rPr>
        <w:t xml:space="preserve"> in the second component of publication in the internet age at paras. 62, 109: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 Publication is not complete until someone other that the person referred to receives and understands the defamatory information... In the context of the internet, a simple reference, absent evidence that someone actually viewed and understood the defamatory information which it directs third parties, is not publication of that content.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 </w:t>
      </w:r>
      <w:r>
        <w:rPr>
          <w:rFonts w:ascii="arial" w:eastAsia="arial" w:hAnsi="arial" w:cs="arial"/>
          <w:color w:val="000000"/>
          <w:sz w:val="20"/>
          <w:u w:val="single"/>
          <w:lang w:val="en-US" w:eastAsia="en-US" w:bidi="ar-SA"/>
        </w:rPr>
        <w:t>[T]he requirements of the second component of publication can be satisfied either by adducing direct evidence or, and this is more likely, by asking the court to draw an inference</w:t>
      </w:r>
      <w:r>
        <w:rPr>
          <w:rFonts w:ascii="arial" w:eastAsia="arial" w:hAnsi="arial" w:cs="arial"/>
          <w:color w:val="000000"/>
          <w:sz w:val="20"/>
          <w:lang w:val="en-US" w:eastAsia="en-US" w:bidi="ar-SA"/>
        </w:rPr>
        <w:t>. Inferring that defamatory information has been read and understood is not new. In Gaskin, the Court, quoting Gatley on Libel and Slander, observed (at p. 300):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necessary for the plaintiff in every case to prove directly that the words complained of were brought to the actual knowledge of some third person. </w:t>
      </w:r>
      <w:r>
        <w:rPr>
          <w:rFonts w:ascii="arial" w:eastAsia="arial" w:hAnsi="arial" w:cs="arial"/>
          <w:color w:val="000000"/>
          <w:sz w:val="20"/>
          <w:u w:val="single"/>
          <w:lang w:val="en-US" w:eastAsia="en-US" w:bidi="ar-SA"/>
        </w:rPr>
        <w:t>If he proves facts from which it can reasonably be inferred that the words were brought to the knowledge of some third person, he will establish a prima facie case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Ms. Jilani tendered a text message exchange she had with a Hussain DJ A-Slam on July 7, 2015. The text exchange is conversation between Hussain and Ms. Jilani about the court action commenced by Mr. Somani against Ms. Jilani, and the Articles. At 12:28 p.m. Hussain wrote, "Moe sent me some news article" and, at 12:30 p.m. Ms. Jilani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did? He's been harassing me for the past few months &amp; now suing me in court..." and at 12:31 p.m., Ms. Jilani wrote, "He's the one posting those articles &amp; does not have a lawyer, he's representing himself but now I am spending a lotta money in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At 12:35 p.m., Hussain sent by text to Ms. Jilani a hyperlink to the Second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cannot accept Mr. Hussain's statement in his text that Mr. Somani sent him the Second Article to be true because it was hearsay, but I do accept that that Mr. Hussain possessed the Second Article and sent a hyperlink of it to Ms. Jilani based on her testimony that she received the text and opened the hyperlink. I infer based on the topic of conversation between Mr. Hussain and Ms. Jilani in this text exchange that he read it. Furthermore, I infer based on Ms. Jilani's testimony that people commented to her after reading the Articles.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find that inference is reasonable given the Second Article was published on the internet, something Mr. Somani does not dispute. In my respectful view, the concept of "publication" must reflect the reality of current society and the ubiquity of the internet and social media. I am satisfied that Mr. Somani's acceptance than the articles appeared on the internet, Ms. Jilani's testimony in tandem with Mr. Hussain's text message exchange with Ms. Jilani which showed he possessed a hyperlink to the Second Article, were sufficient to find they were "published"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therefore conclude that Ms. Jilani has met the burden of proving that the Second Article was published. But for the absence of any documentary evidence demonstrating that someone other than Ms. Jilani possessed the First and Third Articles, I would also have concluded they too were published given Mr. Somani's concession that they appeared on the internet, combined with Ms. Jilani's testimony. However, I do not make that finding.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Defamatory Meaning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question that remains in Ms. Jilani's case is the first element, whether the impugned words are defamatory.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Pleadings are important in defamation cases. As recently noted by the Court of Appeal in </w:t>
      </w:r>
      <w:r>
        <w:rPr>
          <w:rFonts w:ascii="arial" w:eastAsia="arial" w:hAnsi="arial" w:cs="arial"/>
          <w:i/>
          <w:color w:val="000000"/>
          <w:sz w:val="20"/>
          <w:lang w:val="en-US" w:eastAsia="en-US" w:bidi="ar-SA"/>
        </w:rPr>
        <w:t>Weaver</w:t>
      </w:r>
      <w:r>
        <w:rPr>
          <w:rFonts w:ascii="arial" w:eastAsia="arial" w:hAnsi="arial" w:cs="arial"/>
          <w:color w:val="000000"/>
          <w:sz w:val="20"/>
          <w:lang w:val="en-US" w:eastAsia="en-US" w:bidi="ar-SA"/>
        </w:rPr>
        <w:t xml:space="preserve">, pleadings define and clarify the issues of fact and law the court must determine, and give the other side notice of the case to be met: para. 63. The particular importance of pleadings in defamation cases is due to the serious nature of defamation allegations, and the need to avoid unwarranted fishing expeditions: </w:t>
      </w:r>
      <w:r>
        <w:rPr>
          <w:rFonts w:ascii="arial" w:eastAsia="arial" w:hAnsi="arial" w:cs="arial"/>
          <w:i/>
          <w:color w:val="000000"/>
          <w:sz w:val="20"/>
          <w:lang w:val="en-US" w:eastAsia="en-US" w:bidi="ar-SA"/>
        </w:rPr>
        <w:t>Weaver</w:t>
      </w:r>
      <w:r>
        <w:rPr>
          <w:rFonts w:ascii="arial" w:eastAsia="arial" w:hAnsi="arial" w:cs="arial"/>
          <w:color w:val="000000"/>
          <w:sz w:val="20"/>
          <w:lang w:val="en-US" w:eastAsia="en-US" w:bidi="ar-SA"/>
        </w:rPr>
        <w:t xml:space="preserve">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Recently this Court dealt with the issue of pleadings in a defamation action in </w:t>
      </w:r>
      <w:r>
        <w:rPr>
          <w:rFonts w:ascii="arial" w:eastAsia="arial" w:hAnsi="arial" w:cs="arial"/>
          <w:i/>
          <w:color w:val="000000"/>
          <w:sz w:val="20"/>
          <w:lang w:val="en-US" w:eastAsia="en-US" w:bidi="ar-SA"/>
        </w:rPr>
        <w:t>Northwest Organics, Limited Partnership v. Roest</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2018 BCSC 866</w:t>
        </w:r>
      </w:hyperlink>
      <w:r>
        <w:rPr>
          <w:rFonts w:ascii="arial" w:eastAsia="arial" w:hAnsi="arial" w:cs="arial"/>
          <w:color w:val="000000"/>
          <w:sz w:val="20"/>
          <w:lang w:val="en-US" w:eastAsia="en-US" w:bidi="ar-SA"/>
        </w:rPr>
        <w:t>. At paras. 124-126, Madam Justice Iyer commented on what must be included in the plaintiff's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 ...pleadings play a critical role in defamation cases. Material facts must be pleaded with precision as they give the opposing parties fair notice of the case they have to meet and frame the issues for trial: Weaver v. Corcoran, at para. 63. If the plaintiff does not properly plead a claim or part of a claim against a defendant the court cannot decide it, even if a party has presented evidence that relates to it and made arguments about it. As discussed below, that has occurred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w:t>
      </w:r>
      <w:r>
        <w:rPr>
          <w:rFonts w:ascii="arial" w:eastAsia="arial" w:hAnsi="arial" w:cs="arial"/>
          <w:color w:val="000000"/>
          <w:sz w:val="20"/>
          <w:u w:val="single"/>
          <w:lang w:val="en-US" w:eastAsia="en-US" w:bidi="ar-SA"/>
        </w:rPr>
        <w:t>A plaintiff who alleges defamation must plead what was said or written, where and when it was said or written, by whom, and to whom</w:t>
      </w:r>
      <w:r>
        <w:rPr>
          <w:rFonts w:ascii="arial" w:eastAsia="arial" w:hAnsi="arial" w:cs="arial"/>
          <w:color w:val="000000"/>
          <w:sz w:val="20"/>
          <w:lang w:val="en-US" w:eastAsia="en-US" w:bidi="ar-SA"/>
        </w:rPr>
        <w:t xml:space="preserve">. Justice Russell summarized the law in </w:t>
      </w:r>
      <w:r>
        <w:rPr>
          <w:rFonts w:ascii="arial" w:eastAsia="arial" w:hAnsi="arial" w:cs="arial"/>
          <w:i/>
          <w:color w:val="000000"/>
          <w:sz w:val="20"/>
          <w:lang w:val="en-US" w:eastAsia="en-US" w:bidi="ar-SA"/>
        </w:rPr>
        <w:t>Christian Advocacy Society of Greater Vancouver v. Arthur</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2013 BCSC 1542</w:t>
        </w:r>
      </w:hyperlink>
      <w:r>
        <w:rPr>
          <w:rFonts w:ascii="arial" w:eastAsia="arial" w:hAnsi="arial" w:cs="arial"/>
          <w:color w:val="000000"/>
          <w:sz w:val="20"/>
          <w:lang w:val="en-US" w:eastAsia="en-US" w:bidi="ar-SA"/>
        </w:rPr>
        <w:t xml:space="preserve"> (B.C. S.C.), at para. 108, quoting a passage from </w:t>
      </w:r>
      <w:r>
        <w:rPr>
          <w:rFonts w:ascii="arial" w:eastAsia="arial" w:hAnsi="arial" w:cs="arial"/>
          <w:i/>
          <w:color w:val="000000"/>
          <w:sz w:val="20"/>
          <w:lang w:val="en-US" w:eastAsia="en-US" w:bidi="ar-SA"/>
        </w:rPr>
        <w:t>Cooper v. Hennan</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2005 ABQB 709</w:t>
        </w:r>
      </w:hyperlink>
      <w:r>
        <w:rPr>
          <w:rFonts w:ascii="arial" w:eastAsia="arial" w:hAnsi="arial" w:cs="arial"/>
          <w:color w:val="000000"/>
          <w:sz w:val="20"/>
          <w:lang w:val="en-US" w:eastAsia="en-US" w:bidi="ar-SA"/>
        </w:rPr>
        <w:t xml:space="preserve"> (Alta. Q.B.)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material facts in a defamation suit must include the publication made by each defendant, the words published by that defendant, which plaintiff was defamed by the publication, the time and place of the publication, the manner of the publication, and to whom the publication was made.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[126] Kent J. put it even more succinctly in </w:t>
      </w:r>
      <w:r>
        <w:rPr>
          <w:rFonts w:ascii="arial" w:eastAsia="arial" w:hAnsi="arial" w:cs="arial"/>
          <w:i/>
          <w:color w:val="000000"/>
          <w:sz w:val="20"/>
          <w:lang w:val="en-US" w:eastAsia="en-US" w:bidi="ar-SA"/>
        </w:rPr>
        <w:t>Jordan v. Vancouver (City)</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2016 BCSC 167</w:t>
        </w:r>
      </w:hyperlink>
      <w:r>
        <w:rPr>
          <w:rFonts w:ascii="arial" w:eastAsia="arial" w:hAnsi="arial" w:cs="arial"/>
          <w:color w:val="000000"/>
          <w:sz w:val="20"/>
          <w:lang w:val="en-US" w:eastAsia="en-US" w:bidi="ar-SA"/>
        </w:rPr>
        <w:t xml:space="preserve"> (B.C. S.C.)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Generally</w:t>
      </w:r>
      <w:r>
        <w:rPr>
          <w:rFonts w:ascii="arial" w:eastAsia="arial" w:hAnsi="arial" w:cs="arial"/>
          <w:color w:val="000000"/>
          <w:sz w:val="20"/>
          <w:lang w:val="en-US" w:eastAsia="en-US" w:bidi="ar-SA"/>
        </w:rPr>
        <w:t xml:space="preserve"> speaking, </w:t>
      </w:r>
      <w:r>
        <w:rPr>
          <w:rFonts w:ascii="arial" w:eastAsia="arial" w:hAnsi="arial" w:cs="arial"/>
          <w:color w:val="000000"/>
          <w:sz w:val="20"/>
          <w:u w:val="single"/>
          <w:lang w:val="en-US" w:eastAsia="en-US" w:bidi="ar-SA"/>
        </w:rPr>
        <w:t>the plaintiff must expressly plead the proverbial 5W's: who said what to whom, when and where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Justice Iyer goes on to consider the effect of insufficient pleadings on the defendant in defamation actions: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recognize that dismissing an allegation on the basis that it has been insufficiently pleaded means that the plaintiff's claim will not be adjudicated on the merits, and this may seem unfair. For that reason, "technical frailties" in a pleading may not justify dismissal of an action: </w:t>
      </w:r>
      <w:r>
        <w:rPr>
          <w:rFonts w:ascii="arial" w:eastAsia="arial" w:hAnsi="arial" w:cs="arial"/>
          <w:i/>
          <w:color w:val="000000"/>
          <w:sz w:val="20"/>
          <w:lang w:val="en-US" w:eastAsia="en-US" w:bidi="ar-SA"/>
        </w:rPr>
        <w:t>Jordan v. Vancouver (City)</w:t>
      </w:r>
      <w:r>
        <w:rPr>
          <w:rFonts w:ascii="arial" w:eastAsia="arial" w:hAnsi="arial" w:cs="arial"/>
          <w:color w:val="000000"/>
          <w:sz w:val="20"/>
          <w:lang w:val="en-US" w:eastAsia="en-US" w:bidi="ar-SA"/>
        </w:rPr>
        <w:t>, supra at para. 121. But it is also unfair to the defendants if lack of precision in the pleadings means that they do not know exactly what is being claimed against them. This is particularly the case for unrepresented defendants. Evidence led at trial cannot cure that unfairness because the defendant is entitled to know the case that he or she must meet before the trial starts.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Mr. Somani submits Ms. Jilani's defamation pleadings are defective. As I understand it, he complains there was insufficient particularity about the specific words alleged to be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On December 15, 2016, this Court ordered Ms. Jilani to provide further particulars for specific paragraphs in her counterclaim filed December 17, 2015 and her response to civil claim filed September 16, 2015. In the December 17, 2015 counterclaim, the paragraph requiring further particulars stated at para. 12: "Plaintiff Moe Somani Defamed the defendant by posting articles on the web".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Her further amended counterclaim filed January 26, 2017, stated: "Between July 06-10, 2015, Mr. Somani posted defamation articles against Ms. Jilani on www.globalnewsmediagroup.com, www.pr9.net, www.freepressrelease.com and circulated within the Ismaili community". A nearly identical sentence appeared in para. 4 of part 3: Legal Basis of the same counterclaim. It also appeared in the March 8, 2017 further amended response to civil claim with one small difference (instead of saying July 6-10, it simply said "July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the September 16, 2016 response to civil claim, para. 6, within the narration of facts alleging defamation, Ms. Jilani stated: "Plaintiff a tech savvy individual started posting defamation articles on the web and e-mailing within the community and to friends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Ms. Jilani testified that she understood at the court hearing in which she was ordered to provide particulars, that the court asked that she identify the Articles. She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On October 19, 2017 this Court ordered Ms. Jilani to "obtain full disclosure" of the registered owner, user and author of the Articles. However, the companies who have that information are located in the United States and they refused to provide that information to Ms. Jilani on the basis that they are not subject to this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 conclude that Ms. Jilani's defamation pleadings were sufficient in the sense that they identified her allegation that Mr. Somani published the three Articles in July 2015. Mr. Somani maintained, however, that there was insufficient particularity about the specific words alleged to be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I note that Rule 3-7(21)(a)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does require someone alleging defamation to give particulars of the facts or matters relied upon but only where the person alleges words were used in a derogatory sense "other than their ordinary meaning". Because defamation is a precise pleading, technically complex, I would not have expected a person without legal advice or assistance to appreciate that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Nonetheless, in the absence of particulars provided by Ms. Jilani, I can only assume that her allegation is that the literal ordinary and natural meaning of the impugned words in the articles were defamatory. This means I cannot consider any defamatory meaning by innuendo.</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Defamatory Meanings in the Second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note that the impugned statements in the Articles are framed as if given in an interview. Further, many of the statements are framed as if they appear in "court documents" or purport to be specific pleadings in a civil action. In my view, neither of those things change what I have found to be the natural and ordinary meaning of the words as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find nine statements in the Second Article to be defamatory. In the discussion below, I first set out what I find to be the natural and ordinary meaning of sentence(s) from the Second Article that I am satisfied are defamatory, followed by the defamatory statement(s) themselves.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deceptively misrepresented business income for personal gain. This imputes fraudulent conduct on Ms. Jilani and would objectively lower her reputation in the mind of a reasonable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court documents, </w:t>
      </w:r>
      <w:r>
        <w:rPr>
          <w:rFonts w:ascii="arial" w:eastAsia="arial" w:hAnsi="arial" w:cs="arial"/>
          <w:color w:val="000000"/>
          <w:sz w:val="20"/>
          <w:u w:val="single"/>
          <w:lang w:val="en-US" w:eastAsia="en-US" w:bidi="ar-SA"/>
        </w:rPr>
        <w:t>Jilani misrepresented the amount of income generated from the business</w:t>
      </w:r>
      <w:r>
        <w:rPr>
          <w:rFonts w:ascii="arial" w:eastAsia="arial" w:hAnsi="arial" w:cs="arial"/>
          <w:color w:val="000000"/>
          <w:sz w:val="20"/>
          <w:lang w:val="en-US" w:eastAsia="en-US" w:bidi="ar-SA"/>
        </w:rPr>
        <w:t xml:space="preserve">, indicating the business was not making any money. </w:t>
      </w:r>
      <w:r>
        <w:rPr>
          <w:rFonts w:ascii="arial" w:eastAsia="arial" w:hAnsi="arial" w:cs="arial"/>
          <w:color w:val="000000"/>
          <w:sz w:val="20"/>
          <w:u w:val="single"/>
          <w:lang w:val="en-US" w:eastAsia="en-US" w:bidi="ar-SA"/>
        </w:rPr>
        <w:t>Jilani perpetrated acts of deception for her own personal gain</w:t>
      </w:r>
      <w:r>
        <w:rPr>
          <w:rFonts w:ascii="arial" w:eastAsia="arial" w:hAnsi="arial" w:cs="arial"/>
          <w:color w:val="000000"/>
          <w:sz w:val="20"/>
          <w:lang w:val="en-US" w:eastAsia="en-US" w:bidi="ar-SA"/>
        </w:rPr>
        <w: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wrongfully withdrew business revenue, deposited those monies into her personal accounts and embezzled funds to pay the down payment on her home. These allegations impute fraudulent and criminal conduct onto Ms. Jilani and objectively lower her reputation in the eyes of a reasonable reader.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suit seeks over $300,000 in compensation for lost revenues. </w:t>
      </w:r>
      <w:r>
        <w:rPr>
          <w:rFonts w:ascii="arial" w:eastAsia="arial" w:hAnsi="arial" w:cs="arial"/>
          <w:color w:val="000000"/>
          <w:sz w:val="20"/>
          <w:u w:val="single"/>
          <w:lang w:val="en-US" w:eastAsia="en-US" w:bidi="ar-SA"/>
        </w:rPr>
        <w:t>Jilani has withdrawn all funds generated from the business, and deposited undisclosed monies into her own personal bank account, embezzled funds for a down payment of $40,000 on her home within six months after opening the business</w:t>
      </w:r>
      <w:r>
        <w:rPr>
          <w:rFonts w:ascii="arial" w:eastAsia="arial" w:hAnsi="arial" w:cs="arial"/>
          <w:color w:val="000000"/>
          <w:sz w:val="20"/>
          <w:lang w:val="en-US" w:eastAsia="en-US" w:bidi="ar-SA"/>
        </w:rPr>
        <w: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wrongfully removed Mr. Somani as a director of the business when he was out of the country. This allegation imputes dishonest conduct onto Ms. Jilani and would objectively lower her reputation in the minds of reasonable readers.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Somani and Jilani were equal shareholders and directors in an incorporation company they set up in December of 2014. </w:t>
      </w:r>
      <w:r>
        <w:rPr>
          <w:rFonts w:ascii="arial" w:eastAsia="arial" w:hAnsi="arial" w:cs="arial"/>
          <w:color w:val="000000"/>
          <w:sz w:val="20"/>
          <w:u w:val="single"/>
          <w:lang w:val="en-US" w:eastAsia="en-US" w:bidi="ar-SA"/>
        </w:rPr>
        <w:t>Jilani field a change of directors without Somani's knowledge or consent while he was out of the country</w:t>
      </w:r>
      <w:r>
        <w:rPr>
          <w:rFonts w:ascii="arial" w:eastAsia="arial" w:hAnsi="arial" w:cs="arial"/>
          <w:color w:val="000000"/>
          <w:sz w:val="20"/>
          <w:lang w:val="en-US" w:eastAsia="en-US" w:bidi="ar-SA"/>
        </w:rPr>
        <w:t>.</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Jilani fraudulently accessed Mr. Somani's private website </w:t>
      </w:r>
      <w:r>
        <w:rPr>
          <w:rFonts w:ascii="arial" w:eastAsia="arial" w:hAnsi="arial" w:cs="arial"/>
          <w:i/>
          <w:color w:val="000000"/>
          <w:sz w:val="20"/>
          <w:lang w:val="en-US" w:eastAsia="en-US" w:bidi="ar-SA"/>
        </w:rPr>
        <w:t>domain</w:t>
      </w:r>
      <w:r>
        <w:rPr>
          <w:rFonts w:ascii="arial" w:eastAsia="arial" w:hAnsi="arial" w:cs="arial"/>
          <w:color w:val="000000"/>
          <w:sz w:val="20"/>
          <w:lang w:val="en-US" w:eastAsia="en-US" w:bidi="ar-SA"/>
        </w:rPr>
        <w:t xml:space="preserve"> names and colluded to transfer nine of those into her personal name, and in doing so obtained confidential information. It also repeats the sting from the previous statement that Ms. Jilani wrongfully removed Mr. Somani as director of the company without his knowledge and consent. These allegations impute wrongful and fraudulent conduct onto Ms. Jilani which serve to objectively lower her reputation in the eyes of a reasonable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Jilani has not filed a response to the lawsuit, </w:t>
      </w:r>
      <w:r>
        <w:rPr>
          <w:rFonts w:ascii="arial" w:eastAsia="arial" w:hAnsi="arial" w:cs="arial"/>
          <w:color w:val="000000"/>
          <w:sz w:val="20"/>
          <w:u w:val="single"/>
          <w:lang w:val="en-US" w:eastAsia="en-US" w:bidi="ar-SA"/>
        </w:rPr>
        <w:t>fraudulently transferred domain names registered in Somani's United Kingdom company, engaging in scheming methods of social engineering, obtained confidential information, deceived and tricked Go Daddy Domain agents. Jilani colluded to obtain Somani's secret password, logged into his account then transferred 9 business domains to her own personal name. Jilani also purported the change of directors as legitimate, back dated change of directors, removed Somani as director of the company without Somani's knowledge and consent</w:t>
      </w:r>
      <w:r>
        <w:rPr>
          <w:rFonts w:ascii="arial" w:eastAsia="arial" w:hAnsi="arial" w:cs="arial"/>
          <w:color w:val="000000"/>
          <w:sz w:val="20"/>
          <w:lang w:val="en-US" w:eastAsia="en-US" w:bidi="ar-SA"/>
        </w:rPr>
        <w:t>.</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embezzled business funds on a daily basis. This imputes criminal conduct onto Ms. Jilani which would objectively lower her reputation in the eyes of a reasonable reader.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Somani said that Jilani started to become "frustrated" in late January after returning from his overseas trip. Somani impugned Jilani's character, after requesting the company's books and records, </w:t>
      </w:r>
      <w:r>
        <w:rPr>
          <w:rFonts w:ascii="arial" w:eastAsia="arial" w:hAnsi="arial" w:cs="arial"/>
          <w:color w:val="000000"/>
          <w:sz w:val="20"/>
          <w:u w:val="single"/>
          <w:lang w:val="en-US" w:eastAsia="en-US" w:bidi="ar-SA"/>
        </w:rPr>
        <w:t>upon discovering Jilani had embezzled cash from the business on a daily basis in an attempt to minimize the risk of detection</w:t>
      </w:r>
      <w:r>
        <w:rPr>
          <w:rFonts w:ascii="arial" w:eastAsia="arial" w:hAnsi="arial" w:cs="arial"/>
          <w:color w:val="000000"/>
          <w:sz w:val="20"/>
          <w:lang w:val="en-US" w:eastAsia="en-US" w:bidi="ar-SA"/>
        </w:rPr>
        <w:t>.</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deliberately deprived Mr. Somani of his ownership interest in the business. This imputes deceptive conduct onto Ms. Jilani and would objectively lower her reputation in the eyes of a reasonable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w:t>
      </w:r>
      <w:r>
        <w:rPr>
          <w:rFonts w:ascii="arial" w:eastAsia="arial" w:hAnsi="arial" w:cs="arial"/>
          <w:color w:val="000000"/>
          <w:sz w:val="20"/>
          <w:u w:val="single"/>
          <w:lang w:val="en-US" w:eastAsia="en-US" w:bidi="ar-SA"/>
        </w:rPr>
        <w:t>Jilani's actions were deliberate and sustained with an intent to deprive him rightful ownership of business interest and ownership of Wellness Massage Therapy Centre</w:t>
      </w:r>
      <w:r>
        <w:rPr>
          <w:rFonts w:ascii="arial" w:eastAsia="arial" w:hAnsi="arial" w:cs="arial"/>
          <w:color w:val="000000"/>
          <w:sz w:val="20"/>
          <w:lang w:val="en-US" w:eastAsia="en-US" w:bidi="ar-SA"/>
        </w:rPr>
        <w:t>. Somani has a 50-percent stake in the company.</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Jilani misrepresented business revenue which </w:t>
      </w:r>
      <w:r>
        <w:rPr>
          <w:rFonts w:ascii="arial" w:eastAsia="arial" w:hAnsi="arial" w:cs="arial"/>
          <w:i/>
          <w:color w:val="000000"/>
          <w:sz w:val="20"/>
          <w:lang w:val="en-US" w:eastAsia="en-US" w:bidi="ar-SA"/>
        </w:rPr>
        <w:t>was</w:t>
      </w:r>
      <w:r>
        <w:rPr>
          <w:rFonts w:ascii="arial" w:eastAsia="arial" w:hAnsi="arial" w:cs="arial"/>
          <w:color w:val="000000"/>
          <w:sz w:val="20"/>
          <w:lang w:val="en-US" w:eastAsia="en-US" w:bidi="ar-SA"/>
        </w:rPr>
        <w:t xml:space="preserve"> counter to their business partnership. This imputes dishonest and wrongful conduct onto Ms. Jilani which would objectively lower her reputation in the mind of a reasonable reader.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Somani sued Jilani personally for breach of fiduciary duty </w:t>
      </w:r>
      <w:r>
        <w:rPr>
          <w:rFonts w:ascii="arial" w:eastAsia="arial" w:hAnsi="arial" w:cs="arial"/>
          <w:color w:val="000000"/>
          <w:sz w:val="20"/>
          <w:u w:val="single"/>
          <w:lang w:val="en-US" w:eastAsia="en-US" w:bidi="ar-SA"/>
        </w:rPr>
        <w:t>after discovering Jilani had been misrepresenting the amount of money the business generated</w:t>
      </w:r>
      <w:r>
        <w:rPr>
          <w:rFonts w:ascii="arial" w:eastAsia="arial" w:hAnsi="arial" w:cs="arial"/>
          <w:color w:val="000000"/>
          <w:sz w:val="20"/>
          <w:lang w:val="en-US" w:eastAsia="en-US" w:bidi="ar-SA"/>
        </w:rPr>
        <w:t xml:space="preserve">. According to Black's Law Dictionary, this is "a relationship in which one person is under a duty to act for the benefit of another on matters within the scope of the relationship." </w:t>
      </w:r>
      <w:r>
        <w:rPr>
          <w:rFonts w:ascii="arial" w:eastAsia="arial" w:hAnsi="arial" w:cs="arial"/>
          <w:color w:val="000000"/>
          <w:sz w:val="20"/>
          <w:u w:val="single"/>
          <w:lang w:val="en-US" w:eastAsia="en-US" w:bidi="ar-SA"/>
        </w:rPr>
        <w:t>As a general rule, taking money belonging to the business and using it for yourself goes beyond the scope of proper conduct for a business partner</w:t>
      </w:r>
      <w:r>
        <w:rPr>
          <w:rFonts w:ascii="arial" w:eastAsia="arial" w:hAnsi="arial" w:cs="arial"/>
          <w:color w:val="000000"/>
          <w:sz w:val="20"/>
          <w:lang w:val="en-US" w:eastAsia="en-US" w:bidi="ar-SA"/>
        </w:rPr>
        <w:t>.</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Jilani is being investigated for perpetrating a fraud scheme which victimized Mr. Somani. This imputes criminal conduct onto Ms. Jilani which would lower her reputation in the eyes of a reasonable reader. </w:t>
      </w:r>
      <w:r>
        <w:rPr>
          <w:rFonts w:ascii="arial" w:eastAsia="arial" w:hAnsi="arial" w:cs="arial"/>
          <w:i/>
          <w:color w:val="000000"/>
          <w:sz w:val="20"/>
          <w:lang w:val="en-US" w:eastAsia="en-US" w:bidi="ar-SA"/>
        </w:rPr>
        <w:t>Natural and ordinary meaning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investigation successfully dismantled a fraud scheme which had victimized Somani</w:t>
      </w:r>
      <w:r>
        <w:rPr>
          <w:rFonts w:ascii="arial" w:eastAsia="arial" w:hAnsi="arial" w:cs="arial"/>
          <w:color w:val="000000"/>
          <w:sz w:val="20"/>
          <w:lang w:val="en-US" w:eastAsia="en-US" w:bidi="ar-SA"/>
        </w:rPr>
        <w:t>," said RCMP investigators still working on the case.</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Jilani violated Mr. Somani's trust and deliberately planned to scheme against him. This imputes dishonest and wrongful conduct onto Ms. Jilani and would objectively lower her reputation in the eyes of a reasonable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Somani's lawyer said that he will be asked for much more in punitive damages, Jilani violated Somani's trust, and it certainly wouldn't take a rock scientist to figure Jilani's scheme was carefully planned and deliberate.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In my view, there can be little doubt that the ordinary and natural meaning of portions of the Second Article that I have described above would tend to lower the reputation of Ms. Jilani in the eyes of a reasonable person. Accordingly, the statements are defamatory.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Where the plaintiff establishes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defamation, falsity and damage are presumed and the onus shifts to the defendant to advance a defence in order to escape liability. Defamation is a tort of strict liability, so it is unnecessary to prove that the defendant was careless or intended to cause harm: </w:t>
      </w:r>
      <w:r>
        <w:rPr>
          <w:rFonts w:ascii="arial" w:eastAsia="arial" w:hAnsi="arial" w:cs="arial"/>
          <w:i/>
          <w:color w:val="000000"/>
          <w:sz w:val="20"/>
          <w:lang w:val="en-US" w:eastAsia="en-US" w:bidi="ar-SA"/>
        </w:rPr>
        <w:t>Grant</w:t>
      </w:r>
      <w:r>
        <w:rPr>
          <w:rFonts w:ascii="arial" w:eastAsia="arial" w:hAnsi="arial" w:cs="arial"/>
          <w:color w:val="000000"/>
          <w:sz w:val="20"/>
          <w:lang w:val="en-US" w:eastAsia="en-US" w:bidi="ar-SA"/>
        </w:rPr>
        <w:t xml:space="preserve"> at paras.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Mr. Somani categorically denied knowing anything about the Articles both in cross-examination and in his submissions to the court. He based his entire defence to the defamation claim on that denial. I have already concluded above (at paras. 220-238) that Mr. Somani was responsible for the publication of the Articles, so I do not accept his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Mr. Somani did not plead either the defence of justification or fair comment, but when pressed by Ms. Jilani during cross-examination and confronted with the Articles, he commented that some of the statements were true. Even if he could rely on that defence (and I find he cannot because he did not plead them), it could not have succeeded. I already found that Mr. Somani was not a partner in the business and therefore the defamatory statements</w:t>
      </w:r>
      <w:bookmarkStart w:id="37"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37"/>
      <w:r>
        <w:rPr>
          <w:rFonts w:ascii="arial" w:eastAsia="arial" w:hAnsi="arial" w:cs="arial"/>
          <w:color w:val="000000"/>
          <w:sz w:val="20"/>
          <w:lang w:val="en-US" w:eastAsia="en-US" w:bidi="ar-SA"/>
        </w:rPr>
        <w:t xml:space="preserve"> have no factual basis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For those reasons, Mr. Somani has failed to discharge his onus demonstrating a legal defence to the defamatory statements contained in the Second Article.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Damages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Lougheed Estate</w:t>
      </w:r>
      <w:r>
        <w:rPr>
          <w:rFonts w:ascii="arial" w:eastAsia="arial" w:hAnsi="arial" w:cs="arial"/>
          <w:color w:val="000000"/>
          <w:sz w:val="20"/>
          <w:lang w:val="en-US" w:eastAsia="en-US" w:bidi="ar-SA"/>
        </w:rPr>
        <w:t>, the Court stated that the assessment of damages should take into consideration the nature and circumstances of the defamatory publication, the nature and position of the plaintiff, the possible effects of the defamatory words on the plaintiff and the actions and motivations of the defendant: para. 615.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Leenen v. Canadian Broadcasting Corp</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(2000), 48 O.R. (3d) 656</w:t>
        </w:r>
      </w:hyperlink>
      <w:r>
        <w:rPr>
          <w:rFonts w:ascii="arial" w:eastAsia="arial" w:hAnsi="arial" w:cs="arial"/>
          <w:color w:val="000000"/>
          <w:sz w:val="20"/>
          <w:lang w:val="en-US" w:eastAsia="en-US" w:bidi="ar-SA"/>
        </w:rPr>
        <w:t xml:space="preserve"> (Ont. S.C.J.) at para. 205, aff'd </w:t>
      </w:r>
      <w:hyperlink r:id="rId148" w:history="1">
        <w:r>
          <w:rPr>
            <w:rFonts w:ascii="arial" w:eastAsia="arial" w:hAnsi="arial" w:cs="arial"/>
            <w:i/>
            <w:color w:val="0077CC"/>
            <w:sz w:val="20"/>
            <w:u w:val="single"/>
            <w:shd w:val="clear" w:color="auto" w:fill="FFFFFF"/>
            <w:lang w:val="en-US" w:eastAsia="en-US" w:bidi="ar-SA"/>
          </w:rPr>
          <w:t>(2001), 54 O.R. (3d) 612</w:t>
        </w:r>
      </w:hyperlink>
      <w:r>
        <w:rPr>
          <w:rFonts w:ascii="arial" w:eastAsia="arial" w:hAnsi="arial" w:cs="arial"/>
          <w:color w:val="000000"/>
          <w:sz w:val="20"/>
          <w:lang w:val="en-US" w:eastAsia="en-US" w:bidi="ar-SA"/>
        </w:rPr>
        <w:t xml:space="preserve"> (C.A.), leave to appeal ref'd, </w:t>
      </w:r>
      <w:hyperlink r:id="rId149" w:history="1">
        <w:r>
          <w:rPr>
            <w:rFonts w:ascii="arial" w:eastAsia="arial" w:hAnsi="arial" w:cs="arial"/>
            <w:i/>
            <w:color w:val="0077CC"/>
            <w:sz w:val="20"/>
            <w:u w:val="single"/>
            <w:shd w:val="clear" w:color="auto" w:fill="FFFFFF"/>
            <w:lang w:val="en-US" w:eastAsia="en-US" w:bidi="ar-SA"/>
          </w:rPr>
          <w:t>[2001] SCCA No. 432</w:t>
        </w:r>
      </w:hyperlink>
      <w:r>
        <w:rPr>
          <w:rFonts w:ascii="arial" w:eastAsia="arial" w:hAnsi="arial" w:cs="arial"/>
          <w:color w:val="000000"/>
          <w:sz w:val="20"/>
          <w:lang w:val="en-US" w:eastAsia="en-US" w:bidi="ar-SA"/>
        </w:rPr>
        <w:t>, the Court outlined the factors the Court may consider in awarding damages:</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seriousness of defamatory words;</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identity of accusers;</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breadth of distribution;</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republication;</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portray a balanced view;</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desire to increase one's professional reputation;</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the defendant throughout trial;</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absence or refusal of apology; and</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establish truth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There are three categories of damages available: general, aggravated and punitive.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General damages are presumed from the publication of the defamatory statements and are awarded at large: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Aggravated damages may be awarded where the defendant's conduct has been particularly high-handed or oppressive, which increases the harm done to the plaintiff. There must be a finding by the court that the defendant was motivated by malice which increased harm to the plaintiff's reputation or increased emotional suffering in order to award aggravated damages: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paras. 188-191.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Madam Justice Kirkpatrick summarized the circumstances in which a finding of malice can be made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defendant is actuated by malice if he or she publishes the comment: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was false; or</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reckless indifference whether it is true or false; or</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dominant purpose of injuring the plaintiff because of spite or animosity; or</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To prove malice it is not sufficient merely to show that the words are false and defamatory. The plaintiff must tender evidence that the defendant had knowledge that the words were false at the time he published them, or that the defendant did not believe they were true, or that he recklessly published that which was untrue, or had absolutely no foundation for his charge: </w:t>
      </w:r>
      <w:r>
        <w:rPr>
          <w:rFonts w:ascii="arial" w:eastAsia="arial" w:hAnsi="arial" w:cs="arial"/>
          <w:i/>
          <w:color w:val="000000"/>
          <w:sz w:val="20"/>
          <w:lang w:val="en-US" w:eastAsia="en-US" w:bidi="ar-SA"/>
        </w:rPr>
        <w:t>Nazerali v. Mitchell</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2016 BCSC 810</w:t>
        </w:r>
      </w:hyperlink>
      <w:r>
        <w:rPr>
          <w:rFonts w:ascii="arial" w:eastAsia="arial" w:hAnsi="arial" w:cs="arial"/>
          <w:color w:val="000000"/>
          <w:sz w:val="20"/>
          <w:lang w:val="en-US" w:eastAsia="en-US" w:bidi="ar-SA"/>
        </w:rPr>
        <w:t xml:space="preserve"> at para. 131, varied on appeal on other grounds, </w:t>
      </w:r>
      <w:hyperlink r:id="rId153" w:history="1">
        <w:r>
          <w:rPr>
            <w:rFonts w:ascii="arial" w:eastAsia="arial" w:hAnsi="arial" w:cs="arial"/>
            <w:i/>
            <w:color w:val="0077CC"/>
            <w:sz w:val="20"/>
            <w:u w:val="single"/>
            <w:shd w:val="clear" w:color="auto" w:fill="FFFFFF"/>
            <w:lang w:val="en-US" w:eastAsia="en-US" w:bidi="ar-SA"/>
          </w:rPr>
          <w:t>2018 BCCA 104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With respect to the meaning of malice, Justice Cory, writing for the majority of the Supreme Court of Canada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stated at para. 145: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Malice is commonly understood, in the popular sense, as spite or ill-will. However, it also includes... "any indirect motive or ulterior purpose" that conflicts with the sense of duty or the mutual interest which the occasion created. Malice may also be established by showing that the defendant spoke dishonestly, or in knowing or reckless disregard for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A finding of malice can take into consideration conduct of the defendant throughout the course of events, both before and after the publication of the defamatory words, as well as throughout the trial: </w:t>
      </w:r>
      <w:r>
        <w:rPr>
          <w:rFonts w:ascii="arial" w:eastAsia="arial" w:hAnsi="arial" w:cs="arial"/>
          <w:i/>
          <w:color w:val="000000"/>
          <w:sz w:val="20"/>
          <w:lang w:val="en-US" w:eastAsia="en-US" w:bidi="ar-SA"/>
        </w:rPr>
        <w:t>Nazerali</w:t>
      </w:r>
      <w:r>
        <w:rPr>
          <w:rFonts w:ascii="arial" w:eastAsia="arial" w:hAnsi="arial" w:cs="arial"/>
          <w:color w:val="000000"/>
          <w:sz w:val="20"/>
          <w:lang w:val="en-US" w:eastAsia="en-US" w:bidi="ar-SA"/>
        </w:rPr>
        <w:t xml:space="preserve"> at para. 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Punitive damages may be awarded in cases where the defendant's misconduct is so malicious, oppressive or high-handed that it offends the court's decency. The objective of punitive damages is to punish the defendant, not to award the plaintiff. It should only be awarded in circumstances where general and aggravated damage awards are insufficient to achieve the goal of punishment and deterrence: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199; </w:t>
      </w:r>
      <w:r>
        <w:rPr>
          <w:rFonts w:ascii="arial" w:eastAsia="arial" w:hAnsi="arial" w:cs="arial"/>
          <w:i/>
          <w:color w:val="000000"/>
          <w:sz w:val="20"/>
          <w:lang w:val="en-US" w:eastAsia="en-US" w:bidi="ar-SA"/>
        </w:rPr>
        <w:t>Nazerali</w:t>
      </w:r>
      <w:r>
        <w:rPr>
          <w:rFonts w:ascii="arial" w:eastAsia="arial" w:hAnsi="arial" w:cs="arial"/>
          <w:color w:val="000000"/>
          <w:sz w:val="20"/>
          <w:lang w:val="en-US" w:eastAsia="en-US" w:bidi="ar-SA"/>
        </w:rPr>
        <w:t xml:space="preserve"> at para. 192</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Assessing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Ms. Jilani testified that upon the publication of the Second Article, she felt unwelcome at the mosque and reduced her volunteer activities. She felt embarrassed and humiliated by the content in it. She said the Articles (and therefore the Second Article) significantly added to the already significant stress she was feeling from the litigation. In paragraph 21 of the January 26, 2017 counterclaim, Ms. Jilani stated that she "went into depression and was having suicidal thoughts from the defamation of character article posted on the social media, cyber bullying by the Plaintiff Mr. Somani". Her testimony supported that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The following factors as outlined in </w:t>
      </w:r>
      <w:r>
        <w:rPr>
          <w:rFonts w:ascii="arial" w:eastAsia="arial" w:hAnsi="arial" w:cs="arial"/>
          <w:i/>
          <w:color w:val="000000"/>
          <w:sz w:val="20"/>
          <w:lang w:val="en-US" w:eastAsia="en-US" w:bidi="ar-SA"/>
        </w:rPr>
        <w:t>Leenen</w:t>
      </w:r>
      <w:r>
        <w:rPr>
          <w:rFonts w:ascii="arial" w:eastAsia="arial" w:hAnsi="arial" w:cs="arial"/>
          <w:color w:val="000000"/>
          <w:sz w:val="20"/>
          <w:lang w:val="en-US" w:eastAsia="en-US" w:bidi="ar-SA"/>
        </w:rPr>
        <w:t xml:space="preserve"> support a higher general damage award: seriousness of defamatory words (the words imputed wrongful, fraudulent and criminal conduct onto Ms. Jilani); identity of accuser (Mr. Somani was in a position of trust both personally and professionally with Ms. Jilani as well as a member of the same Ismaili community in Vancouver); Mr. Somani's failure to portray a balanced view in the Articles; Mr. Somani's conduct throughout the trial; the absence of an apology by Mr. Somani; and, his failure to establish the defence of justification. I find the remaining </w:t>
      </w:r>
      <w:r>
        <w:rPr>
          <w:rFonts w:ascii="arial" w:eastAsia="arial" w:hAnsi="arial" w:cs="arial"/>
          <w:i/>
          <w:color w:val="000000"/>
          <w:sz w:val="20"/>
          <w:lang w:val="en-US" w:eastAsia="en-US" w:bidi="ar-SA"/>
        </w:rPr>
        <w:t>Leenen</w:t>
      </w:r>
      <w:r>
        <w:rPr>
          <w:rFonts w:ascii="arial" w:eastAsia="arial" w:hAnsi="arial" w:cs="arial"/>
          <w:color w:val="000000"/>
          <w:sz w:val="20"/>
          <w:lang w:val="en-US" w:eastAsia="en-US" w:bidi="ar-SA"/>
        </w:rPr>
        <w:t xml:space="preserve"> factors (breadth of distribution, republication, and desire to increase one's professional reputation) are neutral.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Mr. Somani denied his responsibility of the Articles, which is a relevant factors in assessing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As discussed throughout this judgement, Mr. Somani's conduct during this trial and in the litigation has been high-handed and oppressive, offensive to the court's decency, and malicious. The impact on Ms. Jilani was severe and his conduct increased the harm done to her. I find that throughout the course of events, both before and after the publication of the Articles and during the trial, Mr. Somani was motivated by malice which increased Ms. Jilani's emotional suffering. I further conclude he published the Articles knowing they were false and for the dominant purpose of injuring the plaintiff out of spite or animosity. Therefore, I find both aggravated and punitive damages are appropriate. I award punitive damages as I find the circumstances of Mr. Somani's conduct throughout this litigation to be such that general and aggravated damages are insufficient to achieve the goal of punishment and deterrence.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Conclusion on Damages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 award Ms. Jilani $10,000 in general damages, $15,000 in aggravated damages and $25,000 in punitive damages, for a total award for defamation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Funds Wrongfully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Because Mr. Somani was not a business partner with Ms. Jilani, he had no legal claim to withdraw any money from the business. Ms. Jilani concedes that Mr. Somani may have been entitled to some compensation for work or services he provided to the business, but the parties did not have an agreement about that. Nor did Mr. Somani include as an alternative claim that he should be awarded fees for work done; instead, he folded that type of claim into what he said was their partnership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Mr. Somani testified about the work he said he performed for the business, but that evidence was disputed. Ms. Jilani accepted that he set up the web site and made arrangements for advertising, but when she replaced those services in early February 2015, she said it only took a friend a couple of hours to replicate the website and she was able to quickly register sufficient domain names through GoDaddy for a relatively modest fee. She disputed the amount of time Mr. Somani was present at the business. While she agreed he dealt with some staff issues, and oversaw the repairs and renovation/decoration of the space, she denied Mr. Somani's estimation of the amount of time any of those activities took. I prefer Ms. Jilani's evidence about that to Mr. Somani's.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 am not satisfied the evidence is adequate or sufficient to know how much compensation Mr. Somani would have been entitled to even if the parties had an agreement about his compensation. However, I am satisfied based on my earlier findings that Mr. Somani took money out of the business and wrongfully claimed expenses unrelated to the business (paras. 203-210).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In the January 26, 2017 counterclaim, Part 1, paragraph 8, Ms. Jilani pled that Mr. Somani "unilaterally drew approximately $30,000 from the bank accounts and business credit card" of the business and in Part 3, paragraph 1, she claims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difficulty is that the financial documents for the business were mostly produced by Mr. Somani, and without independent corroboration (or Ms. Jilani's agreement), I am not prepared to accept them as reliable for the reasons discussed earlier (paras. 187-210). Mr. Somani testified and attempted to demonstrate by referencing his documents that he put more money into the business than he charged to, or withdrew, from the business. He was unable to do so. Unfortunately, Ms. Jilani allowed Mr. Somani full access to the business's finances and was not supervising them carefully nor recording Mr. Somani's activity. She was similarly unable to demonstrate in the documents money Mr. Somani took out. The result is that I am unable on the reliable evidence produced to determine how much money Mr. Somani took out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This aspect of the counterclaim is therefore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Passing off the Business's Financial Documents To Be Documents From a Different Business and Misappropriated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have already discussed earlier in this judgment some of the suspicions Ms. Jilani had about why Mr. Somani removed financial statements from the business (see para. 191 and footnote 3). Ms. Jilani's position is that Mr. Somani opened a competing spa and then tried to sell it, relying on business records that originated from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support of her claim, Ms. Jilani introduced into evidence an email forwarded to her from a friend that attaches a December 3, 2015 email from a business valuator (the same person that Mr. Somani testified that he hired to evaluate the worth of WMC at one time). Her friend contacted the business valuator who was advertising the sale of the business, and asked for background documents, feigning an interest in purchasing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Ms. Jilani maintains the documents forwarded to her friend by the valuator were virtually identical to her business records but passed off as records "Wellness Massage Medi Spa" operated by "Salima Thawer". Ms. Thawer signed a lease at Guildford Shopping mall dated April 10, 2015 claiming to operate that business</w:t>
      </w:r>
      <w:bookmarkStart w:id="38"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38"/>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documents Ms. Jilani testified were attached to the email she received show the operation of Wellness Massage Medi Spa from 2013 and 2014 when Mr. Somani testified he was at WMC daily or every other day. Also attached are the excel expense sheets he produced in this litigation. Ms. Jilani suspected that Mr. Somani opened up a business, stole and altered her business documents to create a fake book of business to support an asking price that would otherwise be completely unjustified for Wellness Massage Medi Spa.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Given the whole of the evidence in this case, I think Ms. Jilani's suspicions are likely to be true, but I am not satisfied I have sufficient evidence to make that finding. The documents in support of her theory, while compelling, are inadmissible because they are double hearsay. I cannot rely on her friend's email that she obtained the documents from the business valuator because it is hearsay; nor can I believe as true the business valuator's email that the attached documents were those submitted by Mr. Somani in support of his proposed sale price because that is double hearsay. For those reasons this aspect of the counterclaim is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Conclusion on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awarded Ms. Jilani a total of $50,000 for defamation, and I dismiss the other two claims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Ms. Jilani is entitled to costs with regard to the main claim, and the counterclaim. Even though two of the claims in the counterclaim were dismissed, they related to financial concerns that occupied the majority of Mr. Somani's case. I conclude that no additional trial time was occupied by addressing the dismissed claims from the counterclaim, and no adjustment to costs is warranted on that basis. However, both parties sought special costs so I will address whether that is warranted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Given my conclusion about Mr. Somani's conduct, this is a case where an award of special costs would be warranted. However, for the reasons I now explain, I have chosen to exercise my discretion and award fixed,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xml:space="preserve">  Rule 14-1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sets out the two categories of costs: party and party costs, and special costs. Rule 14-1(3) sets out that on an assessment of special costs, a registrar must:</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those fees that were proper or reasonably necessary to conduct the proceeding, and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all of the circumstances, including the following:</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 and the difficulty or the novelty of the issues involved;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reasonably spent in conducting the proceeding;</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any party that tended to shorten, or to unnecessarily lengthen, the duration of the proceeding;</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proceeding to the party whose bill is being assessed, and the result obtained;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benefit to the party whose bill is being assessed of the services rendered by the lawyer;</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1-3 and any case plan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xml:space="preserve">  Special costs are typically awarded when there has been some form of reprehensible conduct on the part of one of the parties and are intended to indemnify a successful litigant: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2014 BCCA 414</w:t>
        </w:r>
      </w:hyperlink>
      <w:r>
        <w:rPr>
          <w:rFonts w:ascii="arial" w:eastAsia="arial" w:hAnsi="arial" w:cs="arial"/>
          <w:color w:val="000000"/>
          <w:sz w:val="20"/>
          <w:lang w:val="en-US" w:eastAsia="en-US" w:bidi="ar-SA"/>
        </w:rPr>
        <w:t xml:space="preserve"> at paras. 90-91. Certainly if that was the only criterion, I would easily order special costs because I have found Mr. Somani's conduct reprehensible and outrageous.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However, in this case, the issue arises that the parties are in-person litigants and presented no evidence about costs. Although a self-represented litigant is entitled to special costs (see </w:t>
      </w:r>
      <w:r>
        <w:rPr>
          <w:rFonts w:ascii="arial" w:eastAsia="arial" w:hAnsi="arial" w:cs="arial"/>
          <w:i/>
          <w:color w:val="000000"/>
          <w:sz w:val="20"/>
          <w:lang w:val="en-US" w:eastAsia="en-US" w:bidi="ar-SA"/>
        </w:rPr>
        <w:t>McKnight v. Hutchinson</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2014 BCCA 472</w:t>
        </w:r>
      </w:hyperlink>
      <w:r>
        <w:rPr>
          <w:rFonts w:ascii="arial" w:eastAsia="arial" w:hAnsi="arial" w:cs="arial"/>
          <w:color w:val="000000"/>
          <w:sz w:val="20"/>
          <w:lang w:val="en-US" w:eastAsia="en-US" w:bidi="ar-SA"/>
        </w:rPr>
        <w:t xml:space="preserve"> at para. 39), the issue of how those are assessed is more difficult. The normal procedure would be to send the matter to the registrar for assessment.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the Court of Appeal stated at para. 154 that the registrar is the best person to conduct an assessment but that "[a]n exception may arise in cases when the judge is intimately familiar with the litigation or the time and cost of a registrar's hearing cannot be justified or where the parties consent", but "[t]he fact that a judge has heard the trial does not necessarily lead to the conclusion that the best use of judicial resources is for the judge to assess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Court continued at paras. 155 and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When assessing special costs, summarily or otherwise, a judge must only allow those fees that are </w:t>
      </w:r>
      <w:r>
        <w:rPr>
          <w:rFonts w:ascii="arial" w:eastAsia="arial" w:hAnsi="arial" w:cs="arial"/>
          <w:color w:val="000000"/>
          <w:sz w:val="20"/>
          <w:u w:val="single"/>
          <w:lang w:val="en-US" w:eastAsia="en-US" w:bidi="ar-SA"/>
        </w:rPr>
        <w:t>objectively reasonable in the circumstances</w:t>
      </w:r>
      <w:r>
        <w:rPr>
          <w:rFonts w:ascii="arial" w:eastAsia="arial" w:hAnsi="arial" w:cs="arial"/>
          <w:color w:val="000000"/>
          <w:sz w:val="20"/>
          <w:lang w:val="en-US" w:eastAsia="en-US" w:bidi="ar-SA"/>
        </w:rPr>
        <w:t xml:space="preserve">. This is because the purpose of a special costs award is to provide an indemnity to the successful party, not a windfall. </w:t>
      </w:r>
      <w:r>
        <w:rPr>
          <w:rFonts w:ascii="arial" w:eastAsia="arial" w:hAnsi="arial" w:cs="arial"/>
          <w:color w:val="000000"/>
          <w:sz w:val="20"/>
          <w:u w:val="single"/>
          <w:lang w:val="en-US" w:eastAsia="en-US" w:bidi="ar-SA"/>
        </w:rPr>
        <w:t>While a judge need not follow the exact same procedure as a registrar, the ultimate award of special costs must be consistent with what the registrar would award in similar circumstances</w:t>
      </w:r>
      <w:r>
        <w:rPr>
          <w:rFonts w:ascii="arial" w:eastAsia="arial" w:hAnsi="arial" w:cs="arial"/>
          <w:color w:val="000000"/>
          <w:sz w:val="20"/>
          <w:lang w:val="en-US" w:eastAsia="en-US" w:bidi="ar-SA"/>
        </w:rPr>
        <w:t>. Thus, a judge must conduct an inquiry into whether the fees claimed by the successful litigant were proper and reasonably necessary for the conduct of the proceeding as set out in R. 14-1(3) (a), taking into account all of the relevant circumstances of the case and with particular attention to the non-exhaustive list of factors in R. 14-1(3)(b).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156 </w:t>
      </w:r>
      <w:r>
        <w:rPr>
          <w:rFonts w:ascii="arial" w:eastAsia="arial" w:hAnsi="arial" w:cs="arial"/>
          <w:color w:val="000000"/>
          <w:sz w:val="20"/>
          <w:u w:val="single"/>
          <w:lang w:val="en-US" w:eastAsia="en-US" w:bidi="ar-SA"/>
        </w:rPr>
        <w:t>A special costs assessment, whether before a judge or a registrar, cannot proceed in absence of evidence of the amount of legal fees incurred</w:t>
      </w:r>
      <w:r>
        <w:rPr>
          <w:rFonts w:ascii="arial" w:eastAsia="arial" w:hAnsi="arial" w:cs="arial"/>
          <w:color w:val="000000"/>
          <w:sz w:val="20"/>
          <w:lang w:val="en-US" w:eastAsia="en-US" w:bidi="ar-SA"/>
        </w:rPr>
        <w:t>. Usually this will be provided in the same form as a bill between a solicitor and client under the Legal Profession Act. This is necessary to allow a court to inquire as to the objective reasonableness of the fees claimed by a litigant, as the fact that a solicitor has billed a certain sum does not necessarily make the fee reasonable. Where production of a bill of special costs would lead to a loss of solicitor-client privilege, the party seeking special costs must either waive privilege or can elect to preserve privilege by having its costs assessed after all appeals are exhausted.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Both parties were represented for short periods of time by counsel but no documents were presented about those costs; the parties only gave general testimony about how much they spent.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While a lack of evidence may serve to typically discourage a trial judge from awarding lump-sum special costs, it appears that lump-sum special costs may still be appropriate where the amount claimed is modest. In </w:t>
      </w:r>
      <w:r>
        <w:rPr>
          <w:rFonts w:ascii="arial" w:eastAsia="arial" w:hAnsi="arial" w:cs="arial"/>
          <w:i/>
          <w:color w:val="000000"/>
          <w:sz w:val="20"/>
          <w:lang w:val="en-US" w:eastAsia="en-US" w:bidi="ar-SA"/>
        </w:rPr>
        <w:t>Jacques v. Muir</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2017 BCSC 2400</w:t>
        </w:r>
      </w:hyperlink>
      <w:r>
        <w:rPr>
          <w:rFonts w:ascii="arial" w:eastAsia="arial" w:hAnsi="arial" w:cs="arial"/>
          <w:color w:val="000000"/>
          <w:sz w:val="20"/>
          <w:lang w:val="en-US" w:eastAsia="en-US" w:bidi="ar-SA"/>
        </w:rPr>
        <w:t xml:space="preserve">, aff'd </w:t>
      </w:r>
      <w:hyperlink r:id="rId157" w:history="1">
        <w:r>
          <w:rPr>
            <w:rFonts w:ascii="arial" w:eastAsia="arial" w:hAnsi="arial" w:cs="arial"/>
            <w:i/>
            <w:color w:val="0077CC"/>
            <w:sz w:val="20"/>
            <w:u w:val="single"/>
            <w:shd w:val="clear" w:color="auto" w:fill="FFFFFF"/>
            <w:lang w:val="en-US" w:eastAsia="en-US" w:bidi="ar-SA"/>
          </w:rPr>
          <w:t>2018 BCCA 174</w:t>
        </w:r>
      </w:hyperlink>
      <w:r>
        <w:rPr>
          <w:rFonts w:ascii="arial" w:eastAsia="arial" w:hAnsi="arial" w:cs="arial"/>
          <w:color w:val="000000"/>
          <w:sz w:val="20"/>
          <w:lang w:val="en-US" w:eastAsia="en-US" w:bidi="ar-SA"/>
        </w:rPr>
        <w:t xml:space="preserve">, the defendant sought specials costs of $2,000. The Court considered the exception to the normal rule discouraging trial judges from awarding lump-sum special costs without evidence as articulated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At para. 17 of J</w:t>
      </w:r>
      <w:r>
        <w:rPr>
          <w:rFonts w:ascii="arial" w:eastAsia="arial" w:hAnsi="arial" w:cs="arial"/>
          <w:i/>
          <w:color w:val="000000"/>
          <w:sz w:val="20"/>
          <w:lang w:val="en-US" w:eastAsia="en-US" w:bidi="ar-SA"/>
        </w:rPr>
        <w:t>acques</w:t>
      </w:r>
      <w:r>
        <w:rPr>
          <w:rFonts w:ascii="arial" w:eastAsia="arial" w:hAnsi="arial" w:cs="arial"/>
          <w:color w:val="000000"/>
          <w:sz w:val="20"/>
          <w:lang w:val="en-US" w:eastAsia="en-US" w:bidi="ar-SA"/>
        </w:rPr>
        <w:t>, the Court repeated that it "discouraged trial judges from awarding lump-sum special costs, in all but particular or special circumstances, without a basis in the evidence on which to do so, presumably including having the lawyer's bills or similar information before the court". It applied the exception to the facts of that case, articulating the following three reasons for doing so (para. 18):</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the type of case, with which I am familiar, that has the potential to spawn further litigation or unnecessary proceedings over the costs issue itself;</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sought is relatively modest and, indeed, Scale B costs probably would be in the range of $1,500 in and of themselves, excluding disbursements; and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those circumstances I agree that the cost of a registrar's hearing cannot be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 am concerned in this case about the potential for further litigation and unnecessary proceedings related to costs. I am also satisfied I am intimately familiar with this litigation to a degree that the time and cost of a registrar's hearing may not be warranted. However, the potential amount of costs is not modest given the length of the trial. For that reason, combined with the lack of documentary evidence about the amounts paid to lawyers, I find this is not a case where special costs ought to be awarded by lump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However, I am reluctant to send the issue of costs to a registrar's hearing. In my view, doing so would not serve the ends of justice in the unique circumstances of this case. Mr. Somani used the court process to harass Ms. Jilani and the possibility of further litigation is unwarranted and potentially detrimental to her. I also note the trial took more court days than expected. Thus, the words of Madam Justice Southin in </w:t>
      </w:r>
      <w:r>
        <w:rPr>
          <w:rFonts w:ascii="arial" w:eastAsia="arial" w:hAnsi="arial" w:cs="arial"/>
          <w:i/>
          <w:color w:val="000000"/>
          <w:sz w:val="20"/>
          <w:lang w:val="en-US" w:eastAsia="en-US" w:bidi="ar-SA"/>
        </w:rPr>
        <w:t>Interclaim Holdings Ltd., v. Down</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2002 BCCA 632</w:t>
        </w:r>
      </w:hyperlink>
      <w:r>
        <w:rPr>
          <w:rFonts w:ascii="arial" w:eastAsia="arial" w:hAnsi="arial" w:cs="arial"/>
          <w:color w:val="000000"/>
          <w:sz w:val="20"/>
          <w:lang w:val="en-US" w:eastAsia="en-US" w:bidi="ar-SA"/>
        </w:rPr>
        <w:t xml:space="preserve"> at para. 38 are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 This litigation has already consumed, as I have already indicated, far too much of the public resource of judicial time as it is. To send the claim to taxation will engage a large amount of the time of a taxing officer whose decision might be appealed and matters will go on and on. Among other things, the taxing officer would have to learn about this litigation all that we already know, a duplication of effort which does no one any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Accordingly, in the interest of justice, I exercise my discretion pursuant to Rule 14-1(1)(c) and 14-1(15). I will assess and award costs rather than send the matter to the registrar.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Section 2 of Appendix 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gives the court discretion to fix the scale under which costs will be assessed, from Scale A to C. Section 2(2) of Appendix B sets out the principles the court must consider when assessing the scale:</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scale of costs, the court must have regard to the following principles: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A is for matters of little or less than ordinary difficulty;</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B is for matters of ordinary difficulty;</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Scale C is for matters of more than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Under s. 2(3), in fixing the appropriate scale under which costs will be assessed, the court may take into account the following:</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fixing the appropriate scale under which costs will be assessed, the court may take into account the following:</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difficult issue of law, fact or construction is involved;</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an issue is of importance to a class or body of persons, or is of general interest;</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result of the proceeding effectively determines the rights and obligations as between the parties beyond the relief that was actually granted or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court has discretion, under s. 2(5), to order 1.5 times the value of each unit of costs:</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after it fixes the scale of costs applicable to a proceeding under subsection (1) or (4), the court finds that, as a result of unusual circumstances, an award of costs on that scale </w:t>
      </w:r>
      <w:r>
        <w:rPr>
          <w:rFonts w:ascii="arial" w:eastAsia="arial" w:hAnsi="arial" w:cs="arial"/>
          <w:color w:val="000000"/>
          <w:sz w:val="20"/>
          <w:u w:val="single"/>
          <w:lang w:val="en-US" w:eastAsia="en-US" w:bidi="ar-SA"/>
        </w:rPr>
        <w:t>would be grossly inadequate or unjust</w:t>
      </w:r>
      <w:r>
        <w:rPr>
          <w:rFonts w:ascii="arial" w:eastAsia="arial" w:hAnsi="arial" w:cs="arial"/>
          <w:color w:val="000000"/>
          <w:sz w:val="20"/>
          <w:lang w:val="en-US" w:eastAsia="en-US" w:bidi="ar-SA"/>
        </w:rPr>
        <w:t>, the court may order that the value for each unit allowed for that proceeding, or for any step in that proceeding, be 1.5 times the value that would otherwise apply to a unit in that scale under section 3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On the issue of what constitutes "grossly inadequate or unjust", Madam Justice Fisher commented in </w:t>
      </w:r>
      <w:r>
        <w:rPr>
          <w:rFonts w:ascii="arial" w:eastAsia="arial" w:hAnsi="arial" w:cs="arial"/>
          <w:i/>
          <w:color w:val="000000"/>
          <w:sz w:val="20"/>
          <w:lang w:val="en-US" w:eastAsia="en-US" w:bidi="ar-SA"/>
        </w:rPr>
        <w:t>International Energy and Mineral Resources Investment (Hong Kong) Co. v. Mosquito Consolidated Gold Mines Ltd.</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2012 BCSC 1475</w:t>
        </w:r>
      </w:hyperlink>
      <w:r>
        <w:rPr>
          <w:rFonts w:ascii="arial" w:eastAsia="arial" w:hAnsi="arial" w:cs="arial"/>
          <w:color w:val="000000"/>
          <w:sz w:val="20"/>
          <w:lang w:val="en-US" w:eastAsia="en-US" w:bidi="ar-SA"/>
        </w:rPr>
        <w:t xml:space="preserve"> at paras. 23-24: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trigger for the exercise of discretion to award an increase in unit values under s. 2(5) of Appendix B requires unusual circumstances that would result in a grossly inadequate or unjust award of costs at the fixed scale. In </w:t>
      </w:r>
      <w:r>
        <w:rPr>
          <w:rFonts w:ascii="arial" w:eastAsia="arial" w:hAnsi="arial" w:cs="arial"/>
          <w:i/>
          <w:color w:val="000000"/>
          <w:sz w:val="20"/>
          <w:lang w:val="en-US" w:eastAsia="en-US" w:bidi="ar-SA"/>
        </w:rPr>
        <w:t>Bajwa v British Columbia Veterinary Medical Assoc.</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2008 BCSC 905</w:t>
        </w:r>
      </w:hyperlink>
      <w:r>
        <w:rPr>
          <w:rFonts w:ascii="arial" w:eastAsia="arial" w:hAnsi="arial" w:cs="arial"/>
          <w:color w:val="000000"/>
          <w:sz w:val="20"/>
          <w:lang w:val="en-US" w:eastAsia="en-US" w:bidi="ar-SA"/>
        </w:rPr>
        <w:t>, Davies J. held at paras. 72-73: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[72] . . . under s. 2(4.1) [now s. 2(5)], the concept of "unjustness" is linked to the concept of "gross inadequacy" of the application of the usual principles. In my view, that linkage, coupled with the new requirement for a finding of "unusual circumstances" means that the fact that a cost award will not afford reasonable compensation for the costs actually incurred will not, without some unusual circumstance, be sufficient to ground an order for increased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[73] What constitutes "</w:t>
      </w:r>
      <w:r>
        <w:rPr>
          <w:rFonts w:ascii="arial" w:eastAsia="arial" w:hAnsi="arial" w:cs="arial"/>
          <w:color w:val="000000"/>
          <w:sz w:val="20"/>
          <w:u w:val="single"/>
          <w:lang w:val="en-US" w:eastAsia="en-US" w:bidi="ar-SA"/>
        </w:rPr>
        <w:t>unusual circumstances</w:t>
      </w:r>
      <w:r>
        <w:rPr>
          <w:rFonts w:ascii="arial" w:eastAsia="arial" w:hAnsi="arial" w:cs="arial"/>
          <w:color w:val="000000"/>
          <w:sz w:val="20"/>
          <w:lang w:val="en-US" w:eastAsia="en-US" w:bidi="ar-SA"/>
        </w:rPr>
        <w:t xml:space="preserve">" or an award that is "unjust or grossly inadequate" will of necessity remain </w:t>
      </w:r>
      <w:r>
        <w:rPr>
          <w:rFonts w:ascii="arial" w:eastAsia="arial" w:hAnsi="arial" w:cs="arial"/>
          <w:color w:val="000000"/>
          <w:sz w:val="20"/>
          <w:u w:val="single"/>
          <w:lang w:val="en-US" w:eastAsia="en-US" w:bidi="ar-SA"/>
        </w:rPr>
        <w:t>a fact-based inquiry driven by the nature of the litigation and the conduct of the parties</w:t>
      </w:r>
      <w:r>
        <w:rPr>
          <w:rFonts w:ascii="arial" w:eastAsia="arial" w:hAnsi="arial" w:cs="arial"/>
          <w:color w:val="000000"/>
          <w:sz w:val="20"/>
          <w:lang w:val="en-US" w:eastAsia="en-US" w:bidi="ar-SA"/>
        </w:rPr>
        <w:t>, and remains a determination in respect of which decisions under the old s. 7 will continue to offer assistance.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Factors that may constitute unusual circumstances which justify increased costs include misconduct by the unsuccessful party, the serious nature of the allegations, the complexity or difficulty of the issues in the litigation, and the importance of the litigation to the parties or to the development of the law: see </w:t>
      </w:r>
      <w:r>
        <w:rPr>
          <w:rFonts w:ascii="arial" w:eastAsia="arial" w:hAnsi="arial" w:cs="arial"/>
          <w:i/>
          <w:color w:val="000000"/>
          <w:sz w:val="20"/>
          <w:lang w:val="en-US" w:eastAsia="en-US" w:bidi="ar-SA"/>
        </w:rPr>
        <w:t>380876 British Columbia Ltd. v Ron Perrick Law Corp.</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2009 BCSC 1209</w:t>
        </w:r>
      </w:hyperlink>
      <w:r>
        <w:rPr>
          <w:rFonts w:ascii="arial" w:eastAsia="arial" w:hAnsi="arial" w:cs="arial"/>
          <w:color w:val="000000"/>
          <w:sz w:val="20"/>
          <w:lang w:val="en-US" w:eastAsia="en-US" w:bidi="ar-SA"/>
        </w:rPr>
        <w:t xml:space="preserve"> at para 37, and the cases cited therein. These last two factors overlap with some of the factors that are considered in determining the appropriate scale of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Assessment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Overall, I find it appropriate in this case that costs be assessed under Scale C because Mr. Somani's misfeasance and conduct during the litigation, which lengthened the trial which made the trial one of greater than ordinary difficulty: </w:t>
      </w:r>
      <w:r>
        <w:rPr>
          <w:rFonts w:ascii="arial" w:eastAsia="arial" w:hAnsi="arial" w:cs="arial"/>
          <w:i/>
          <w:color w:val="000000"/>
          <w:sz w:val="20"/>
          <w:lang w:val="en-US" w:eastAsia="en-US" w:bidi="ar-SA"/>
        </w:rPr>
        <w:t>Kalaman v. Singer Valve Co</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(1997), 29 C.C.E.L. (2d) 29</w:t>
        </w:r>
      </w:hyperlink>
      <w:r>
        <w:rPr>
          <w:rFonts w:ascii="arial" w:eastAsia="arial" w:hAnsi="arial" w:cs="arial"/>
          <w:color w:val="000000"/>
          <w:sz w:val="20"/>
          <w:lang w:val="en-US" w:eastAsia="en-US" w:bidi="ar-SA"/>
        </w:rPr>
        <w:t xml:space="preserve"> (B.C.S.C.) at para. 22. While the trial lasted 17 days, two of those were half days. I have also counted at least 10 pre-trial applications and two trial management conferences the parties attended. Both parties were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Using the tariff as a guide and based both on my knowledge of the trial and of the entire litigation because of the necessity of reviewing the entire court file, I fix costs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However, as in both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380876 British Columbia Ltd.</w:t>
      </w:r>
      <w:r>
        <w:rPr>
          <w:rFonts w:ascii="arial" w:eastAsia="arial" w:hAnsi="arial" w:cs="arial"/>
          <w:color w:val="000000"/>
          <w:sz w:val="20"/>
          <w:lang w:val="en-US" w:eastAsia="en-US" w:bidi="ar-SA"/>
        </w:rPr>
        <w:t>, as referenced above, I find unusual circumstances exist including Mr. Somani's serious misconduct in the litigation as described throughout this judgment and in my prior reasons on this case when I issued a restraining order. Ms. Jilani had to contend with what I have found to be documents that were not genuine, altered pleadings and Mr. Somani's concerted scheme to discredit, intimidate and harass her. I am satisfied Mr. Somani lied to the court in order to get default judgment and register a lien on Ms. Jilani's home that was grossly overstated. He was not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To put it bluntly, Mr. Somani has put Ms. Jilani through a horrendous ordeal without any legal justification. Accordingly, I am satisfied that unusual circumstances exist such that the result would be grossly inadequate or unjust to award costs at the normal scale, and I award </w:t>
      </w:r>
      <w:r>
        <w:rPr>
          <w:rFonts w:ascii="arial" w:eastAsia="arial" w:hAnsi="arial" w:cs="arial"/>
          <w:i/>
          <w:color w:val="000000"/>
          <w:sz w:val="20"/>
          <w:lang w:val="en-US" w:eastAsia="en-US" w:bidi="ar-SA"/>
        </w:rPr>
        <w:t>increased</w:t>
      </w:r>
      <w:r>
        <w:rPr>
          <w:rFonts w:ascii="arial" w:eastAsia="arial" w:hAnsi="arial" w:cs="arial"/>
          <w:color w:val="000000"/>
          <w:sz w:val="20"/>
          <w:lang w:val="en-US" w:eastAsia="en-US" w:bidi="ar-SA"/>
        </w:rPr>
        <w:t xml:space="preserve"> costs at Scale C with each unit in the tariff valued at 1.5 instead of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Accordingly, I award Ms. Jilani $75,000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In conclusion, I dismiss all of the plaintiff's actions against the defendant. I also order that the numbered company be removed form the 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relation to the defamation claim in Ms. Jilani's counterclaim, I award her $10,000 for general damages, $15,000 for aggravated damages and $25,000 for punitive damages, for a total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 have assessed and award Ms. Jilani $75,000 in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In total, Ms. Jilani is entitled to judgment in the amount of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Because of my concerns about Mr. Somani's conduct towards Ms. Jilani, I dispense with the need for Mr. Somani to approve the form of the order to be entered as a result of this judgment. Instead, in the unique circumstances of this case, I direct the registry to prepare the appropriate order for my review and signature, and once entered, that the order be forwarded to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The </w:t>
      </w:r>
      <w:r>
        <w:rPr>
          <w:rFonts w:ascii="arial" w:eastAsia="arial" w:hAnsi="arial" w:cs="arial"/>
          <w:color w:val="000000"/>
          <w:sz w:val="20"/>
          <w:u w:val="single"/>
          <w:lang w:val="en-US" w:eastAsia="en-US" w:bidi="ar-SA"/>
        </w:rPr>
        <w:t>First Article</w:t>
      </w:r>
      <w:r>
        <w:rPr>
          <w:rFonts w:ascii="arial" w:eastAsia="arial" w:hAnsi="arial" w:cs="arial"/>
          <w:color w:val="000000"/>
          <w:sz w:val="20"/>
          <w:lang w:val="en-US" w:eastAsia="en-US" w:bidi="ar-SA"/>
        </w:rPr>
        <w:t xml:space="preserve"> in its entirety is produced below: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v Jilani authentic premise in court records confirmations misleading practices and false guaranteeing responsibility for back rub focus in Burnaby,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 NOTICE OF CLAIM S-152434 documented in Vancouver Supreme Court against Layla Jilani, Layla Jilani dba Wellness Massage Center 103-6588 Royal Oak Ave, Burnaby, British Columbia V5H 3P4 confirmations genuine premise in court records of tricky practices and false case responsibility for Massage Center otherwise known as Wellness Massage Therapy Center in Burnaby, British Columbia,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Verifiable premise in court records confirmations tricky practices and false guaranteeing responsibility for back rub focus in Burnaby, BC accurate premise in court records confirmations misleading practices and false asserting responsibility for back rub focus in Burnaby,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Informative supplement 2 (section. 19-12-01), states: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business area wellnessmassagecentre.com now records Layla Jilani as proprietor, however the starting copyright notification as indicated by GoDaddy in in Moe Somani's United Kingdom Company name alone, and it is plainly Somani's organization who at first enlisted the space name. Likewise on the area enrollments, are the words 'an authorized space'. Be that as it may, likewise, significant confirmation Jilani has changed, misrepresented, and even manufactured the gathered enlistment and moved possession into her own name purposely mindful that the spaces were lawfully enrolled to Somani's United Kingdom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 archives state Jilani has overlaid the organization with so much misdirection that her administration of Somani's business interest considered in general has been perilously deceptive to the courts and the clients of Wellness Massage Center.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has a half stake in the business, however was immediately quieted by manufactured proclamations when Jilani guaranteed on her oath and reaction to common claim that Somani was vexed when she went into another relationship. Somani is hitched, and has been involved with his wife for more than two years. The imply of these reports was to deny to Somani the ability to enter his own particular spot of business, which he had sorted out with Jilani since June 2012, and banished him from the premises by changing the locks. Jilani has disallowed Somani from directing his typical administration part an equivalent shareholder in the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Jilani asserted Somani would shut down the business, yet Somani kept on overseeing operations for pretty nearly two months until the end of January 2015. It is indistinct in respect to why he would shut down his own business, unless obviously she was hallucinating, expressed Somani in court archives, yet Jilani's new sweetheart was Somani's ex closest friend, and Somani unmistakably expressed: "He is welcome to my remains, and I wish him the good luck, in helping and abetting Jilani to assume control over my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Jilani has asserted that Somani was simply helping her, and he was of no advantage to the business, and just worked there for more or less four hours a month, and just went to the business to utilize the PC to deal with his different business intrigues.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on the other hand, one outright dependable and "genuine" evidence an 85 page oath with substantial evidence put together by Somani as verification and his business association with Jilani. Somani's accommodation to the court was not fancied up through subversion, check, interruption, or demolition of proof in actuality.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Real Basis submitted in court records express that Layla Jilani's whole course of behavior confirmations her rehashed beguiling practices of dishonestly guaranteeing 100% ownership for the business, after Somani having overseen, creating and advertising the business in many regards following its association since June 2012. Jilani has made each endeavor to keep Somani far from the business premises in addition to other things, and making manufactured reports to the nearby powers.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puzzle and the deviation from the standard framework or course of business offered rising to the mentality of Jilani when requesting a growth of 21 days to record a response to the regular claim that Somani had archived.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communicated on record that Jilani's lawful advocate called Somani's legitimate consultant, and crippled to have him caught if the lien he set against the business was not cleared. Somani said "it was dependable with the threats that Jilani effectively made to keep him a long way from the business". Somani included he knew accurately who made those risks, and why however declined to comment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tended to agree with Somani, and rejected Jilani's sales for the common 21 days response time, and asked for to have a response recorded within 13 days.</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w:t>
            </w:r>
            <w:r>
              <w:rPr>
                <w:rFonts w:ascii="arial" w:eastAsia="arial" w:hAnsi="arial" w:cs="arial"/>
                <w:color w:val="000000"/>
                <w:sz w:val="18"/>
                <w:u w:val="single"/>
                <w:lang w:val="en-US" w:eastAsia="en-US" w:bidi="ar-SA"/>
              </w:rPr>
              <w:t>Second Article</w:t>
            </w:r>
            <w:r>
              <w:rPr>
                <w:rFonts w:ascii="arial" w:eastAsia="arial" w:hAnsi="arial" w:cs="arial"/>
                <w:color w:val="000000"/>
                <w:sz w:val="18"/>
                <w:lang w:val="en-US" w:eastAsia="en-US" w:bidi="ar-SA"/>
              </w:rPr>
              <w:t xml:space="preserve"> in its entirety is produced below. Text in italics appears only in the Third Article: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Vancouver businessman Moe Somani sues Layla Jilani business partner for embezzlement and fraud.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Moe Somani is suing Layla Jilani, for at least $300,000 in damages for alleged fraud and breach of trust in connection with their business partnership they set up in June of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Moe Somani is suing Layla Jilani in Vancouver Supreme Court for his share of the business they jointly organized and operated since June 2012. Prior to Somani going into partnership, Jilani was stuck in a basement suite, going through therapy. As a good friend Somani offered to help Jilani, giving her an opportunity of partnership in a business concept of a massage therapy centre which he had developed, and planned to open on his own merit.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with a vast knowledge of local and international businesses helped Jilani go into business, who had no prior business education or experience.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court documents, Jilani misrepresented the amount of income generated from the business, indicating the business was not making any money. Jilani perpetrated acts of deception for her own personal 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suit, Somani created and developed the business Wellness Massage Therapy Centre, and gave Jilani the opportunity to earn a decent livelihood. In return, Jilani caused him to [lose??] "hundreds of thousands of dollars in actual and expected revenue generated from the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suit seeks over $300,000 in compensation for lost revenues. Jilani has withdrawn all funds generated from the business, and deposited undisclosed monies into her own personal bank account, embezzled funds for a down payment of $40,000 on her home within six months after opening the business. </w:t>
      </w:r>
      <w:r>
        <w:rPr>
          <w:rFonts w:ascii="arial" w:eastAsia="arial" w:hAnsi="arial" w:cs="arial"/>
          <w:i/>
          <w:color w:val="000000"/>
          <w:sz w:val="20"/>
          <w:lang w:val="en-US" w:eastAsia="en-US" w:bidi="ar-SA"/>
        </w:rPr>
        <w:t>Somani's lawyer said that he will be asking for much more in punitive damages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and Jilani were equal shareholders and directors in an incorporation company they set up in December of 2014. Jilani field a change of directors without Somani's knowledge or consent while he was out of the country.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said Friday, he hadn't received any cooperation from Jilani, attempted to resolve issue through arbitration. Jilani told arbitration representatives, Somani was merely helping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said "The allegations made by Jilani, are laughable, and are completely unfounded, I have been managing and operating Wellness Massage Therapy for almost three years now, not just helping out, unless of course Jilani believed she was providing sexual favors for hundreds of thousands of dollars" Laughing.. "she would not qualify for such, even if I were desperate, it's not as though the opportunity was not consistent over the years" he added, I've had many girlfriends during the course my business [sic], before declining to comment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Jilani has not filed a response to the lawsuit, fraudulently transferred domain names registered in Somani's United Kingdom company, engaging in scheming methods of social engineering, obtained confidential information, deceived and tricked Go Daddy Domain agents. Jilani colluded to obtain Somani's secret password, logged into his account then transferred 9 business domains to her own personal name. Jilani also purported the change of directors as legitimate, back dated change of directors, removed Somani as director of the company without Somani's knowledge and consent.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Somani, said he first met Jilani 3 years ago, when in desperation and needed help, separated from her estranged husband Imran Lakhani, whom Jilani claimed was mentally, emotionally, and sexually abusive, but still in love with her. According to court documents Lakhani refused to give her a divorce </w:t>
      </w:r>
      <w:r>
        <w:rPr>
          <w:rFonts w:ascii="arial" w:eastAsia="arial" w:hAnsi="arial" w:cs="arial"/>
          <w:i/>
          <w:color w:val="000000"/>
          <w:sz w:val="20"/>
          <w:lang w:val="en-US" w:eastAsia="en-US" w:bidi="ar-SA"/>
        </w:rPr>
        <w:t>according to ...allegations filed in domestic disputes against</w:t>
      </w:r>
      <w:r>
        <w:rPr>
          <w:rFonts w:ascii="arial" w:eastAsia="arial" w:hAnsi="arial" w:cs="arial"/>
          <w:color w:val="000000"/>
          <w:sz w:val="20"/>
          <w:lang w:val="en-US" w:eastAsia="en-US" w:bidi="ar-SA"/>
        </w:rPr>
        <w:t xml:space="preserve"> Imran </w:t>
      </w:r>
      <w:r>
        <w:rPr>
          <w:rFonts w:ascii="arial" w:eastAsia="arial" w:hAnsi="arial" w:cs="arial"/>
          <w:i/>
          <w:color w:val="000000"/>
          <w:sz w:val="20"/>
          <w:lang w:val="en-US" w:eastAsia="en-US" w:bidi="ar-SA"/>
        </w:rPr>
        <w:t>Lakhani by Jilani in June 2013</w:t>
      </w:r>
      <w:r>
        <w:rPr>
          <w:rFonts w:ascii="arial" w:eastAsia="arial" w:hAnsi="arial" w:cs="arial"/>
          <w:color w:val="000000"/>
          <w:sz w:val="20"/>
          <w:lang w:val="en-US" w:eastAsia="en-US" w:bidi="ar-SA"/>
        </w:rPr>
        <w:t xml:space="preserve">. Jilani had filed numerous complaints against Lakhani in June 2013. Somani and Jilani became close friends, Somani helped Jilani with her divorce, remained friends after Somani got married. </w:t>
      </w:r>
      <w:r>
        <w:rPr>
          <w:rFonts w:ascii="arial" w:eastAsia="arial" w:hAnsi="arial" w:cs="arial"/>
          <w:i/>
          <w:color w:val="000000"/>
          <w:sz w:val="20"/>
          <w:lang w:val="en-US" w:eastAsia="en-US" w:bidi="ar-SA"/>
        </w:rPr>
        <w:t>Jilani fraudulently took steps to prevent Somani to his rightful ownership of the business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said that Jilani started to become "frustrated" in late January after returning from his overseas trip. Somani impugned Jilani's character, after requesting the company's books and records, upon discovering Jilani had embezzled cash from the business on a daily basis in an attempt to minimize the risk of detection.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added, I have endured "one big lie" for two and a half years until I discovered that Jilani had uncovered this massive fraud against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Jilani's actions were deliberate and sustained with an </w:t>
      </w:r>
      <w:r>
        <w:rPr>
          <w:rFonts w:ascii="arial" w:eastAsia="arial" w:hAnsi="arial" w:cs="arial"/>
          <w:i/>
          <w:color w:val="000000"/>
          <w:sz w:val="20"/>
          <w:lang w:val="en-US" w:eastAsia="en-US" w:bidi="ar-SA"/>
        </w:rPr>
        <w:t>criminal</w:t>
      </w:r>
      <w:r>
        <w:rPr>
          <w:rFonts w:ascii="arial" w:eastAsia="arial" w:hAnsi="arial" w:cs="arial"/>
          <w:color w:val="000000"/>
          <w:sz w:val="20"/>
          <w:lang w:val="en-US" w:eastAsia="en-US" w:bidi="ar-SA"/>
        </w:rPr>
        <w:t xml:space="preserve"> intent to deprive him rightful ownership of business interest and ownership of Wellness Massage Therapy Centre. Somani has a 50-percent stake in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 sued Jilani personally for breach of fiduciary duty after discovering Jilani had been misrepresenting the amount of money the business generated. According to Black's Law Dictionary, this is "a relationship in which one person is under a duty to act for the benefit of another on matters within the scope of the relationship." As a general rule, taking money belonging to the business and using it for yourself goes beyond the scope of proper conduct for a business partner.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investigation successfully dismantled a fraud scheme which had victimized Somani," said RCMP investigators still working on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Somani's lawyer said that he will be asked for much more in punitive damages, Jilani violated Somani's trust, and it certainly wouldn't take a rock scientist to figure Jilani's scheme was carefully planned and deliberate.</w:t>
      </w:r>
    </w:p>
    <w:p>
      <w:pPr>
        <w:spacing w:after="240"/>
        <w:rPr>
          <w:rFonts w:ascii="arial" w:eastAsia="arial" w:hAnsi="arial" w:cs="arial"/>
          <w:sz w:val="20"/>
          <w:lang w:val="en-US" w:eastAsia="en-US" w:bidi="ar-SA"/>
        </w:rPr>
      </w:pPr>
      <w:r>
        <w:pict>
          <v:line id="_x0000_s1048" style="position:absolute;z-index:25186508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39"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39"/>
      <w:r>
        <w:rPr>
          <w:rFonts w:ascii="arial" w:eastAsia="arial" w:hAnsi="arial" w:cs="arial"/>
          <w:sz w:val="20"/>
          <w:lang w:val="en-US" w:eastAsia="en-US" w:bidi="ar-SA"/>
        </w:rPr>
        <w:tab/>
      </w:r>
      <w:r>
        <w:rPr>
          <w:rFonts w:ascii="arial" w:eastAsia="arial" w:hAnsi="arial" w:cs="arial"/>
          <w:color w:val="6D6E71"/>
          <w:sz w:val="18"/>
          <w:lang w:val="en-US" w:eastAsia="en-US" w:bidi="ar-SA"/>
        </w:rPr>
        <w:t>On February 1, 2016, Meldon Ellis filed a notice of appointment showing he was the lawyer appointed in place of Mr. Somani acting for himself and Mr. Ellis's address was 4023 Hastings Street, Burnaby.</w:t>
      </w:r>
    </w:p>
    <w:p>
      <w:pPr>
        <w:spacing w:before="120" w:after="20" w:line="240" w:lineRule="atLeast"/>
        <w:ind w:left="720" w:hanging="360"/>
        <w:jc w:val="both"/>
        <w:rPr>
          <w:rFonts w:ascii="arial" w:eastAsia="arial" w:hAnsi="arial" w:cs="arial"/>
          <w:sz w:val="20"/>
          <w:lang w:val="en-US" w:eastAsia="en-US" w:bidi="ar-SA"/>
        </w:rPr>
      </w:pPr>
      <w:bookmarkStart w:id="40"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40"/>
      <w:r>
        <w:rPr>
          <w:rFonts w:ascii="arial" w:eastAsia="arial" w:hAnsi="arial" w:cs="arial"/>
          <w:sz w:val="20"/>
          <w:lang w:val="en-US" w:eastAsia="en-US" w:bidi="ar-SA"/>
        </w:rPr>
        <w:tab/>
      </w:r>
      <w:r>
        <w:rPr>
          <w:rFonts w:ascii="arial" w:eastAsia="arial" w:hAnsi="arial" w:cs="arial"/>
          <w:color w:val="6D6E71"/>
          <w:sz w:val="18"/>
          <w:lang w:val="en-US" w:eastAsia="en-US" w:bidi="ar-SA"/>
        </w:rPr>
        <w:t>Repetition of subparagraph identifiers "i" and "j" is in the original.</w:t>
      </w:r>
    </w:p>
    <w:p>
      <w:pPr>
        <w:spacing w:before="120" w:after="20" w:line="240" w:lineRule="atLeast"/>
        <w:ind w:left="720" w:hanging="360"/>
        <w:jc w:val="both"/>
        <w:rPr>
          <w:rFonts w:ascii="arial" w:eastAsia="arial" w:hAnsi="arial" w:cs="arial"/>
          <w:sz w:val="20"/>
          <w:lang w:val="en-US" w:eastAsia="en-US" w:bidi="ar-SA"/>
        </w:rPr>
      </w:pPr>
      <w:bookmarkStart w:id="41"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41"/>
      <w:r>
        <w:rPr>
          <w:rFonts w:ascii="arial" w:eastAsia="arial" w:hAnsi="arial" w:cs="arial"/>
          <w:sz w:val="20"/>
          <w:lang w:val="en-US" w:eastAsia="en-US" w:bidi="ar-SA"/>
        </w:rPr>
        <w:tab/>
      </w:r>
      <w:r>
        <w:rPr>
          <w:rFonts w:ascii="arial" w:eastAsia="arial" w:hAnsi="arial" w:cs="arial"/>
          <w:color w:val="6D6E71"/>
          <w:sz w:val="18"/>
          <w:lang w:val="en-US" w:eastAsia="en-US" w:bidi="ar-SA"/>
        </w:rPr>
        <w:t>She goes further in her counterclaim by pleading that he removed and altered the documents in order to pass them off as representing the records of a competing spa, which he opened in his wife's name. This aspect of the counterclaim is discussed below at paras. 287 - 291.</w:t>
      </w:r>
    </w:p>
    <w:p>
      <w:pPr>
        <w:spacing w:before="120" w:after="20" w:line="240" w:lineRule="atLeast"/>
        <w:ind w:left="720" w:hanging="360"/>
        <w:jc w:val="both"/>
        <w:rPr>
          <w:rFonts w:ascii="arial" w:eastAsia="arial" w:hAnsi="arial" w:cs="arial"/>
          <w:sz w:val="20"/>
          <w:lang w:val="en-US" w:eastAsia="en-US" w:bidi="ar-SA"/>
        </w:rPr>
      </w:pPr>
      <w:bookmarkStart w:id="42"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42"/>
      <w:r>
        <w:rPr>
          <w:rFonts w:ascii="arial" w:eastAsia="arial" w:hAnsi="arial" w:cs="arial"/>
          <w:sz w:val="20"/>
          <w:lang w:val="en-US" w:eastAsia="en-US" w:bidi="ar-SA"/>
        </w:rPr>
        <w:tab/>
      </w:r>
      <w:r>
        <w:rPr>
          <w:rFonts w:ascii="arial" w:eastAsia="arial" w:hAnsi="arial" w:cs="arial"/>
          <w:color w:val="6D6E71"/>
          <w:sz w:val="18"/>
          <w:lang w:val="en-US" w:eastAsia="en-US" w:bidi="ar-SA"/>
        </w:rPr>
        <w:t>The defamatory statements impute wrongful, fraudulent and criminal conduct onto Ms. Jilani, including dishonest business practices, wrongfully removing Mr. Somani as a director of the business, using confidential information to transfer his website domains into her own name, enacting a scheme against Mr. Somani to remove him as a business partner, depriving him of his interest in the business revenue, embezzlement, misrepresentation and misappropriation of business funds for personal use and gain.</w:t>
      </w:r>
    </w:p>
    <w:p>
      <w:pPr>
        <w:spacing w:before="120" w:after="20" w:line="240" w:lineRule="atLeast"/>
        <w:ind w:left="720" w:hanging="360"/>
        <w:jc w:val="both"/>
        <w:rPr>
          <w:rFonts w:ascii="arial" w:eastAsia="arial" w:hAnsi="arial" w:cs="arial"/>
          <w:sz w:val="20"/>
          <w:lang w:val="en-US" w:eastAsia="en-US" w:bidi="ar-SA"/>
        </w:rPr>
      </w:pPr>
      <w:bookmarkStart w:id="43"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43"/>
      <w:r>
        <w:rPr>
          <w:rFonts w:ascii="arial" w:eastAsia="arial" w:hAnsi="arial" w:cs="arial"/>
          <w:sz w:val="20"/>
          <w:lang w:val="en-US" w:eastAsia="en-US" w:bidi="ar-SA"/>
        </w:rPr>
        <w:tab/>
      </w:r>
      <w:r>
        <w:rPr>
          <w:rFonts w:ascii="arial" w:eastAsia="arial" w:hAnsi="arial" w:cs="arial"/>
          <w:color w:val="6D6E71"/>
          <w:sz w:val="18"/>
          <w:lang w:val="en-US" w:eastAsia="en-US" w:bidi="ar-SA"/>
        </w:rPr>
        <w:t>There was no dispute Salima Thawer is the maiden name of Mr. Somani's wife. He also confirmed that he helped his wife set up that business with that name at that location.</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900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Szocik v. England and Wales (Attorney General), [2012] B.C.J. No. 2062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S118619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2062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1480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Boleslaw Tadeusz Szocik, Plaintiff, and Attorney General of England and Wales,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4"/>
      <w:bookmarkEnd w:id="44"/>
      <w:r>
        <w:rPr>
          <w:rFonts w:ascii="arial" w:eastAsia="arial" w:hAnsi="arial" w:cs="arial"/>
          <w:b/>
          <w:color w:val="000000"/>
          <w:sz w:val="20"/>
          <w:lang w:val="en-US" w:eastAsia="en-US" w:bidi="ar-SA"/>
        </w:rPr>
        <w:t>Civil litigation — Civil procedure — Disposition without trial — Dismissal of action — Lack of jurisdiction — Courts — Jurisdiction — Provincial and territorial courts — Superior courts — Trial courts — Statutory jurisdiction — Application by defendant for dismissal of plaintiff's action allowed — Plaintiff was resident of United Kingdom — He commenced action against Attorney General of England and Wales alleging that UK secret service agents harassed him in British Columbia through electronic devices that allowed them to speak directly into his brain — Defendant was immune from jurisdiction of court pursuant to State Immunity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Conflict of laws — Jurisdiction — International issues (with foreign state or territory) — Exclusion of — Application by defendant for dismissal of plaintiff's action allowed — Plaintiff was resident of United Kingdom — He commenced action against Attorney General of England and Wales alleging that UK secret service agents harassed him in British Columbia through electronic devices that allowed them to speak directly into his brain — Defendant was immune from jurisdiction of court pursuant to State Immunity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Conflict of laws — Proceedings — Practice and procedure — Courts — Jurisdiction of courts — Application by defendant for dismissal of plaintiff's action allowed — Plaintiff was resident of United Kingdom — He commenced action against Attorney General of England and Wales alleging that UK secret service agents harassed him in British Columbia through electronic devices that allowed them to speak directly into his brain — Defendant was immune from jurisdiction of court pursuant to State Immunity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4"/>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dismissal of the plaintiff's action. The plaintiff was a resident of the United Kingdom. He commenced an action against the Attorney General of England and Wales alleging that UK secret service agents harassed him in British Columbia through electronic devices that allowed them to speak directly into his brain. He sought damages based on assault, intentional infliction of nervous shock and breaches of the Privacy Act. The defendant sought to dismiss the action on the basis that the court had no jurisdiction with respect to the allegations.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4"/>
            <w:bookmarkEnd w:id="4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immune from the jurisdiction of the court pursuant to the State Immunity Act. It was clear from the plaintiff's pleadings that the alleged injury was a psychological or mental one. Although the pleadings also asserted a "physical injury", no particulars were provided. There was no allegation of a physical breach of the plaintiff's personal integrity to which any psychological or mental injury might be linked. The court was not to consider whether the allegations were capable of proof or the merits of the proposed causes of action in assessing whether it had jurisdiction.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3"/>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1"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Civil Code of QuÚbec, S.Q. 1991, c.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Proceedings Act 1947, 1947 (UK), 10 &amp; 11 Geo VI, c. 44, s. 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170" w:history="1">
        <w:r>
          <w:rPr>
            <w:rFonts w:ascii="arial" w:eastAsia="arial" w:hAnsi="arial" w:cs="arial"/>
            <w:i/>
            <w:color w:val="0077CC"/>
            <w:sz w:val="20"/>
            <w:u w:val="single"/>
            <w:shd w:val="clear" w:color="auto" w:fill="FFFFFF"/>
            <w:lang w:val="en-US" w:eastAsia="en-US" w:bidi="ar-SA"/>
          </w:rPr>
          <w:t>SBC 2003, CHAPTER 28, s. 3</w:t>
        </w:r>
      </w:hyperlink>
      <w:r>
        <w:rPr>
          <w:rFonts w:ascii="arial" w:eastAsia="arial" w:hAnsi="arial" w:cs="arial"/>
          <w:color w:val="000000"/>
          <w:sz w:val="20"/>
          <w:lang w:val="en-US" w:eastAsia="en-US" w:bidi="ar-SA"/>
        </w:rPr>
        <w:t>, s. 3(e), s. 10, s. 10(g)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171" w:history="1">
        <w:r>
          <w:rPr>
            <w:rFonts w:ascii="arial" w:eastAsia="arial" w:hAnsi="arial" w:cs="arial"/>
            <w:i/>
            <w:color w:val="0077CC"/>
            <w:sz w:val="20"/>
            <w:u w:val="single"/>
            <w:shd w:val="clear" w:color="auto" w:fill="FFFFFF"/>
            <w:lang w:val="en-US" w:eastAsia="en-US" w:bidi="ar-SA"/>
          </w:rPr>
          <w:t>RSBC 1996, CHAPTER 373, s. 1</w:t>
        </w:r>
      </w:hyperlink>
      <w:r>
        <w:rPr>
          <w:rFonts w:ascii="arial" w:eastAsia="arial" w:hAnsi="arial" w:cs="arial"/>
          <w:color w:val="000000"/>
          <w:sz w:val="20"/>
          <w:lang w:val="en-US" w:eastAsia="en-US" w:bidi="ar-SA"/>
        </w:rPr>
        <w:t>(1), 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(old), Rule 19(24), Rule 19(24)(a), Rule 19(24)(b)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State Immunity Act, </w:t>
      </w:r>
      <w:hyperlink r:id="rId172" w:history="1">
        <w:r>
          <w:rPr>
            <w:rFonts w:ascii="arial" w:eastAsia="arial" w:hAnsi="arial" w:cs="arial"/>
            <w:i/>
            <w:color w:val="0077CC"/>
            <w:sz w:val="20"/>
            <w:u w:val="single"/>
            <w:shd w:val="clear" w:color="auto" w:fill="FFFFFF"/>
            <w:lang w:val="en-US" w:eastAsia="en-US" w:bidi="ar-SA"/>
          </w:rPr>
          <w:t>R.S.C. 1985, c. S-18, s. 2</w:t>
        </w:r>
      </w:hyperlink>
      <w:r>
        <w:rPr>
          <w:rFonts w:ascii="arial" w:eastAsia="arial" w:hAnsi="arial" w:cs="arial"/>
          <w:color w:val="000000"/>
          <w:sz w:val="20"/>
          <w:lang w:val="en-US" w:eastAsia="en-US" w:bidi="ar-SA"/>
        </w:rPr>
        <w:t>, s. 3(1), ss. 4-8, s. 4(2)(c), s. 4(3)(a), s. 6, s. 6(a)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4-5, Rule 4-5(2), Rule 9-5(1), Rule 9-5(1)(a), Rule 9-6, Rule 9-7, Rule 21-8, Rule 21-8(1)(a)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4"/>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2"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Menkes.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E. Allard.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4"/>
      <w:bookmarkEnd w:id="49"/>
      <w:r>
        <w:pict>
          <v:line id="_x0000_s1053"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S.C. FITZPATRICK J."/>
            <w:bookmarkEnd w:id="50"/>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Boleslaw Taduesz Szocik, is a resident of London, England.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December 16, 2011, Mr. Szocik commenced this action against "The Attorney General of The United Kingdom".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 am advised that the defendant is the chief legal advisor to the government of the United Kingdom and is a Minister of the Crown with responsibility for superintending the prosecuting authorities within England and Wales. Accordingly, Mr. Szocik brings this claim against the defendant pursuant to s. 17(3) of the United Kingdom's </w:t>
      </w:r>
      <w:r>
        <w:rPr>
          <w:rFonts w:ascii="arial" w:eastAsia="arial" w:hAnsi="arial" w:cs="arial"/>
          <w:i/>
          <w:color w:val="000000"/>
          <w:sz w:val="20"/>
          <w:lang w:val="en-US" w:eastAsia="en-US" w:bidi="ar-SA"/>
        </w:rPr>
        <w:t>Crown Proceedings Act 1947</w:t>
      </w:r>
      <w:r>
        <w:rPr>
          <w:rFonts w:ascii="arial" w:eastAsia="arial" w:hAnsi="arial" w:cs="arial"/>
          <w:color w:val="000000"/>
          <w:sz w:val="20"/>
          <w:lang w:val="en-US" w:eastAsia="en-US" w:bidi="ar-SA"/>
        </w:rPr>
        <w:t>, 1947 (UK), 10 &amp; 11 Geo VI, c. 44, which provides that civil proceedings against the Crown shall be instituted against the appropriate authorized government department, or, if none of the authorized government departments is appropriate or the person instituting the proceedings has any reasonable doubt whether any and if so which of those departments is appropriate, against the Attorney General of England and Wales.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Following the hearing of this application, and based on the submissions of the defendant, Mr. Szocik acknowledged that he had not properly named the defendant. Accordingly, at the hearing of this application on July 17, 2012, I granted an order to amend the style of cause to identify "Attorney General of England and Wales" as the proper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Szocik advances a number of causes of action against the defendant. In essence, he alleges that secret service agents of the United Kingdom have been engaged in a harassment campaign against him and that in particular, those agents have acted in a fashion to harass him here in the province of British Columbia by means of electronic devices that allowed them to speak directly into his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brings this application to dismiss the action on the basis that this court has no jurisdiction with respect to the allegations advanced against it by Mr. Szocik.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Szocik filed his original notice of civil claim on December 16, 2011. His allegations concern what he describes as the "Security Service of the United Kingdom" ("SSUK"), which he further describes as an agency of the British government responsible for countering threats to British national security. Mr. Szocik alleges that since June 1990, the SSUK has been stalking him in the United Kingdom and other countries, interfering with his brain activity and communicating with him through what he calls "'voice to skull' mindcontrol".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Specifically, Mr. Szocik says that this harassment and public stalking occurred from August 2009 to January 2010 while he resided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this application was brought, Mr. Szocik, while still acting on his own behalf, conceded that there were "difficulties" with his action beyond the fact that he had incorrectly described the name of the defendant. Accordingly, in response to this application, he sought leave to make certain amendments to his notice of civil claim. Firstly, he revised his claim to delete the reference to alleged stalking activities outside of British Columbia. Secondly, he deleted the reference to "mindcontrol" and allegations that an SSUK agent spoke to him "mind to mind", but in its place made reference to the communications or harassment by the SSUK being accomplished through means of "electronic devices". He stated in his affidavit that he thought this better described the means of communication to him by the SSUK agents. In addition, he indicated in his evidence that he incorrectly assumed that "mindcontrol" was a term within the common vocabulary to describe certain electronic forms of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Mr. Szocik, who was retained for the purposes of this application and perhaps the action generally, was unable to clarify exactly what was meant by communications through an "electronic device" and could not say whether, in fact, this claim differed materially from the original allegations concerning "'voice to skull' mindcontrol" and the "mind to mind"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Despite Mr. Szocik's attempt to clarify matters through his proposed amendments, it is apparent to me that the substance of his claim remains the same. That is, that the SSUK agents, as will be described in more detail below, are harassing him through indirect means whereby they access his thoughts and feelings and communicate to him through "electronic devices" without speaking directly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Later still, at the hearing of the application, and in response to the submissions of the defendant, Mr. Szocik through his counsel proposed further amendments to clarify his allegations. Various claims which clearly had no chance of success were deleted. The newly proposed amendments are attached as Appendix B to the requisition filed July 25, 2012 (the "Revised Claim"). For the sake of efficiency, I propose to deal only with these further proposed amendments as set out in the Revised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takes the position that Mr. Szocik's further proposed amendments fail to meet the jurisdictional arguments advanced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would summarize Mr. Szocik's allegations in the Revised Claim as follows:</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 Mr Szocik alleges that, commencing in 1990, the SSUK engaged in a process and scheme of direct and indirect harassment of him including but not limited to verbal and non-verbal threats and intimidation tactics which continued while Mr. Szocik was living in British Columbia;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4: Mr. Szocik says that SSUK agents subjected him to harassment and surveillance while he resided in British Columbia between August 26, 2009 and January 29, 2010. He alleges that, in order to obtain information from him and to facilitate the harassment, an American agent of the SSUK "made efforts to be kind and courteous" to him and in late December 2009, this agent left and wished him "good luck";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5: Mr. Szocik alleges that the SSUK agents conducted organized public stalking of him in British Columbia, as follows: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24, 2009, an SSUK agent on Granville Street repeatedly shouted "I hate you" at no one in particular while laughing. Mr. Szocik alleges this was directed at him and was done to manipulate him into "hating" the person who was with him at a café;</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19, 2009, two women (both SSUK agents) at a Best Buy store in Vancouver were talking to each other and one of them repeated the word "bitch" to the other. Mr. Szocik alleges that the comment was directed at his companion and that the SSUK agents were trying to prise him away from that companion by slandering her;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29, 2010, at a Vancouver airport restaurant, an SSUK agent communicated to Mr. Szocik, saying the word "small" and talking about "drunk and depressed" passengers, which he took as references to him. Mr. Szocik says that he was depressed in Vancouver and that there was prior harassment of him by the SSUK agents, who had repeatedly accused him of being a "drunk";</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6: Mr. Szocik alleges that on October 25, 2009, while at a Victoria restaurant, an SSUK agent communicated with him through an "electronic device". He says the agent admitted "I'm a shit" and said "I take them to a burger joint and I cut their balls off". Mr. Szocik alleges that this conduct was calculated to threaten and intimidate him, and induced him to leave the restaurant out of fear. Later on the same date, at an internet café in Victoria, Mr. Szocik alleges that a different SSUK agent was talking about him into his cell phone. This person then started communicating to Mr. Szocik, who was seated a few yards away, "through an electronic device" by saying "you should see what they do to other people". Mr. Szocik says that he responded that he would take a picture of the agent and that the agent answered "they'll kill you" if he did so;</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7: Mr. Szocik alleges that on November 4, 2009, an SSUK agent started talking to him conversationally "through the use of electronic device". Mr. Szocik says that by this communication, the agent was harassing him by reading his thoughts and repeating certain matters that he himself could not recall, specifically, the attributes of an HTML frame tag.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Szocik summarizes his claims against the defendant and what he says is the result of the harassment scheme conducted by the defendant: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agency and their individual agents have continuously engaged in a scheme to use electronic devices to directly assault the mind and body of the Plaintiff and harass the Plaintiff from nearby locations. All of the conduct alleged is a violation of the Plaintiff's right of privacy, and amounts to assault, committed against the Plaintiff. All of such activity, and all activity alleged in this Notice of Civil Claim occurred within the Province of British Columbia and was calculated by the Defendant to cause the Plaintiff significant psychological injury.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continued tortious conduct of the Defendant as alleged in this Notice of Civil Claim, the Plaintiff has suffered physical injury, causing or alternatively aggravating pre-existing illness and conditions including but not limited to anxiety disorder, clinical depression, obsessive compulsive disorder, post-traumatic stress disorder, and any other physical injury or illness or condition as the Plaintiff may advise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Mr. Szocik seeks general, aggravated and pecuniary damages as well as punitive damages, all based on the torts of assault, intentional infliction of nervous shock and finally, breaches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Jurisdictional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advances a number of arguments as to why the Court should dismiss Mr. Szocik's claim:</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defendant is immune from the jurisdiction of this Court by reason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R.S.C. 1985, c. S-18</w:t>
        </w:r>
      </w:hyperlink>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these are irrational allegations that are incapable of proof and which should be dismissed pursuant to R. 21-8(1)(a)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there is no basis for the Court to take jurisdiction of this claim pursuant to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will address these arguments in that order.</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State Immunity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Pursuant to s. 3(1)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a foreign state is immune from the jurisdiction of any court in Canada except as provided in that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"Foreign state" is defined in s. 2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to include:</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sovereign or other head of the foreign state or of any political subdivision of the foreign state while acting as such in a public capacity,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government of the foreign state, including any political subdivision of the foreign state, including any of its departments, and any agency of the foreign state,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political subdivision of the foreign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is no contest in this case that as the Attorney General of England and Wales is a Minister of the Crown and part of the government of the United Kingdom, it is the head of a political subdivision of the United Kingdom and therefore falls within the definition of "foreign state" set out in s. 2 of the </w:t>
      </w:r>
      <w:r>
        <w:rPr>
          <w:rFonts w:ascii="arial" w:eastAsia="arial" w:hAnsi="arial" w:cs="arial"/>
          <w:i/>
          <w:color w:val="000000"/>
          <w:sz w:val="20"/>
          <w:lang w:val="en-US" w:eastAsia="en-US" w:bidi="ar-SA"/>
        </w:rPr>
        <w:t>State Immunity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Sections 4 to 8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set out the exceptions where state immunity will not apply. Pursuant to s. 4(2)(c)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a foreign state is not immune to the jurisdiction of the court if the state intervenes or takes any step in the proceedings before the court. This will not apply, however, if such steps are taken for the purpose of claiming immunity: s. 4(3)(a).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this case, the defendant has filed a jurisdictional response in this proceeding and brings this application to claim immunity from the jurisdiction of this Court. Accordingly, s. 4(2)(c)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more relevant provision by which the defendant may not possibly claim state immunity is found in s. 6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foreign state is not immune from the jurisdiction of a court in any proceedings that relate to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death or personal or bodily injury,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damage to or loss of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occurs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Prior to June 2001, s. 6(a)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referred to "personal injury" as opposed to "personal or 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Although there has been little judicial discussion of the meaning of the phrases "personal injury" and "personal or bodily injury" as found in s. 6(a)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most of it has come from very high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United States of America v. Friedland</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(1999), 46 O.R. (3d) 321</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182 D.L.R. (4th) 614</w:t>
        </w:r>
      </w:hyperlink>
      <w:r>
        <w:rPr>
          <w:rFonts w:ascii="arial" w:eastAsia="arial" w:hAnsi="arial" w:cs="arial"/>
          <w:color w:val="000000"/>
          <w:sz w:val="20"/>
          <w:lang w:val="en-US" w:eastAsia="en-US" w:bidi="ar-SA"/>
        </w:rPr>
        <w:t xml:space="preserve"> (C.A.), the United States government, through the Environmental Protection Agency ("EPA"), obtained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Mareva injunction from the Ontario court preventing Mr. Friedland from disposing of certain shares. Mr. Friedland filed a statement of defence and counterclaim seeking damages against the EPA for conspiracy, abuse of process, libel, breaches of disclosure duties, loss of business opportunity and damage to reputation. He claimed injury, loss and damage, including loss of use of the shares, damage to his business reputation and loss of economic opportunities. He also claimed damages for emotional upset and personal embarrassment.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Mr. Friedland argued that the EPA was not immune from the jurisdiction of the Ontario court with respect to his claims for emotional upset and personal embarrassment based on s. 6(a)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The Ontario Court of Appeal rejected that position, finding that "personal injury" (the previous wording of that subsection) referred primarily to physical injury and that claims of distress and emotional upset were included only insofar as the latter claims arose from or were linked to a physical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Addressing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counsel for Friedland argued that "personal injury" includes mental distress and emotional upset, and relied upon this court's decision in </w:t>
      </w:r>
      <w:r>
        <w:rPr>
          <w:rFonts w:ascii="arial" w:eastAsia="arial" w:hAnsi="arial" w:cs="arial"/>
          <w:i/>
          <w:color w:val="000000"/>
          <w:sz w:val="20"/>
          <w:lang w:val="en-US" w:eastAsia="en-US" w:bidi="ar-SA"/>
        </w:rPr>
        <w:t>Walker v. Bank of New York</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(1994), 16 O.R. (3d) 504</w:t>
        </w:r>
      </w:hyperlink>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111 D.L.R. (4th) 186</w:t>
        </w:r>
      </w:hyperlink>
      <w:r>
        <w:rPr>
          <w:rFonts w:ascii="arial" w:eastAsia="arial" w:hAnsi="arial" w:cs="arial"/>
          <w:color w:val="000000"/>
          <w:sz w:val="20"/>
          <w:lang w:val="en-US" w:eastAsia="en-US" w:bidi="ar-SA"/>
        </w:rPr>
        <w:t xml:space="preserve">. He further relied upon </w:t>
      </w:r>
      <w:r>
        <w:rPr>
          <w:rFonts w:ascii="arial" w:eastAsia="arial" w:hAnsi="arial" w:cs="arial"/>
          <w:i/>
          <w:color w:val="000000"/>
          <w:sz w:val="20"/>
          <w:lang w:val="en-US" w:eastAsia="en-US" w:bidi="ar-SA"/>
        </w:rPr>
        <w:t>University of Calgary v. Colorado School of Mines</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[1996] 2 W.W.R. 596</w:t>
        </w:r>
      </w:hyperlink>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35 Alta. L.R. (3d) 199</w:t>
        </w:r>
      </w:hyperlink>
      <w:r>
        <w:rPr>
          <w:rFonts w:ascii="arial" w:eastAsia="arial" w:hAnsi="arial" w:cs="arial"/>
          <w:color w:val="000000"/>
          <w:sz w:val="20"/>
          <w:lang w:val="en-US" w:eastAsia="en-US" w:bidi="ar-SA"/>
        </w:rPr>
        <w:t xml:space="preserve"> (Q.B.) for the proposition that an action for defamation is an action for personal injury within the meaning of s.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In our view,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does not assist Friedland. The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statement of McKinlay J.A.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at p. 510, that "the scope of personal injury covered by s. 6 ... could include mental distress, emotional upset, and restriction of liberty" does not mean that s. 6 extends to mental distress or emotional upset in all cases. Otherwise, a party could invoke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merely by claiming damages for alleged mental distress or emotional upset, an interpretation that would expand the exception far beyond its intended scope and render the doctrine of sovereign immunity ineffective. We agree with counsel for the appellants that </w:t>
      </w:r>
      <w:r>
        <w:rPr>
          <w:rFonts w:ascii="arial" w:eastAsia="arial" w:hAnsi="arial" w:cs="arial"/>
          <w:color w:val="000000"/>
          <w:sz w:val="20"/>
          <w:u w:val="single"/>
          <w:lang w:val="en-US" w:eastAsia="en-US" w:bidi="ar-SA"/>
        </w:rPr>
        <w:t>the "personal injury" exception refers primarily to physical injury and that s. 6(</w:t>
      </w:r>
      <w:r>
        <w:rPr>
          <w:rFonts w:ascii="arial" w:eastAsia="arial" w:hAnsi="arial" w:cs="arial"/>
          <w:i/>
          <w:color w:val="000000"/>
          <w:sz w:val="20"/>
          <w:u w:val="single"/>
          <w:lang w:val="en-US" w:eastAsia="en-US" w:bidi="ar-SA"/>
        </w:rPr>
        <w:t>a</w:t>
      </w:r>
      <w:r>
        <w:rPr>
          <w:rFonts w:ascii="arial" w:eastAsia="arial" w:hAnsi="arial" w:cs="arial"/>
          <w:color w:val="000000"/>
          <w:sz w:val="20"/>
          <w:u w:val="single"/>
          <w:lang w:val="en-US" w:eastAsia="en-US" w:bidi="ar-SA"/>
        </w:rPr>
        <w:t>) extends to mental distress and emotional upset only in so far as such harm arises from or is linked to a physical injury.</w:t>
      </w:r>
      <w:r>
        <w:rPr>
          <w:rFonts w:ascii="arial" w:eastAsia="arial" w:hAnsi="arial" w:cs="arial"/>
          <w:color w:val="000000"/>
          <w:sz w:val="20"/>
          <w:lang w:val="en-US" w:eastAsia="en-US" w:bidi="ar-SA"/>
        </w:rPr>
        <w:t xml:space="preserve"> This interpretation is consistent with the generally accepted international understanding of the "personal injury" exception to sovereign immunity.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Greco v. Holy See (State of Vatican City)</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[2000] O.J. No. 5293</w:t>
        </w:r>
      </w:hyperlink>
      <w:r>
        <w:rPr>
          <w:rFonts w:ascii="arial" w:eastAsia="arial" w:hAnsi="arial" w:cs="arial"/>
          <w:color w:val="000000"/>
          <w:sz w:val="20"/>
          <w:lang w:val="en-US" w:eastAsia="en-US" w:bidi="ar-SA"/>
        </w:rPr>
        <w:t xml:space="preserve"> (S.C.J.), the Court addressed claims for breach of fiduciary duty, assault, battery, intentional infliction of mental suffering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an employment relationship. The plaintiff alleged that she suffered injuries, being a deterioration of her "physical and mental health", and in particular, that she became "depressed, fearful for her safety, security and life and suffered from severe feeling of isolation, terror and profound despair". The Court, applying </w:t>
      </w:r>
      <w:r>
        <w:rPr>
          <w:rFonts w:ascii="arial" w:eastAsia="arial" w:hAnsi="arial" w:cs="arial"/>
          <w:i/>
          <w:color w:val="000000"/>
          <w:sz w:val="20"/>
          <w:lang w:val="en-US" w:eastAsia="en-US" w:bidi="ar-SA"/>
        </w:rPr>
        <w:t>Friedland</w:t>
      </w:r>
      <w:r>
        <w:rPr>
          <w:rFonts w:ascii="arial" w:eastAsia="arial" w:hAnsi="arial" w:cs="arial"/>
          <w:color w:val="000000"/>
          <w:sz w:val="20"/>
          <w:lang w:val="en-US" w:eastAsia="en-US" w:bidi="ar-SA"/>
        </w:rPr>
        <w:t>, upheld the claim to immunity in respect of these allegations and stayed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reasoning of the Ontario Court of Appeal in </w:t>
      </w:r>
      <w:r>
        <w:rPr>
          <w:rFonts w:ascii="arial" w:eastAsia="arial" w:hAnsi="arial" w:cs="arial"/>
          <w:i/>
          <w:color w:val="000000"/>
          <w:sz w:val="20"/>
          <w:lang w:val="en-US" w:eastAsia="en-US" w:bidi="ar-SA"/>
        </w:rPr>
        <w:t>Friedland</w:t>
      </w:r>
      <w:r>
        <w:rPr>
          <w:rFonts w:ascii="arial" w:eastAsia="arial" w:hAnsi="arial" w:cs="arial"/>
          <w:color w:val="000000"/>
          <w:sz w:val="20"/>
          <w:lang w:val="en-US" w:eastAsia="en-US" w:bidi="ar-SA"/>
        </w:rPr>
        <w:t xml:space="preserve"> was later approved in </w:t>
      </w:r>
      <w:r>
        <w:rPr>
          <w:rFonts w:ascii="arial" w:eastAsia="arial" w:hAnsi="arial" w:cs="arial"/>
          <w:i/>
          <w:color w:val="000000"/>
          <w:sz w:val="20"/>
          <w:lang w:val="en-US" w:eastAsia="en-US" w:bidi="ar-SA"/>
        </w:rPr>
        <w:t>Schreiber v. Canada (Attorney General)</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2002 SCC 62</w:t>
        </w:r>
      </w:hyperlink>
      <w:r>
        <w:rPr>
          <w:rFonts w:ascii="arial" w:eastAsia="arial" w:hAnsi="arial" w:cs="arial"/>
          <w:color w:val="000000"/>
          <w:sz w:val="20"/>
          <w:lang w:val="en-US" w:eastAsia="en-US" w:bidi="ar-SA"/>
        </w:rPr>
        <w:t xml:space="preserve">. By the time of the hearing before the Supreme Court of Canada, s. 6(a)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had been amended to replace the phrase "personal injury" with "personal or bodily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Mr. Schreiber, a Canadian citizen, was arrested by the RCMP based on a request by Germany to Canada whereby Germany sought his extradition relating to various offences. Mr. Schreiber spent eight days in jail until he was released on bail. He then commenced an action against Germany and the Attorney General of Canada seeking damages for personal injuries suffered as a result of his arrest and detention in Canada. In particular, Mr. Schreiber submitted that he had suffered "mental distress", denial of liberty and damage to reputation arising from his wrongful arrest and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Germany requested that the action be dismissed on the basis that it enjoyed sovereign immunity by virtue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Supreme Court of Canada specifically adopted the reasoning in </w:t>
      </w:r>
      <w:r>
        <w:rPr>
          <w:rFonts w:ascii="arial" w:eastAsia="arial" w:hAnsi="arial" w:cs="arial"/>
          <w:i/>
          <w:color w:val="000000"/>
          <w:sz w:val="20"/>
          <w:lang w:val="en-US" w:eastAsia="en-US" w:bidi="ar-SA"/>
        </w:rPr>
        <w:t>Friedland</w:t>
      </w:r>
      <w:r>
        <w:rPr>
          <w:rFonts w:ascii="arial" w:eastAsia="arial" w:hAnsi="arial" w:cs="arial"/>
          <w:color w:val="000000"/>
          <w:sz w:val="20"/>
          <w:lang w:val="en-US" w:eastAsia="en-US" w:bidi="ar-SA"/>
        </w:rPr>
        <w:t xml:space="preserve"> relating to the scope of the exception: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 agree with the submission of the respondent Germany that </w:t>
      </w:r>
      <w:r>
        <w:rPr>
          <w:rFonts w:ascii="arial" w:eastAsia="arial" w:hAnsi="arial" w:cs="arial"/>
          <w:i/>
          <w:color w:val="000000"/>
          <w:sz w:val="20"/>
          <w:lang w:val="en-US" w:eastAsia="en-US" w:bidi="ar-SA"/>
        </w:rPr>
        <w:t>Friedland</w:t>
      </w:r>
      <w:r>
        <w:rPr>
          <w:rFonts w:ascii="arial" w:eastAsia="arial" w:hAnsi="arial" w:cs="arial"/>
          <w:color w:val="000000"/>
          <w:sz w:val="20"/>
          <w:lang w:val="en-US" w:eastAsia="en-US" w:bidi="ar-SA"/>
        </w:rPr>
        <w:t xml:space="preserve"> established that the scope of the exception in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is limited to instances where mental distress and emotional upset were linked to a physical injury. For example, psychological distress may fall within the exception where such distress is manifested physically, such as in the case of nervous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Justice LeBel, in interpreting s. 6(a), reviewed in detail the bilingual provisions found in the French version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dommage corporel</w:t>
      </w:r>
      <w:r>
        <w:rPr>
          <w:rFonts w:ascii="arial" w:eastAsia="arial" w:hAnsi="arial" w:cs="arial"/>
          <w:color w:val="000000"/>
          <w:sz w:val="20"/>
          <w:lang w:val="en-US" w:eastAsia="en-US" w:bidi="ar-SA"/>
        </w:rPr>
        <w:t xml:space="preserve">") and a similar phrase found in the </w:t>
      </w:r>
      <w:r>
        <w:rPr>
          <w:rFonts w:ascii="arial" w:eastAsia="arial" w:hAnsi="arial" w:cs="arial"/>
          <w:i/>
          <w:color w:val="000000"/>
          <w:sz w:val="20"/>
          <w:lang w:val="en-US" w:eastAsia="en-US" w:bidi="ar-SA"/>
        </w:rPr>
        <w:t>Civil Code of Québec</w:t>
      </w:r>
      <w:r>
        <w:rPr>
          <w:rFonts w:ascii="arial" w:eastAsia="arial" w:hAnsi="arial" w:cs="arial"/>
          <w:color w:val="000000"/>
          <w:sz w:val="20"/>
          <w:lang w:val="en-US" w:eastAsia="en-US" w:bidi="ar-SA"/>
        </w:rPr>
        <w:t>, S.Q. 1991, c. 64 ("</w:t>
      </w:r>
      <w:r>
        <w:rPr>
          <w:rFonts w:ascii="arial" w:eastAsia="arial" w:hAnsi="arial" w:cs="arial"/>
          <w:i/>
          <w:color w:val="000000"/>
          <w:sz w:val="20"/>
          <w:lang w:val="en-US" w:eastAsia="en-US" w:bidi="ar-SA"/>
        </w:rPr>
        <w:t>préjudice corporel</w:t>
      </w:r>
      <w:r>
        <w:rPr>
          <w:rFonts w:ascii="arial" w:eastAsia="arial" w:hAnsi="arial" w:cs="arial"/>
          <w:color w:val="000000"/>
          <w:sz w:val="20"/>
          <w:lang w:val="en-US" w:eastAsia="en-US" w:bidi="ar-SA"/>
        </w:rPr>
        <w:t>"). He found that a state will not have immunity with respect to claims only if they arise out of a "physical breach of personal integrity":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This class of damages appears limited but flexible in its application. A common feature of claims falling within this class is that some form of a breach of physical integrity must be made out. A "</w:t>
      </w:r>
      <w:r>
        <w:rPr>
          <w:rFonts w:ascii="arial" w:eastAsia="arial" w:hAnsi="arial" w:cs="arial"/>
          <w:i/>
          <w:color w:val="000000"/>
          <w:sz w:val="20"/>
          <w:lang w:val="en-US" w:eastAsia="en-US" w:bidi="ar-SA"/>
        </w:rPr>
        <w:t>préjudice corporel</w:t>
      </w:r>
      <w:r>
        <w:rPr>
          <w:rFonts w:ascii="arial" w:eastAsia="arial" w:hAnsi="arial" w:cs="arial"/>
          <w:color w:val="000000"/>
          <w:sz w:val="20"/>
          <w:lang w:val="en-US" w:eastAsia="en-US" w:bidi="ar-SA"/>
        </w:rPr>
        <w:t xml:space="preserve">" is not only an invasion of the integrity of the person which enjoys broad protection in all its aspects under s. 1 of the </w:t>
      </w:r>
      <w:r>
        <w:rPr>
          <w:rFonts w:ascii="arial" w:eastAsia="arial" w:hAnsi="arial" w:cs="arial"/>
          <w:i/>
          <w:color w:val="000000"/>
          <w:sz w:val="20"/>
          <w:lang w:val="en-US" w:eastAsia="en-US" w:bidi="ar-SA"/>
        </w:rPr>
        <w:t>Charter of Human Rights and Freedoms</w:t>
      </w:r>
      <w:r>
        <w:rPr>
          <w:rFonts w:ascii="arial" w:eastAsia="arial" w:hAnsi="arial" w:cs="arial"/>
          <w:color w:val="000000"/>
          <w:sz w:val="20"/>
          <w:lang w:val="en-US" w:eastAsia="en-US" w:bidi="ar-SA"/>
        </w:rPr>
        <w:t xml:space="preserve">, R.S.Q., c. C-12, and art. 3 </w:t>
      </w:r>
      <w:r>
        <w:rPr>
          <w:rFonts w:ascii="arial" w:eastAsia="arial" w:hAnsi="arial" w:cs="arial"/>
          <w:i/>
          <w:color w:val="000000"/>
          <w:sz w:val="20"/>
          <w:lang w:val="en-US" w:eastAsia="en-US" w:bidi="ar-SA"/>
        </w:rPr>
        <w:t>C.C.Q.</w:t>
      </w:r>
      <w:r>
        <w:rPr>
          <w:rFonts w:ascii="arial" w:eastAsia="arial" w:hAnsi="arial" w:cs="arial"/>
          <w:color w:val="000000"/>
          <w:sz w:val="20"/>
          <w:lang w:val="en-US" w:eastAsia="en-US" w:bidi="ar-SA"/>
        </w:rPr>
        <w:t xml:space="preserve"> It must be more specifically defined than that; otherwise, every form of harm to the person and of interference to the rights of the person would fall within the category of "</w:t>
      </w:r>
      <w:r>
        <w:rPr>
          <w:rFonts w:ascii="arial" w:eastAsia="arial" w:hAnsi="arial" w:cs="arial"/>
          <w:i/>
          <w:color w:val="000000"/>
          <w:sz w:val="20"/>
          <w:lang w:val="en-US" w:eastAsia="en-US" w:bidi="ar-SA"/>
        </w:rPr>
        <w:t>préjudice corporel</w:t>
      </w:r>
      <w:r>
        <w:rPr>
          <w:rFonts w:ascii="arial" w:eastAsia="arial" w:hAnsi="arial" w:cs="arial"/>
          <w:color w:val="000000"/>
          <w:sz w:val="20"/>
          <w:lang w:val="en-US" w:eastAsia="en-US" w:bidi="ar-SA"/>
        </w:rPr>
        <w:t xml:space="preserve">". It seems that definitions of this notion require at least an element of breach of the physical integrity: see for example, Gardner,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14-15, and also </w:t>
      </w:r>
      <w:r>
        <w:rPr>
          <w:rFonts w:ascii="arial" w:eastAsia="arial" w:hAnsi="arial" w:cs="arial"/>
          <w:i/>
          <w:color w:val="000000"/>
          <w:sz w:val="20"/>
          <w:lang w:val="en-US" w:eastAsia="en-US" w:bidi="ar-SA"/>
        </w:rPr>
        <w:t>Tarquini</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[2001] J.Q. no 2021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Pelletier J.A., at paras. 88 and 89 and the paragraphs that follow.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The notion of physical integrity remains at the same time flexible and capable of catching a broad range of interferences with the integrity of the person and the consequences flowing from them. It is not restricted to narrow situations where blood was drawn or bruises appeared on the body. As nervous shock caused by a very rough police operation was held to be a case of "</w:t>
      </w:r>
      <w:r>
        <w:rPr>
          <w:rFonts w:ascii="arial" w:eastAsia="arial" w:hAnsi="arial" w:cs="arial"/>
          <w:i/>
          <w:color w:val="000000"/>
          <w:sz w:val="20"/>
          <w:lang w:val="en-US" w:eastAsia="en-US" w:bidi="ar-SA"/>
        </w:rPr>
        <w:t>préjudice corporel</w:t>
      </w:r>
      <w:r>
        <w:rPr>
          <w:rFonts w:ascii="arial" w:eastAsia="arial" w:hAnsi="arial" w:cs="arial"/>
          <w:color w:val="000000"/>
          <w:sz w:val="20"/>
          <w:lang w:val="en-US" w:eastAsia="en-US" w:bidi="ar-SA"/>
        </w:rPr>
        <w:t xml:space="preserve">" as well as the physical pain and suffering caused by a physical interference with the person, torture leaving no marks on the body would be covered by the definition; see Gardner,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15, and </w:t>
      </w:r>
      <w:r>
        <w:rPr>
          <w:rFonts w:ascii="arial" w:eastAsia="arial" w:hAnsi="arial" w:cs="arial"/>
          <w:i/>
          <w:color w:val="000000"/>
          <w:sz w:val="20"/>
          <w:lang w:val="en-US" w:eastAsia="en-US" w:bidi="ar-SA"/>
        </w:rPr>
        <w:t>Dubé v. Québec (Procureur général)</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[1997] R.R.A. 555</w:t>
        </w:r>
      </w:hyperlink>
      <w:r>
        <w:rPr>
          <w:rFonts w:ascii="arial" w:eastAsia="arial" w:hAnsi="arial" w:cs="arial"/>
          <w:color w:val="000000"/>
          <w:sz w:val="20"/>
          <w:lang w:val="en-US" w:eastAsia="en-US" w:bidi="ar-SA"/>
        </w:rPr>
        <w:t xml:space="preserve"> (Sup. 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On the other hand, the requirement to show an actual breach of physical integrity means that interferences with rights properly characterized as being of a moral nature will not be included within this class of claims. Interferences with fundamental rights such as freedom, privacy or reputation interests may give rise to claims characterized as moral or material, depending in the personal interests affected. The shock caused by an unjustified arrest was thus held to give rise to a claim for moral damages, but not to an action for "</w:t>
      </w:r>
      <w:r>
        <w:rPr>
          <w:rFonts w:ascii="arial" w:eastAsia="arial" w:hAnsi="arial" w:cs="arial"/>
          <w:i/>
          <w:color w:val="000000"/>
          <w:sz w:val="20"/>
          <w:lang w:val="en-US" w:eastAsia="en-US" w:bidi="ar-SA"/>
        </w:rPr>
        <w:t>préjudice corporel</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Michaud v. Québec (Procureur général)</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[1998] R.R.A. 1065</w:t>
        </w:r>
      </w:hyperlink>
      <w:r>
        <w:rPr>
          <w:rFonts w:ascii="arial" w:eastAsia="arial" w:hAnsi="arial" w:cs="arial"/>
          <w:color w:val="000000"/>
          <w:sz w:val="20"/>
          <w:lang w:val="en-US" w:eastAsia="en-US" w:bidi="ar-SA"/>
        </w:rPr>
        <w:t xml:space="preserve"> (Sup. Ct.); and Gardner,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22.Absent other forms of damage involving the physical integrity of the person, the loss of personal freedom caused by illegal police or state action with the attendant sense of humiliation, the loss of the ability to act independently, and the psychological stresses that flow from such situations, is assimilated into a form of moral damage and must be compensated as such. See: J.-L. Baudouin and P. Deslauriers, </w:t>
      </w:r>
      <w:r>
        <w:rPr>
          <w:rFonts w:ascii="arial" w:eastAsia="arial" w:hAnsi="arial" w:cs="arial"/>
          <w:i/>
          <w:color w:val="000000"/>
          <w:sz w:val="20"/>
          <w:lang w:val="en-US" w:eastAsia="en-US" w:bidi="ar-SA"/>
        </w:rPr>
        <w:t>La responsabilité civile</w:t>
      </w:r>
      <w:r>
        <w:rPr>
          <w:rFonts w:ascii="arial" w:eastAsia="arial" w:hAnsi="arial" w:cs="arial"/>
          <w:color w:val="000000"/>
          <w:sz w:val="20"/>
          <w:lang w:val="en-US" w:eastAsia="en-US" w:bidi="ar-SA"/>
        </w:rPr>
        <w:t xml:space="preserve"> (5th ed. 1998), at p. 288.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Based on the provisions of the </w:t>
      </w:r>
      <w:r>
        <w:rPr>
          <w:rFonts w:ascii="arial" w:eastAsia="arial" w:hAnsi="arial" w:cs="arial"/>
          <w:i/>
          <w:color w:val="000000"/>
          <w:sz w:val="20"/>
          <w:lang w:val="en-US" w:eastAsia="en-US" w:bidi="ar-SA"/>
        </w:rPr>
        <w:t>C.C.Q.</w:t>
      </w:r>
      <w:r>
        <w:rPr>
          <w:rFonts w:ascii="arial" w:eastAsia="arial" w:hAnsi="arial" w:cs="arial"/>
          <w:color w:val="000000"/>
          <w:sz w:val="20"/>
          <w:lang w:val="en-US" w:eastAsia="en-US" w:bidi="ar-SA"/>
        </w:rPr>
        <w:t xml:space="preserve"> and the relevant case law and doctrine set out above, I believe that the civil law concepts of "</w:t>
      </w:r>
      <w:r>
        <w:rPr>
          <w:rFonts w:ascii="arial" w:eastAsia="arial" w:hAnsi="arial" w:cs="arial"/>
          <w:i/>
          <w:color w:val="000000"/>
          <w:sz w:val="20"/>
          <w:lang w:val="en-US" w:eastAsia="en-US" w:bidi="ar-SA"/>
        </w:rPr>
        <w:t>préjudice corporel</w:t>
      </w:r>
      <w:r>
        <w:rPr>
          <w:rFonts w:ascii="arial" w:eastAsia="arial" w:hAnsi="arial" w:cs="arial"/>
          <w:color w:val="000000"/>
          <w:sz w:val="20"/>
          <w:lang w:val="en-US" w:eastAsia="en-US" w:bidi="ar-SA"/>
        </w:rPr>
        <w:t xml:space="preserve"> - bodily injury", despite their flexibility, incorporate an inner limitation to the potential ambit of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of the Act, requiring some form of interference with physical integrity. Although the terms "death" or "personal injury" found in the English version allow the possibility of non-physical injury to be captured within the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exception, the civil law concept of "</w:t>
      </w:r>
      <w:r>
        <w:rPr>
          <w:rFonts w:ascii="arial" w:eastAsia="arial" w:hAnsi="arial" w:cs="arial"/>
          <w:i/>
          <w:color w:val="000000"/>
          <w:sz w:val="20"/>
          <w:lang w:val="en-US" w:eastAsia="en-US" w:bidi="ar-SA"/>
        </w:rPr>
        <w:t>dommages corporels</w:t>
      </w:r>
      <w:r>
        <w:rPr>
          <w:rFonts w:ascii="arial" w:eastAsia="arial" w:hAnsi="arial" w:cs="arial"/>
          <w:color w:val="000000"/>
          <w:sz w:val="20"/>
          <w:lang w:val="en-US" w:eastAsia="en-US" w:bidi="ar-SA"/>
        </w:rPr>
        <w:t>" found in the French version of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does not. As the French version is the clearer and more restrictive version of the two, it best reflects the common intention of the legislator found in both versions. In order to negate the conclusion drawn from the bilingual interpretation of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the appellant makes a final argument based on the amendments set out in the </w:t>
      </w:r>
      <w:r>
        <w:rPr>
          <w:rFonts w:ascii="arial" w:eastAsia="arial" w:hAnsi="arial" w:cs="arial"/>
          <w:i/>
          <w:color w:val="000000"/>
          <w:sz w:val="20"/>
          <w:lang w:val="en-US" w:eastAsia="en-US" w:bidi="ar-SA"/>
        </w:rPr>
        <w:t>Harmonization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Therefore, the guiding principle in the interpretation of the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exception, more consonant with the principles of international law and with the still important principle of state immunity in international relations, is found in the French version of the provision. </w:t>
      </w:r>
      <w:r>
        <w:rPr>
          <w:rFonts w:ascii="arial" w:eastAsia="arial" w:hAnsi="arial" w:cs="arial"/>
          <w:color w:val="000000"/>
          <w:sz w:val="20"/>
          <w:u w:val="single"/>
          <w:lang w:val="en-US" w:eastAsia="en-US" w:bidi="ar-SA"/>
        </w:rPr>
        <w:t>It signals the presence of a legislative intent to create an exception to state immunity which would be restricted to a class of claims arising out of a physical breach of personal integrity, consistent with the Quebec civil law term "</w:t>
      </w:r>
      <w:r>
        <w:rPr>
          <w:rFonts w:ascii="arial" w:eastAsia="arial" w:hAnsi="arial" w:cs="arial"/>
          <w:i/>
          <w:color w:val="000000"/>
          <w:sz w:val="20"/>
          <w:u w:val="single"/>
          <w:lang w:val="en-US" w:eastAsia="en-US" w:bidi="ar-SA"/>
        </w:rPr>
        <w:t>préjudice corporel</w:t>
      </w:r>
      <w:r>
        <w:rPr>
          <w:rFonts w:ascii="arial" w:eastAsia="arial" w:hAnsi="arial" w:cs="arial"/>
          <w:color w:val="000000"/>
          <w:sz w:val="20"/>
          <w:u w:val="single"/>
          <w:lang w:val="en-US" w:eastAsia="en-US" w:bidi="ar-SA"/>
        </w:rPr>
        <w:t>". This type of breach could conceivably cover an overlapping area between physical harm and mental injury, such as nervous stress</w:t>
      </w:r>
      <w:r>
        <w:rPr>
          <w:rFonts w:ascii="arial" w:eastAsia="arial" w:hAnsi="arial" w:cs="arial"/>
          <w:color w:val="000000"/>
          <w:sz w:val="20"/>
          <w:lang w:val="en-US" w:eastAsia="en-US" w:bidi="ar-SA"/>
        </w:rPr>
        <w:t xml:space="preserve">; however, the mere deprivation of freedom and the normal consequences of lawful imprisonment, as framed by the claim, do not allow the appellant to claim an exception to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This claim seems to be more in line with a Canadian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of deprivation of rights and is properly dismissed against the respondent, Germany.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reasoning of the Court in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xml:space="preserve"> was applied by this Court in </w:t>
      </w:r>
      <w:r>
        <w:rPr>
          <w:rFonts w:ascii="arial" w:eastAsia="arial" w:hAnsi="arial" w:cs="arial"/>
          <w:i/>
          <w:color w:val="000000"/>
          <w:sz w:val="20"/>
          <w:lang w:val="en-US" w:eastAsia="en-US" w:bidi="ar-SA"/>
        </w:rPr>
        <w:t>R.P. et al. v. Westwood</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2003 BCSC 1279</w:t>
        </w:r>
      </w:hyperlink>
      <w:r>
        <w:rPr>
          <w:rFonts w:ascii="arial" w:eastAsia="arial" w:hAnsi="arial" w:cs="arial"/>
          <w:color w:val="000000"/>
          <w:sz w:val="20"/>
          <w:lang w:val="en-US" w:eastAsia="en-US" w:bidi="ar-SA"/>
        </w:rPr>
        <w:t>. The plaintiffs were in the witness protection program and had alleged that various government authorities were in breach of various matters. They alleged that as a result, they had suffered psychological and emotional injury which had manifested itself in the form of nervous shock. Mr. Justice Pitfield concluded that immunity applied: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Nothing is pleaded in support of the claim that physical injury, as opposed to mental, emotional and psychological distress, resulted from anything that happened to the plaintiffs in British Columbia or as a result of anything they discovered in British Columbia. The plaintiffs do not plead physical or psychiatric injury. Their claims are restricted to post-traumatic stress disorder and other severe emotional and psychological trauma and distress. The only claim of physical injury pertains to a disability arising from injury to P. (R.)'s left foot. The pleadings and affidavit evidence make it clear that injury occurred in the United Kingdom.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Very recently, the Quebec Court of Appeal considered this exception in </w:t>
      </w:r>
      <w:r>
        <w:rPr>
          <w:rFonts w:ascii="arial" w:eastAsia="arial" w:hAnsi="arial" w:cs="arial"/>
          <w:i/>
          <w:color w:val="000000"/>
          <w:sz w:val="20"/>
          <w:lang w:val="en-US" w:eastAsia="en-US" w:bidi="ar-SA"/>
        </w:rPr>
        <w:t>Islamic Republic of Iran v. Hashemi</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2012 QCCA 1449</w:t>
        </w:r>
      </w:hyperlink>
      <w:r>
        <w:rPr>
          <w:rFonts w:ascii="arial" w:eastAsia="arial" w:hAnsi="arial" w:cs="arial"/>
          <w:color w:val="000000"/>
          <w:sz w:val="20"/>
          <w:lang w:val="en-US" w:eastAsia="en-US" w:bidi="ar-SA"/>
        </w:rPr>
        <w:t>. Mr. Hashemi's mother had been detained and tortured in Iran by the Iranian authorities. She ultimately died from her injuries. Mr. Hashemi, who was in Canada at the time, advanced his own claim against Iran. He claimed that upon learning of his mother's fate, he suffered "psychological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Speaking for the Court, Morissette J.A. agreed that there was no difference in kind between "mental distress" which, per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xml:space="preserve">, did not engage the exception, and the injuries alleged by Mr. Hashemi (para. 79). Mr. Justice Morissette noted that the comments of LeBel J. at paras. 64, 65 and 80 of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xml:space="preserve"> support the contention that the exception under s. 6(a) is "dependant on more than mere mental distress or a psychological shock or trauma". Further, he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 In my considered opinion, these clarifications, when read together, show that allegations of a </w:t>
      </w:r>
      <w:r>
        <w:rPr>
          <w:rFonts w:ascii="arial" w:eastAsia="arial" w:hAnsi="arial" w:cs="arial"/>
          <w:i/>
          <w:color w:val="000000"/>
          <w:sz w:val="20"/>
          <w:lang w:val="en-US" w:eastAsia="en-US" w:bidi="ar-SA"/>
        </w:rPr>
        <w:t>breach of physical integrity</w:t>
      </w:r>
      <w:r>
        <w:rPr>
          <w:rFonts w:ascii="arial" w:eastAsia="arial" w:hAnsi="arial" w:cs="arial"/>
          <w:color w:val="000000"/>
          <w:sz w:val="20"/>
          <w:lang w:val="en-US" w:eastAsia="en-US" w:bidi="ar-SA"/>
        </w:rPr>
        <w:t xml:space="preserve">, not simply </w:t>
      </w:r>
      <w:r>
        <w:rPr>
          <w:rFonts w:ascii="arial" w:eastAsia="arial" w:hAnsi="arial" w:cs="arial"/>
          <w:i/>
          <w:color w:val="000000"/>
          <w:sz w:val="20"/>
          <w:lang w:val="en-US" w:eastAsia="en-US" w:bidi="ar-SA"/>
        </w:rPr>
        <w:t>psychological or psychic integrity</w:t>
      </w:r>
      <w:r>
        <w:rPr>
          <w:rFonts w:ascii="arial" w:eastAsia="arial" w:hAnsi="arial" w:cs="arial"/>
          <w:color w:val="000000"/>
          <w:sz w:val="20"/>
          <w:lang w:val="en-US" w:eastAsia="en-US" w:bidi="ar-SA"/>
        </w:rPr>
        <w:t xml:space="preserve">, are a prerequisite if a claim is to survive an exception to dismiss under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This requirement, I would assume, serves a specific purpose, namely to objectify any claim of "bodily injury" - "dommages corporels" by making it dependent on the allegation of facts ascertainable and provable by evidence other than the mere </w:t>
      </w:r>
      <w:r>
        <w:rPr>
          <w:rFonts w:ascii="arial" w:eastAsia="arial" w:hAnsi="arial" w:cs="arial"/>
          <w:i/>
          <w:color w:val="000000"/>
          <w:sz w:val="20"/>
          <w:lang w:val="en-US" w:eastAsia="en-US" w:bidi="ar-SA"/>
        </w:rPr>
        <w:t>ipse dixit</w:t>
      </w:r>
      <w:r>
        <w:rPr>
          <w:rFonts w:ascii="arial" w:eastAsia="arial" w:hAnsi="arial" w:cs="arial"/>
          <w:color w:val="000000"/>
          <w:sz w:val="20"/>
          <w:lang w:val="en-US" w:eastAsia="en-US" w:bidi="ar-SA"/>
        </w:rPr>
        <w:t xml:space="preserve"> of the victim. In an age when media reporting from foreign countries yields almost on a daily basis some very graphic and emotionally disturbing news (one thinks, for example, of recent live reporting of events in Tunisia, Egypt, Libya or Syria, not to mention earlier and devastating events in Rwanda), news that can directly involve persons closely related to Canadian residents, bare allegations of mental or emotional distress, or indeed "psychological trauma", on the part of a Canadian resident are not enough; something more tangible ought to be alleged. It is not necessary here to determine whether the breach of physical integrity to which I refer must be a cause or may also be an effect - whether, in other words, it must be the cause of resulting mental or psychological anguish, or whether it can also be a consequence, in the form of a physical manifestation (such as prolonged prostration, fainting, vomiting or, in an extreme case, a heart attack, etc.) of a pre-existing and severe mental or psychological shock. Suffice it to say that there is no known precedent in Canadian law of an exception to state immunity resting on the latter basis (i.e. psychological trauma or mental distress) alone.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[84] In this instance, the motion to institute proceedings is deficient either way. As shown in paragraph [20] of these reasons, the relevant allegations of Mr. Hashemi's claim merely refer to general notions of trauma, psychological trauma or psychological and emotional prejudice. The motion judge noted that this alleged trauma may, in the end, touch upon Mr. Hashemi's physical integrity and that the evidence at trial may indicate that he suffered bodily injury as a result. He therefore opined that this was sufficient to allow the claim to go to trial. I respectfully disagree. Even if taken as averred, the allegations of Mr. Hashemi's claim fall short of establishing any breach of physical integrity; accordingly, they fail to bring into play the exception set out in s. 6</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It would have been easy for Mr. Hashemi to properly articulate the extent, if any, of the breach of physical integrity that he may have suffered. Still, he elected not to do so. He had, after all, the burden of establishing that the s. 6(a) exception applied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I consider that this view is consistent with other Canadian decisions, such as </w:t>
      </w:r>
      <w:r>
        <w:rPr>
          <w:rFonts w:ascii="arial" w:eastAsia="arial" w:hAnsi="arial" w:cs="arial"/>
          <w:i/>
          <w:color w:val="000000"/>
          <w:sz w:val="20"/>
          <w:lang w:val="en-US" w:eastAsia="en-US" w:bidi="ar-SA"/>
        </w:rPr>
        <w:t>Greco v. Holy See (State of Vatican City)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 v. Westwood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Ritter v. Donell</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[2005] A.J. No. 958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Castle v. United States Department of Justice (Attorney General)</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[2006] O.J. No. 4897</w:t>
        </w:r>
      </w:hyperlink>
      <w:r>
        <w:rPr>
          <w:rFonts w:ascii="arial" w:eastAsia="arial" w:hAnsi="arial" w:cs="arial"/>
          <w:color w:val="000000"/>
          <w:sz w:val="20"/>
          <w:lang w:val="en-US" w:eastAsia="en-US" w:bidi="ar-SA"/>
        </w:rPr>
        <w:t xml:space="preserve">. These cases, two of which were decided after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xml:space="preserve">, may constitute with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xml:space="preserve"> what Professor Ruth Sullivan once called "unenacted law" - or what might be called "droit prétorien" in French. But they also constitute, in my view, a safer guide to the intended meaning and effect of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than any appeal to an "essentialist" concept of civil law, such as "préjudice corporel", as it is today understood in Quebec private law as a result of the unenacted law announced in </w:t>
      </w:r>
      <w:r>
        <w:rPr>
          <w:rFonts w:ascii="arial" w:eastAsia="arial" w:hAnsi="arial" w:cs="arial"/>
          <w:i/>
          <w:color w:val="000000"/>
          <w:sz w:val="20"/>
          <w:lang w:val="en-US" w:eastAsia="en-US" w:bidi="ar-SA"/>
        </w:rPr>
        <w:t>Tarquini</w:t>
      </w:r>
      <w:r>
        <w:rPr>
          <w:rFonts w:ascii="arial" w:eastAsia="arial" w:hAnsi="arial" w:cs="arial"/>
          <w:color w:val="000000"/>
          <w:sz w:val="20"/>
          <w:lang w:val="en-US" w:eastAsia="en-US" w:bidi="ar-SA"/>
        </w:rPr>
        <w:t xml:space="preserve"> while the Court was interpreting article 2930 C.c.Q.</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[Footnotes for case citations cited but otherwise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the exception with respect to state or sovereign immunity only applies to claims for physical injury or claims of mental or psychological injury insofar as such mental injury claims are linked to a physical injury and where there is some interference with the physical integrity of the person. It is not sufficient if the injuries claimed relate to only psychological shock or trauma or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original notice of civil claim, Mr. Szocik alleges that he has suffered "Personal Injury" without any elaboration. In the Revised Claim, however, Mr. Szocik pleads that the actions of the SSUK agents were calculated to cause him significant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He also pleads the tort of intentional infliction of nervous shock and alleges that the actions of the defendants have caused him "physical injury". In support of this position, he relies in particular on the British Columbia Court of Appeal's description of this tort in </w:t>
      </w:r>
      <w:r>
        <w:rPr>
          <w:rFonts w:ascii="arial" w:eastAsia="arial" w:hAnsi="arial" w:cs="arial"/>
          <w:i/>
          <w:color w:val="000000"/>
          <w:sz w:val="20"/>
          <w:lang w:val="en-US" w:eastAsia="en-US" w:bidi="ar-SA"/>
        </w:rPr>
        <w:t>Young v. Borzoni et al</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statement of claim alleges that Mr. Borzoni's conduct resulted in a visible and provable illness and that through his alleged malicious conduct he intended to inflict nervous shock, anguish, and extreme despair. In </w:t>
      </w:r>
      <w:r>
        <w:rPr>
          <w:rFonts w:ascii="arial" w:eastAsia="arial" w:hAnsi="arial" w:cs="arial"/>
          <w:i/>
          <w:color w:val="000000"/>
          <w:sz w:val="20"/>
          <w:lang w:val="en-US" w:eastAsia="en-US" w:bidi="ar-SA"/>
        </w:rPr>
        <w:t>Guay v. Sun Publishing Co.</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[1953] 2 S.C.R. 216</w:t>
        </w:r>
      </w:hyperlink>
      <w:r>
        <w:rPr>
          <w:rFonts w:ascii="arial" w:eastAsia="arial" w:hAnsi="arial" w:cs="arial"/>
          <w:color w:val="000000"/>
          <w:sz w:val="20"/>
          <w:lang w:val="en-US" w:eastAsia="en-US" w:bidi="ar-SA"/>
        </w:rPr>
        <w:t xml:space="preserve"> at 238, Estey J., in his majority concurring judgment, set out what must be proved on the latter element in order that damages may be recovered citing the following from </w:t>
      </w:r>
      <w:r>
        <w:rPr>
          <w:rFonts w:ascii="arial" w:eastAsia="arial" w:hAnsi="arial" w:cs="arial"/>
          <w:i/>
          <w:color w:val="000000"/>
          <w:sz w:val="20"/>
          <w:lang w:val="en-US" w:eastAsia="en-US" w:bidi="ar-SA"/>
        </w:rPr>
        <w:t>Pollock on Torts</w:t>
      </w:r>
      <w:r>
        <w:rPr>
          <w:rFonts w:ascii="arial" w:eastAsia="arial" w:hAnsi="arial" w:cs="arial"/>
          <w:color w:val="000000"/>
          <w:sz w:val="20"/>
          <w:lang w:val="en-US" w:eastAsia="en-US" w:bidi="ar-SA"/>
        </w:rPr>
        <w:t>, 15th ed. at p. 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state of mind such as fear or acute grief is not in itself capable of assessment as measurable temporal damage. But visible and provable illness may be the natural consequence of violent emotion, and may furnish a ground of action against a person whose wrongful act or want of due care produced that emotion. In every case the question is whether the shock and the illness were in fact natural or direct consequences of the wrongful act or default; if they were, the illness, not the shock, furnishes the measurable damage, and there is no more difficulty in assessing it than in assessing damages for bodily injuries of any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 Recognizable psychiatric illnesses, such as are defined in the </w:t>
      </w:r>
      <w:r>
        <w:rPr>
          <w:rFonts w:ascii="arial" w:eastAsia="arial" w:hAnsi="arial" w:cs="arial"/>
          <w:i/>
          <w:color w:val="000000"/>
          <w:sz w:val="20"/>
          <w:lang w:val="en-US" w:eastAsia="en-US" w:bidi="ar-SA"/>
        </w:rPr>
        <w:t>Diagnostic and Statistical Manual of Mental Disorders</w:t>
      </w:r>
      <w:r>
        <w:rPr>
          <w:rFonts w:ascii="arial" w:eastAsia="arial" w:hAnsi="arial" w:cs="arial"/>
          <w:color w:val="000000"/>
          <w:sz w:val="20"/>
          <w:lang w:val="en-US" w:eastAsia="en-US" w:bidi="ar-SA"/>
        </w:rPr>
        <w:t xml:space="preserve"> (DSM-IV) for example, amount to visible and provable illnesses for the purposes of the tort of the intentional infliction of mental suffering. However, emotional stress, mental anguish and despair, the emotional states pleaded by the appellants, are not generally accepted as amounting to "visible and provable illness" for the purposes of the tort of the intentional infliction of mental suffering.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[2006] O.J. No. 4964</w:t>
        </w:r>
      </w:hyperlink>
      <w:r>
        <w:rPr>
          <w:rFonts w:ascii="arial" w:eastAsia="arial" w:hAnsi="arial" w:cs="arial"/>
          <w:color w:val="000000"/>
          <w:sz w:val="20"/>
          <w:lang w:val="en-US" w:eastAsia="en-US" w:bidi="ar-SA"/>
        </w:rPr>
        <w:t xml:space="preserve"> (C.A.), the Ontario Court of Appeal reaffirmed its earlier position with respect to liability in cases of psychiatric harm: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Canadian law, a plaintiff can recover for the negligent infliction of psychiatric damage if he or she establishes two propositions - first, that the psychiatric damage suffered was a foreseeable consequence of the negligent conduct; second, that the psychiatric damage was so serious that it resulted in a recognizable psychiatric illness: see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389-92.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principle that the psychiatric damage must be so serious that it results in a recognizable psychiatric illness is not novel: See for example: </w:t>
      </w:r>
      <w:r>
        <w:rPr>
          <w:rFonts w:ascii="arial" w:eastAsia="arial" w:hAnsi="arial" w:cs="arial"/>
          <w:i/>
          <w:color w:val="000000"/>
          <w:sz w:val="20"/>
          <w:lang w:val="en-US" w:eastAsia="en-US" w:bidi="ar-SA"/>
        </w:rPr>
        <w:t>Topgro Greenhouses Ltd. v. Houweling</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2006 BCCA 183</w:t>
        </w:r>
      </w:hyperlink>
      <w:r>
        <w:rPr>
          <w:rFonts w:ascii="arial" w:eastAsia="arial" w:hAnsi="arial" w:cs="arial"/>
          <w:color w:val="000000"/>
          <w:sz w:val="20"/>
          <w:lang w:val="en-US" w:eastAsia="en-US" w:bidi="ar-SA"/>
        </w:rPr>
        <w:t xml:space="preserve"> at para. 62; Mackenzie J.A.'s minority concurring judgment in </w:t>
      </w:r>
      <w:r>
        <w:rPr>
          <w:rFonts w:ascii="arial" w:eastAsia="arial" w:hAnsi="arial" w:cs="arial"/>
          <w:i/>
          <w:color w:val="000000"/>
          <w:sz w:val="20"/>
          <w:lang w:val="en-US" w:eastAsia="en-US" w:bidi="ar-SA"/>
        </w:rPr>
        <w:t>Devji v. Burnaby (District)</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xml:space="preserve"> at paras. 79-113; </w:t>
      </w:r>
      <w:r>
        <w:rPr>
          <w:rFonts w:ascii="arial" w:eastAsia="arial" w:hAnsi="arial" w:cs="arial"/>
          <w:i/>
          <w:color w:val="000000"/>
          <w:sz w:val="20"/>
          <w:lang w:val="en-US" w:eastAsia="en-US" w:bidi="ar-SA"/>
        </w:rPr>
        <w:t>Kalaman v. Singer Valve Co.</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(1997), 93 B.C.A.C. 93</w:t>
        </w:r>
      </w:hyperlink>
      <w:r>
        <w:rPr>
          <w:rFonts w:ascii="arial" w:eastAsia="arial" w:hAnsi="arial" w:cs="arial"/>
          <w:color w:val="000000"/>
          <w:sz w:val="20"/>
          <w:lang w:val="en-US" w:eastAsia="en-US" w:bidi="ar-SA"/>
        </w:rPr>
        <w:t xml:space="preserv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decision of the Ontario Court of Appeal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which was relied upon by the Court in</w:t>
      </w:r>
      <w:r>
        <w:rPr>
          <w:rFonts w:ascii="arial" w:eastAsia="arial" w:hAnsi="arial" w:cs="arial"/>
          <w:i/>
          <w:color w:val="000000"/>
          <w:sz w:val="20"/>
          <w:lang w:val="en-US" w:eastAsia="en-US" w:bidi="ar-SA"/>
        </w:rPr>
        <w:t xml:space="preserve"> Young</w:t>
      </w:r>
      <w:r>
        <w:rPr>
          <w:rFonts w:ascii="arial" w:eastAsia="arial" w:hAnsi="arial" w:cs="arial"/>
          <w:color w:val="000000"/>
          <w:sz w:val="20"/>
          <w:lang w:val="en-US" w:eastAsia="en-US" w:bidi="ar-SA"/>
        </w:rPr>
        <w:t>, was upheld by the Supreme Court of Canada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although on different grounds. In that decision, the Supreme Court of Canada discussed mental or psychological injuries as a subset of personal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Generally, a plaintiff who suffers personal injury will be found to have suffered damage. Damage for purposes of this inquiry includes psychological injury. The distinction between physical and mental injury is elusive and arguably artificial in the context of tort. As Lord Lloyd said in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[1996] 1 A.C. 155 (H.L.), at p. 188: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age when medical knowledge is expanding fast, and psychiatric knowledge with it, it would not be sensible to commit the law to a distinction between physical and psychiatric injury, which may already seem somewhat artificial, and may soon be altogether outmoded. </w:t>
      </w:r>
      <w:r>
        <w:rPr>
          <w:rFonts w:ascii="arial" w:eastAsia="arial" w:hAnsi="arial" w:cs="arial"/>
          <w:color w:val="000000"/>
          <w:sz w:val="20"/>
          <w:u w:val="single"/>
          <w:lang w:val="en-US" w:eastAsia="en-US" w:bidi="ar-SA"/>
        </w:rPr>
        <w:t>Nothing will be gained by treating them as different "kinds" of personal injury, so as to require the application of different tests in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[Original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It may be that the conditions alleged to have been suffered by Mr. Szocik are recognizable psychiatric illnesses, as discussed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Nevertheless, it is clear that the injury alleged is that of a psychological or mental injury, not a physical one. In paragraph 9 of the Revised Claim, reproduced above, while initially described as "physical injury", the injuries are further described as "causing or alternatively aggravating pre-existing illness and conditions including but not limited to anxiety disorder, clinical depression, obsessive compulsive disorder, [and] post-traumatic stress disorder". Mr. Szocik also refers in his pleading to "any other physical injury or illness or condition as [he] may advise this Court". No particulars of any "physical injury" have been provided despite a bald assertion that such an injury has been suffered. Such bald assertions have been rejected by the courts as not meeting the onus required of Mr. Szocik to advance the argument that the statue immunity exception applies: </w:t>
      </w:r>
      <w:r>
        <w:rPr>
          <w:rFonts w:ascii="arial" w:eastAsia="arial" w:hAnsi="arial" w:cs="arial"/>
          <w:i/>
          <w:color w:val="000000"/>
          <w:sz w:val="20"/>
          <w:lang w:val="en-US" w:eastAsia="en-US" w:bidi="ar-SA"/>
        </w:rPr>
        <w:t>Hashemi</w:t>
      </w:r>
      <w:r>
        <w:rPr>
          <w:rFonts w:ascii="arial" w:eastAsia="arial" w:hAnsi="arial" w:cs="arial"/>
          <w:color w:val="000000"/>
          <w:sz w:val="20"/>
          <w:lang w:val="en-US" w:eastAsia="en-US" w:bidi="ar-SA"/>
        </w:rPr>
        <w:t xml:space="preserve"> at para. 84; </w:t>
      </w:r>
      <w:r>
        <w:rPr>
          <w:rFonts w:ascii="arial" w:eastAsia="arial" w:hAnsi="arial" w:cs="arial"/>
          <w:i/>
          <w:color w:val="000000"/>
          <w:sz w:val="20"/>
          <w:lang w:val="en-US" w:eastAsia="en-US" w:bidi="ar-SA"/>
        </w:rPr>
        <w:t>Greco</w:t>
      </w:r>
      <w:r>
        <w:rPr>
          <w:rFonts w:ascii="arial" w:eastAsia="arial" w:hAnsi="arial" w:cs="arial"/>
          <w:color w:val="000000"/>
          <w:sz w:val="20"/>
          <w:lang w:val="en-US" w:eastAsia="en-US" w:bidi="ar-SA"/>
        </w:rPr>
        <w:t xml:space="preserve"> at para. 8; and </w:t>
      </w:r>
      <w:r>
        <w:rPr>
          <w:rFonts w:ascii="arial" w:eastAsia="arial" w:hAnsi="arial" w:cs="arial"/>
          <w:i/>
          <w:color w:val="000000"/>
          <w:sz w:val="20"/>
          <w:lang w:val="en-US" w:eastAsia="en-US" w:bidi="ar-SA"/>
        </w:rPr>
        <w:t>Westwood</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it is equally clear that Mr. Szocik's claims against the defendant do not involve any allegation that there was a physical breach of Mr. Szocik's personal integrity to which any psychological or mental injury might be linked. The encounters with the SSUK agents which Mr. Szocik alleges occurred simply do not support any such finding. As such, Mr. Szocik's claims can only be characterized as "moral"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Therefore, while Mr. Szocik's claims might otherwise be advanced as proper tort claims, these claims must be considered within the context of the specific statutory exception to state immunity dictated by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It is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following the reasoning of the Supreme Court of Canada in </w:t>
      </w:r>
      <w:r>
        <w:rPr>
          <w:rFonts w:ascii="arial" w:eastAsia="arial" w:hAnsi="arial" w:cs="arial"/>
          <w:i/>
          <w:color w:val="000000"/>
          <w:sz w:val="20"/>
          <w:lang w:val="en-US" w:eastAsia="en-US" w:bidi="ar-SA"/>
        </w:rPr>
        <w:t>Schreiber</w:t>
      </w:r>
      <w:r>
        <w:rPr>
          <w:rFonts w:ascii="arial" w:eastAsia="arial" w:hAnsi="arial" w:cs="arial"/>
          <w:color w:val="000000"/>
          <w:sz w:val="20"/>
          <w:lang w:val="en-US" w:eastAsia="en-US" w:bidi="ar-SA"/>
        </w:rPr>
        <w:t xml:space="preserve"> as to the meaning of "personal or bodily injury", which dictates that only claims of that nature will be subject to the exception relating to state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Mr. Szocik does not contend that there are any other exceptions under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that would allow this Court to assume jurisdiction with respect to the claims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therefore conclude that even if the facts alleged in the Revised Claim are considered true, pursuant to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the Attorney General of England and Wales is immune from the jurisdiction of this Court with respect to these claims. This action should be dismissed for that reason.</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Supreme Court Civil Rule 21-8(1)(a)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advances the alternate argument that Mr. Szocik's allegations are incapable of being proven such that there is no claim which might ground this Court's jurisdiction with respect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Rule 21-8(1)(a)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Disputed jurisdiction</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has been served with an originating pleading or petition in a proceeding, whether that service was effected in or outside British Columbia, may, after filing a jurisdictional response in Form 108,</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the notice of civil claim, counterclaim, third party notice or petition or to dismiss or stay the proceeding on the ground that the notice of civil claim, counterclaim, third party notice or petition does not allege facts that, if true, would establish that the court has jurisdiction over that party in respect of the claim made against that party in the proceeding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Accordingly, the court must assume that all facts alleged in the notice of civil claim are true in assessing whether this Court has jurisdiction over a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that respect, the approach of the Court is somewhat similar to the test for striking a claim under R. 9-5(1)(a) (formerly R. 19(24)(a)), which requires that the Court assume as true the facts alleged in the pleading in considering whether a reasonable claim is disclosed. In addition, it is well acknowledged that under this Rule, the claim must be struck only if it is "plain and obvious" that no reasonable cause of action is disclosed: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says, however, that while this is the general test to be applied, courts have recognized an exception to the rule that facts pleaded are not assumed to be true where the allegations are based on assumptions and speculations that are incapable of proof. The defendant further submits that this approach equally applies in respect of an application under R. 21-8(1)(a). Accordingly, the defendant says that given that the facts alleged in the notice of civil claim (i.e., the "scheme to use electronic devices to directly assault the mind and body of [Mr. Szocik] and harass [Mr. Szocik]") are incapable of being proven, they should not be assumed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refers to a number of cases which discuss this approach in the context of R. 9-5(1)(a). In those cases, the court subjected the claims to a critical analysis and examined the true character of the claims in determining whether the allegations could in fact be proven. The courts did not simply assume that the pleaded facts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the Court considered the premise of assuming facts to be true and in what circumstances the court will not make this assumption: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A consideration of that premise was discussed in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often referred to as the "Cruise Missile" case. Dickson J. at page 447, said the causal link between the defendant and the alleged violation of the appellants' rights was "simply too uncertain, speculative and hypothetical to sustain a cause of action." At page 449 he cited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 xml:space="preserve"> at 740, where Estey J.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have said, all the facts pleaded in the statement of claim must be deemed to have been proven. On a motion such as this a court should, of course, dismiss the action or strike out any claim made by the plaintiff only in plain and obvious cases and where the court is satisfied that "the case is beyond doubt": </w:t>
      </w:r>
      <w:r>
        <w:rPr>
          <w:rFonts w:ascii="arial" w:eastAsia="arial" w:hAnsi="arial" w:cs="arial"/>
          <w:i/>
          <w:color w:val="000000"/>
          <w:sz w:val="20"/>
          <w:lang w:val="en-US" w:eastAsia="en-US" w:bidi="ar-SA"/>
        </w:rPr>
        <w:t>Ross v. Scottish Union and National Insurance Co.</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(1920), 47 O.L.R. 308</w:t>
        </w:r>
      </w:hyperlink>
      <w:r>
        <w:rPr>
          <w:rFonts w:ascii="arial" w:eastAsia="arial" w:hAnsi="arial" w:cs="arial"/>
          <w:color w:val="000000"/>
          <w:sz w:val="20"/>
          <w:lang w:val="en-US" w:eastAsia="en-US" w:bidi="ar-SA"/>
        </w:rPr>
        <w:t xml:space="preserve"> (App. Div.).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Dickson J. went on to say at page 455:</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not, in my opinion, required by the principle enunciated in </w:t>
      </w:r>
      <w:r>
        <w:rPr>
          <w:rFonts w:ascii="arial" w:eastAsia="arial" w:hAnsi="arial" w:cs="arial"/>
          <w:i/>
          <w:color w:val="000000"/>
          <w:sz w:val="20"/>
          <w:lang w:val="en-US" w:eastAsia="en-US" w:bidi="ar-SA"/>
        </w:rPr>
        <w:t>Inuit Tapirisat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to take as true the appellants' allegations concerning the possible consequences of the testing of the cruise missile. </w:t>
      </w:r>
      <w:r>
        <w:rPr>
          <w:rFonts w:ascii="arial" w:eastAsia="arial" w:hAnsi="arial" w:cs="arial"/>
          <w:color w:val="000000"/>
          <w:sz w:val="20"/>
          <w:u w:val="single"/>
          <w:lang w:val="en-US" w:eastAsia="en-US" w:bidi="ar-SA"/>
        </w:rPr>
        <w:t>The rule that the material facts in a statement of claim must be taken as true for the purpose of determining whether it discloses a reasonable cause of action does not require that allegations based on assumptions and speculations be taken as true.</w:t>
      </w:r>
      <w:r>
        <w:rPr>
          <w:rFonts w:ascii="arial" w:eastAsia="arial" w:hAnsi="arial" w:cs="arial"/>
          <w:color w:val="000000"/>
          <w:sz w:val="20"/>
          <w:lang w:val="en-US" w:eastAsia="en-US" w:bidi="ar-SA"/>
        </w:rPr>
        <w:t xml:space="preserve"> The very nature of such an allegation is that it cannot be proven to be true by the adduction of evidence. It would, therefore be improper to accept that such an allegation is true. </w:t>
      </w:r>
      <w:r>
        <w:rPr>
          <w:rFonts w:ascii="arial" w:eastAsia="arial" w:hAnsi="arial" w:cs="arial"/>
          <w:color w:val="000000"/>
          <w:sz w:val="20"/>
          <w:u w:val="single"/>
          <w:lang w:val="en-US" w:eastAsia="en-US" w:bidi="ar-SA"/>
        </w:rPr>
        <w:t>No violence is done to the rule where allegations, incapable of proof, are not taken as proven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[Original emphasis.]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 Madam Justice Wilson's concurring minority reasons, she agreed that the statement of claim should be struck out. However, she wrote at pages 477 to 479 that several of the allegations in the statement of claim were "statements of intangible fact" inviting inferences and anticipating probable consequences, and that those allegations might "be susceptible to proof by inference from real facts or by expert testimony or 'through the application of common sense principles'." She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may entertain serious doubts that the plaintiffs will be able to prove them by any of these means. It is not, however, the function of the Court at this stage to prejudge that question. I agree with Cattanach J. that the statement of claim contains sufficient allegations to raise a justiciable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In </w:t>
      </w:r>
      <w:r>
        <w:rPr>
          <w:rFonts w:ascii="arial" w:eastAsia="arial" w:hAnsi="arial" w:cs="arial"/>
          <w:i/>
          <w:color w:val="000000"/>
          <w:sz w:val="20"/>
          <w:lang w:val="en-US" w:eastAsia="en-US" w:bidi="ar-SA"/>
        </w:rPr>
        <w:t>Rogers v. Bank of Montreal</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(1985), 64 B.C.L.R. 63</w:t>
        </w:r>
      </w:hyperlink>
      <w:r>
        <w:rPr>
          <w:rFonts w:ascii="arial" w:eastAsia="arial" w:hAnsi="arial" w:cs="arial"/>
          <w:color w:val="000000"/>
          <w:sz w:val="20"/>
          <w:lang w:val="en-US" w:eastAsia="en-US" w:bidi="ar-SA"/>
        </w:rPr>
        <w:t xml:space="preserve"> (S.C.) the defendants applied to strike out the writ and statement of claim as disclosing no cause of action. Mr. Justice McKenzie said, at page 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cannot accept the allegations in the statement of claim "as true" in the sense of there being any actions of the defendants which were truly directed against the target separate from Abacus. It is true that the statement of claim says the allegations have a separate target but the reality is that they do not. I see only language, not reality. It is the same story with a different title.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On appeal, </w:t>
      </w:r>
      <w:hyperlink r:id="rId197" w:history="1">
        <w:r>
          <w:rPr>
            <w:rFonts w:ascii="arial" w:eastAsia="arial" w:hAnsi="arial" w:cs="arial"/>
            <w:i/>
            <w:color w:val="0077CC"/>
            <w:sz w:val="20"/>
            <w:u w:val="single"/>
            <w:shd w:val="clear" w:color="auto" w:fill="FFFFFF"/>
            <w:lang w:val="en-US" w:eastAsia="en-US" w:bidi="ar-SA"/>
          </w:rPr>
          <w:t>(1986), 9 B.C.L.R. (2d) 190</w:t>
        </w:r>
      </w:hyperlink>
      <w:r>
        <w:rPr>
          <w:rFonts w:ascii="arial" w:eastAsia="arial" w:hAnsi="arial" w:cs="arial"/>
          <w:color w:val="000000"/>
          <w:sz w:val="20"/>
          <w:lang w:val="en-US" w:eastAsia="en-US" w:bidi="ar-SA"/>
        </w:rPr>
        <w:t xml:space="preserve"> (C.A.), Mr. Justice Esson, referring to that paragraph, said at page 192: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Insofar as that passage reflects the process which was carried out at great length by Mr. Justice McKenzie of subjecting the allegations in the pleadings to sceptical analysis in order to determine their true character, I consider that to have been an entirely appropriate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Esson J.A. added that there was a necessity to go "behind the form of the proceeding in order to get at its true nature, and that must be done even when the matter is dealt with on the pleadings." However, he said at page 193 that "it was not right to go so far as to consider the intrinsic improbability that these defendants would do what they were alleged to have done. This is an application on the pleadings and essentially must be decided upon what is alleged there." He continued: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approach taken by the chambers judge appears to have resulted from some of the language used by the Supreme Court of Canada in the </w:t>
      </w:r>
      <w:r>
        <w:rPr>
          <w:rFonts w:ascii="arial" w:eastAsia="arial" w:hAnsi="arial" w:cs="arial"/>
          <w:i/>
          <w:color w:val="000000"/>
          <w:sz w:val="20"/>
          <w:lang w:val="en-US" w:eastAsia="en-US" w:bidi="ar-SA"/>
        </w:rPr>
        <w:t>Cruise Missile</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and in particular certain observations to the effect that the court was not required to accept as true certain allegations that were made by the plaintiffs there. But those were allegations of a special nature; they were allegations to the effect that to allow testing of the Cruise missile would increase the likelihood of nuclear war. It was in relation to that that Chief Justice Dickson said [p. 455]: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very nature of such an allegation is that it cannot be proven to be true by the adduction of evidence. It would, therefore, be improper to accept that such an allegation is true. No violence is done to the rule where allegations, incapable of proof, are not taken as proven.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regard is had to the special nature of the allegations, I think it is clear that that case must be viewed with great caution as a general authority touching on the extent to which allegations in pleadings should be taken as true in proceedings of this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It is clear that great caution must be taken in relying on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as a "general authority" that allegations in pleadings should be weighed as to their truth in proceedings of this kind. However, my consideration of the above authorities leads me to the conclusion that it is not fundamentally wrong to look behind the allegations in some cases. This can be taken from the statement of Estey J. in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that the "rule ... does not require that allegations based on assumptions and speculation be taken as true. ... No violence is done to the rule where allegations, incapable of proof, are not taken as proven." This is also supported by the comment of Esson J.A. in </w:t>
      </w:r>
      <w:r>
        <w:rPr>
          <w:rFonts w:ascii="arial" w:eastAsia="arial" w:hAnsi="arial" w:cs="arial"/>
          <w:i/>
          <w:color w:val="000000"/>
          <w:sz w:val="20"/>
          <w:lang w:val="en-US" w:eastAsia="en-US" w:bidi="ar-SA"/>
        </w:rPr>
        <w:t>Rogers</w:t>
      </w:r>
      <w:r>
        <w:rPr>
          <w:rFonts w:ascii="arial" w:eastAsia="arial" w:hAnsi="arial" w:cs="arial"/>
          <w:color w:val="000000"/>
          <w:sz w:val="20"/>
          <w:lang w:val="en-US" w:eastAsia="en-US" w:bidi="ar-SA"/>
        </w:rPr>
        <w:t xml:space="preserve"> that, "the process ... of subjecting the allegations in the pleadings to sceptical analysis in order to determine their true character, I consider that to have been an entirely appropriate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Therefore, in my opinion, considering the circumstances, litigation history and allegations in the case at bar it is appropriate to subject them to a sceptical analysis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Most of these wide and sweeping allegations would not, even if true, ground an action for intentional infliction of nervous shock 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way of a breach of duty. However, particularly in that they are directed at all defendants, which includes a police department, a Regional District, corporations and individuals, the allegations can only be viewed as wild speculation. As said by Mr. Justice McKenzie, they are "only language, not reality." More substantively it can be said, paraphrasing from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that they are but speculation and it is not required that they be taken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Stephen v. HMTQ</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xml:space="preserve"> at paras. 49, 59-60, where the Court, following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found that the claim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defendant also relies on the </w:t>
      </w:r>
      <w:r>
        <w:rPr>
          <w:rFonts w:ascii="arial" w:eastAsia="arial" w:hAnsi="arial" w:cs="arial"/>
          <w:i/>
          <w:color w:val="000000"/>
          <w:sz w:val="20"/>
          <w:lang w:val="en-US" w:eastAsia="en-US" w:bidi="ar-SA"/>
        </w:rPr>
        <w:t>Jerry Rose</w:t>
      </w:r>
      <w:r>
        <w:rPr>
          <w:rFonts w:ascii="arial" w:eastAsia="arial" w:hAnsi="arial" w:cs="arial"/>
          <w:color w:val="000000"/>
          <w:sz w:val="20"/>
          <w:lang w:val="en-US" w:eastAsia="en-US" w:bidi="ar-SA"/>
        </w:rPr>
        <w:t xml:space="preserve"> trilogy of cases: </w:t>
      </w:r>
      <w:r>
        <w:rPr>
          <w:rFonts w:ascii="arial" w:eastAsia="arial" w:hAnsi="arial" w:cs="arial"/>
          <w:i/>
          <w:color w:val="000000"/>
          <w:sz w:val="20"/>
          <w:lang w:val="en-US" w:eastAsia="en-US" w:bidi="ar-SA"/>
        </w:rPr>
        <w:t>Jerry Rose Jr. v. The University of British Columbia</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2008 BCSC 1661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Jerry Rose #1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Rose v. RCMP</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2009 BCSC 1116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Jerry Rose #2</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Rose v. Canada (Royal Canadian Mounted Police)</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2009 BCSC 1750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Jerry Rose #3</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all of these cases involved successful applications by the defendants to strike the claim under former R. 19(24) and in particular, R.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Similar to the allegations of Mr. Szocik in this case, Mr. Rose alleged that the defendants were invading his brain and affecting his ability to think. He alleged in part that the defendants had implanted a microchip in his brain and a radio frequency chip in his neck, which devices the defendants used to monitor and record his thoughts and control his thoughts and actions. As a result, he claimed that he had been assaulted and that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were violated.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Jerry Rose #1</w:t>
      </w:r>
      <w:r>
        <w:rPr>
          <w:rFonts w:ascii="arial" w:eastAsia="arial" w:hAnsi="arial" w:cs="arial"/>
          <w:color w:val="000000"/>
          <w:sz w:val="20"/>
          <w:lang w:val="en-US" w:eastAsia="en-US" w:bidi="ar-SA"/>
        </w:rPr>
        <w:t>, the Court found that "[a]lthough assault and battery is normally taken to require physical contact, if Mr. Rose was able to prove that his brain had been invaded by some sort of waves generated by the defendants, affecting his ability to think ..., that may give rise to a cause of action". But the Court went on to note that these allegations could only be viewed as "wild speculation" and it was plain and obvious the claim was bound to fail under R. 19(24)(a): para. 13. The decision of the Court was largely driven by the fact that the allegations were advanced against all thirteen defendants, without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Within weeks of the dismissal of the claims in </w:t>
      </w:r>
      <w:r>
        <w:rPr>
          <w:rFonts w:ascii="arial" w:eastAsia="arial" w:hAnsi="arial" w:cs="arial"/>
          <w:i/>
          <w:color w:val="000000"/>
          <w:sz w:val="20"/>
          <w:lang w:val="en-US" w:eastAsia="en-US" w:bidi="ar-SA"/>
        </w:rPr>
        <w:t>Jerry Rose #1</w:t>
      </w:r>
      <w:r>
        <w:rPr>
          <w:rFonts w:ascii="arial" w:eastAsia="arial" w:hAnsi="arial" w:cs="arial"/>
          <w:color w:val="000000"/>
          <w:sz w:val="20"/>
          <w:lang w:val="en-US" w:eastAsia="en-US" w:bidi="ar-SA"/>
        </w:rPr>
        <w:t xml:space="preserve">, Mr. Rose commenced two more actions against a similar set of defendants. These were considered in </w:t>
      </w:r>
      <w:r>
        <w:rPr>
          <w:rFonts w:ascii="arial" w:eastAsia="arial" w:hAnsi="arial" w:cs="arial"/>
          <w:i/>
          <w:color w:val="000000"/>
          <w:sz w:val="20"/>
          <w:lang w:val="en-US" w:eastAsia="en-US" w:bidi="ar-SA"/>
        </w:rPr>
        <w:t>Jerry Rose #2</w:t>
      </w:r>
      <w:r>
        <w:rPr>
          <w:rFonts w:ascii="arial" w:eastAsia="arial" w:hAnsi="arial" w:cs="arial"/>
          <w:color w:val="000000"/>
          <w:sz w:val="20"/>
          <w:lang w:val="en-US" w:eastAsia="en-US" w:bidi="ar-SA"/>
        </w:rPr>
        <w:t xml:space="preserve">. The Court found that since the allegations in these actions were essentially the same as were dismissed in </w:t>
      </w:r>
      <w:r>
        <w:rPr>
          <w:rFonts w:ascii="arial" w:eastAsia="arial" w:hAnsi="arial" w:cs="arial"/>
          <w:i/>
          <w:color w:val="000000"/>
          <w:sz w:val="20"/>
          <w:lang w:val="en-US" w:eastAsia="en-US" w:bidi="ar-SA"/>
        </w:rPr>
        <w:t>Jerry Rose #1</w:t>
      </w:r>
      <w:r>
        <w:rPr>
          <w:rFonts w:ascii="arial" w:eastAsia="arial" w:hAnsi="arial" w:cs="arial"/>
          <w:color w:val="000000"/>
          <w:sz w:val="20"/>
          <w:lang w:val="en-US" w:eastAsia="en-US" w:bidi="ar-SA"/>
        </w:rPr>
        <w:t>, Mr. Rose was estopped from bringing these further actions against the same defendants: paras. 32-33.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Rose was undeterred. Within a month and a half of the decision in </w:t>
      </w:r>
      <w:r>
        <w:rPr>
          <w:rFonts w:ascii="arial" w:eastAsia="arial" w:hAnsi="arial" w:cs="arial"/>
          <w:i/>
          <w:color w:val="000000"/>
          <w:sz w:val="20"/>
          <w:lang w:val="en-US" w:eastAsia="en-US" w:bidi="ar-SA"/>
        </w:rPr>
        <w:t>Jerry Rose #2</w:t>
      </w:r>
      <w:r>
        <w:rPr>
          <w:rFonts w:ascii="arial" w:eastAsia="arial" w:hAnsi="arial" w:cs="arial"/>
          <w:color w:val="000000"/>
          <w:sz w:val="20"/>
          <w:lang w:val="en-US" w:eastAsia="en-US" w:bidi="ar-SA"/>
        </w:rPr>
        <w:t xml:space="preserve">, Mr. Rose commenced </w:t>
      </w:r>
      <w:r>
        <w:rPr>
          <w:rFonts w:ascii="arial" w:eastAsia="arial" w:hAnsi="arial" w:cs="arial"/>
          <w:i/>
          <w:color w:val="000000"/>
          <w:sz w:val="20"/>
          <w:lang w:val="en-US" w:eastAsia="en-US" w:bidi="ar-SA"/>
        </w:rPr>
        <w:t>Jerry Rose #3</w:t>
      </w:r>
      <w:r>
        <w:rPr>
          <w:rFonts w:ascii="arial" w:eastAsia="arial" w:hAnsi="arial" w:cs="arial"/>
          <w:color w:val="000000"/>
          <w:sz w:val="20"/>
          <w:lang w:val="en-US" w:eastAsia="en-US" w:bidi="ar-SA"/>
        </w:rPr>
        <w:t xml:space="preserve"> with a somewhat more focused list of defendants. The Court found that, if the allegations in Mr. Rose's statement of claim were viewed as true, and with appropriate amendments to clarify certain matters, they disclosed a cause of action in tortious assault: para. 12. The Court went on to note, however, that the essential allegations are "clearly fictional and cannot rationally be considered true": para. 13. The test under R. 19(24)(a) was not addressed by the Court. Rather, finding that the allegations were "fanciful and incapable of proof", the Court rested its decision to strike the claim on the basis of R. 19(24)(b) and (d) where the claim was found to be frivolous, vexatious and an abuse of the process of the court: paras. 14-25.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Fundamentally, the decisions of the Courts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Jerry Rose #1</w:t>
      </w:r>
      <w:r>
        <w:rPr>
          <w:rFonts w:ascii="arial" w:eastAsia="arial" w:hAnsi="arial" w:cs="arial"/>
          <w:color w:val="000000"/>
          <w:sz w:val="20"/>
          <w:lang w:val="en-US" w:eastAsia="en-US" w:bidi="ar-SA"/>
        </w:rPr>
        <w:t xml:space="preserve"> to strike the claims under R. 9-5(1)(a) (then R. 19(24)(a)) were based on a finding that the claims involved wild speculation directed at all defendants in a wholesale manner. That circumstance is not found in this case where Mr. Szocik has targeted but one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addition, as was noted by the Courts in </w:t>
      </w:r>
      <w:r>
        <w:rPr>
          <w:rFonts w:ascii="arial" w:eastAsia="arial" w:hAnsi="arial" w:cs="arial"/>
          <w:i/>
          <w:color w:val="000000"/>
          <w:sz w:val="20"/>
          <w:lang w:val="en-US" w:eastAsia="en-US" w:bidi="ar-SA"/>
        </w:rPr>
        <w:t>Jerry Rose #1</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Jerry Rose #3</w:t>
      </w:r>
      <w:r>
        <w:rPr>
          <w:rFonts w:ascii="arial" w:eastAsia="arial" w:hAnsi="arial" w:cs="arial"/>
          <w:color w:val="000000"/>
          <w:sz w:val="20"/>
          <w:lang w:val="en-US" w:eastAsia="en-US" w:bidi="ar-SA"/>
        </w:rPr>
        <w:t xml:space="preserve">, these types of allegations might be capable of supporting causes of action. This Court in </w:t>
      </w:r>
      <w:r>
        <w:rPr>
          <w:rFonts w:ascii="arial" w:eastAsia="arial" w:hAnsi="arial" w:cs="arial"/>
          <w:i/>
          <w:color w:val="000000"/>
          <w:sz w:val="20"/>
          <w:lang w:val="en-US" w:eastAsia="en-US" w:bidi="ar-SA"/>
        </w:rPr>
        <w:t>Jerry Rose #1</w:t>
      </w:r>
      <w:r>
        <w:rPr>
          <w:rFonts w:ascii="arial" w:eastAsia="arial" w:hAnsi="arial" w:cs="arial"/>
          <w:color w:val="000000"/>
          <w:sz w:val="20"/>
          <w:lang w:val="en-US" w:eastAsia="en-US" w:bidi="ar-SA"/>
        </w:rPr>
        <w:t xml:space="preserv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do not accept that the Statement of Claim does not allege a cause of action. Although assault and battery is normally taken to require physical contact, if Mr. Rose was able to prove that his brain had been invaded by some sort of waves generated by the defendants, affecting his ability to think, as appears to be alleged in paragraphs one and six of the Statement of Claim, that may give rise to a cause of action. .... He also alleges an assault from a laser source causing injury to him in paragraph 19 of the Statement of Claim. He does thus allege facts which could give rise to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in </w:t>
      </w:r>
      <w:r>
        <w:rPr>
          <w:rFonts w:ascii="arial" w:eastAsia="arial" w:hAnsi="arial" w:cs="arial"/>
          <w:i/>
          <w:color w:val="000000"/>
          <w:sz w:val="20"/>
          <w:lang w:val="en-US" w:eastAsia="en-US" w:bidi="ar-SA"/>
        </w:rPr>
        <w:t>Jerry Rose #3</w:t>
      </w:r>
      <w:r>
        <w:rPr>
          <w:rFonts w:ascii="arial" w:eastAsia="arial" w:hAnsi="arial" w:cs="arial"/>
          <w:color w:val="000000"/>
          <w:sz w:val="20"/>
          <w:lang w:val="en-US" w:eastAsia="en-US" w:bidi="ar-SA"/>
        </w:rPr>
        <w:t>, this Court further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If the allegations in the plaintiff's statement of claim are viewed as true, they disclose, at a minimum, a cause of action in tortious assault. The plaintiff's statement of claim in this action, if read in conjunction with his affidavit, is less general and speculative than his statement of claim in the first action. With appropriate amendments respecting time, place, the identification of individual tortfeasors, and vicarious liability, it is arguable that the defendants have not met the test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respecting R.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Szocik has provided a great amount of detail concerning the alleged actions of the SSUK against him. I accept that these allegations strain the bounds of current knowledge and perhaps, imagination. However, the principle from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that the court may look behind the allegations to discern if they are capable of proof is one applied where there is a cause of action alleged and the court must critically examine the facts giving rise to the cause of action in terms of deciding whether the cause of action disclosed is "reasonable" and whether the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That is a far different issue than deciding whether, pursuant to R. 21-8(1)(a), the pleading alleges facts which, if assumed to be true, would establish jurisdiction over a defendant. I have not been referred to any case which applied a similar approach under R. 21-8(1)(a), namely striking a claim for lack of jurisdiction based on the alleged facts being incapable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assume that the defendant did not bring an application under R. 9-5(1)(a) to strike the claim because it wished to exercise its jurisdictional arguments in the first instance. In that way, the defendant avoids any argument under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that it has taken a step in the proceeding other than to claim immunity, which would have possibly stood as an exception to that claim of immunity: s. 4(3)(a).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Nevertheless, I do not find that the potential argument that these allegations are incapable of proof is dispositive of the jurisdiction issue. A finding in that respect would be more applicable to a conclusion that the claim, such as it is, is not reasonable or is bound to fail under R. 9-5(1)(a). Mr. Szocik's claim, as framed, may be bound to fail based on this argument. For the purposes of determining jurisdiction, however, I do not find it useful to examine the claims in this manner. The Rule requires that I assume the facts to be true, and as discussed in the above cases, for all its frailties, on the face of it, there are valid causes of action described in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Accordingly, leaving aside the issue under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I would not have acceded to the argument of the defendant to strike the claim under R. 21-8(1)(a) for this reason.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(iii) Court Jurisdiction and Proceedings Transfer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further alternative, the defendant takes the position that the action should be dismissed as there is no real and substantial connection between British Columbia and the facts upon which the proceeding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sets out the circumstances in which a court in British Columbia has territorial competence in a proceeding. These circumstances include where "there is a real and substantial connection between British Columbia and the facts on which the proceeding against that person is based": s. 3(e).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Rule 4-5 governs service outside of British Columbia and allows such service without leave of this Court in any of the circumstances enumerated in s. 10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It appears that service of the notice of civil claim on the defendant was effected outside of British Columbia without leave being obtained. The notice of civil claim was not endorsed as required under R. 4-5(2) to indicate which of the circumstances enumerated in s. 10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allowed service in this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Nevertheless, Mr. Szocik indicated during the hearing that he relies on s. 10(g)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which provides that a real and substantial connection between British Columbia and the facts is presumed to exist if the proceeding "concerns a tort committed in British Columbia". He alleges that the defendant has committed torts in British Columbia from late 2009 to early 2010, namely assault, intentional infliction of nervous shock and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burden of establishing territorial competence rests with the party seeking to establish its existence: </w:t>
      </w:r>
      <w:r>
        <w:rPr>
          <w:rFonts w:ascii="arial" w:eastAsia="arial" w:hAnsi="arial" w:cs="arial"/>
          <w:i/>
          <w:color w:val="000000"/>
          <w:sz w:val="20"/>
          <w:lang w:val="en-US" w:eastAsia="en-US" w:bidi="ar-SA"/>
        </w:rPr>
        <w:t>Josephson v. Balfour Recreation Commission</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2010 BCSC 603</w:t>
        </w:r>
      </w:hyperlink>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tort of assault requires that Mr. Szocik establish the intentional creation of the apprehension of imminent harmful or offensive physical contact: A.M. Linden &amp; B.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9th ed. (Toronto: LexisNexis Canada Inc., 2011) at 46. Whatever the words, action and context, the plaintiff must reasonably believe he is in danger of violence: </w:t>
      </w:r>
      <w:r>
        <w:rPr>
          <w:rFonts w:ascii="arial" w:eastAsia="arial" w:hAnsi="arial" w:cs="arial"/>
          <w:i/>
          <w:color w:val="000000"/>
          <w:sz w:val="20"/>
          <w:lang w:val="en-US" w:eastAsia="en-US" w:bidi="ar-SA"/>
        </w:rPr>
        <w:t>Bruce v. Dyer</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[1966] 2 O.R. 705</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58 D.L.R. (2d) 211</w:t>
        </w:r>
      </w:hyperlink>
      <w:r>
        <w:rPr>
          <w:rFonts w:ascii="arial" w:eastAsia="arial" w:hAnsi="arial" w:cs="arial"/>
          <w:color w:val="000000"/>
          <w:sz w:val="20"/>
          <w:lang w:val="en-US" w:eastAsia="en-US" w:bidi="ar-SA"/>
        </w:rPr>
        <w:t xml:space="preserve"> (H.C.), aff'd </w:t>
      </w:r>
      <w:hyperlink r:id="rId204" w:history="1">
        <w:r>
          <w:rPr>
            <w:rFonts w:ascii="arial" w:eastAsia="arial" w:hAnsi="arial" w:cs="arial"/>
            <w:i/>
            <w:color w:val="0077CC"/>
            <w:sz w:val="20"/>
            <w:u w:val="single"/>
            <w:shd w:val="clear" w:color="auto" w:fill="FFFFFF"/>
            <w:lang w:val="en-US" w:eastAsia="en-US" w:bidi="ar-SA"/>
          </w:rPr>
          <w:t>(1967), 8 D.L.R. (3d) 592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Assaults do not involve any personal injury. A threat of violence which exhibits an intention to assault and a present ability to carry out the threat will constitute an assault. Words alone, without some accompanying action, are not normally sufficient to constitute an assault and the context in which the words are spoken must be considered: </w:t>
      </w:r>
      <w:r>
        <w:rPr>
          <w:rFonts w:ascii="arial" w:eastAsia="arial" w:hAnsi="arial" w:cs="arial"/>
          <w:i/>
          <w:color w:val="000000"/>
          <w:sz w:val="20"/>
          <w:lang w:val="en-US" w:eastAsia="en-US" w:bidi="ar-SA"/>
        </w:rPr>
        <w:t>Mainland Sawmills Ltd. v. USW Union Local - 1-3567</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2007 BCSC 1433</w:t>
        </w:r>
      </w:hyperlink>
      <w:r>
        <w:rPr>
          <w:rFonts w:ascii="arial" w:eastAsia="arial" w:hAnsi="arial" w:cs="arial"/>
          <w:color w:val="000000"/>
          <w:sz w:val="20"/>
          <w:lang w:val="en-US" w:eastAsia="en-US" w:bidi="ar-SA"/>
        </w:rPr>
        <w:t xml:space="preserve"> at paras. 98-102.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says that some of the conduct alleged by Mr. Szocik does not meet this test. Those alleged incidents include: expressions of kindness and courtesy to him by the SSUK agent (December 2009); the statement of "I hate you" directed at him to manipulate him into hating someone else (September 24, 2009); the comment of "bitch" directed at Mr. Szocik's companion (October 19, 2009); and comments describing him as "small" and "drunk and depressed" (January 29,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agree that none of these allegations could constitute an imminent threat of harmful or offensive contact to Mr. Szocik.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remaining allegations - concerning the incidents on October 25 and November 4, 2009 - involve those relating to the SSUK agents communicating with Mr. Szocik through the "electronic devices". In particular, the October 25 incidents do involve some threats alleged to have been made to him, relating to "cutting his balls off" and "killing" him. As such, it is arguable that the actions of the SSUK agents could give rise to an apprehension of imminent harmful or offensive physical contact on the part of Mr. Szocik.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defendant says these facts relating to the communication through electronic devices cannot rationally be considered to be true. That may be so, but as discussed above I am not convinced that this analysis is appropriate in relation to the jurisdiction issue. Again, this Court in two of the </w:t>
      </w:r>
      <w:r>
        <w:rPr>
          <w:rFonts w:ascii="arial" w:eastAsia="arial" w:hAnsi="arial" w:cs="arial"/>
          <w:i/>
          <w:color w:val="000000"/>
          <w:sz w:val="20"/>
          <w:lang w:val="en-US" w:eastAsia="en-US" w:bidi="ar-SA"/>
        </w:rPr>
        <w:t>Jerry Rose</w:t>
      </w:r>
      <w:r>
        <w:rPr>
          <w:rFonts w:ascii="arial" w:eastAsia="arial" w:hAnsi="arial" w:cs="arial"/>
          <w:color w:val="000000"/>
          <w:sz w:val="20"/>
          <w:lang w:val="en-US" w:eastAsia="en-US" w:bidi="ar-SA"/>
        </w:rPr>
        <w:t xml:space="preserve"> decisions stated that these types of allegations might be capable of supporting causes of action, such as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Mr. Szocik relies in particular on his newly added cause of action, namely the tort of intentional infliction of nervous shock. On the face of it, Mr. Szocik's allegations - that he was stalked and harassed by the SSUK agents in British Columbia with the intention of causing him psychological injury and that he did suffer psychological injury as a result - could potentially support this cause of action based on the description of the elements of the tort discussed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Finally, Mr. Szocik claims that the actions of the SSUK agents constitute an invasion of his privacy, contrary to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Subsections 1(1) and 1(2)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It is a tort, actionable without proof of damage, for a person, willfully and without a claim of right, to violate the privacy of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nature and degree of privacy to which a person is entitled in a situation or in relation to a matter is that which is reasonable in the circumstances, giving due regard to the lawful interests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Heckert v. 5470 Investments Ltd.</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2008 BCSC 1298</w:t>
        </w:r>
      </w:hyperlink>
      <w:r>
        <w:rPr>
          <w:rFonts w:ascii="arial" w:eastAsia="arial" w:hAnsi="arial" w:cs="arial"/>
          <w:color w:val="000000"/>
          <w:sz w:val="20"/>
          <w:lang w:val="en-US" w:eastAsia="en-US" w:bidi="ar-SA"/>
        </w:rPr>
        <w:t xml:space="preserve"> at para. 73, the Court identified various privacy interests that were intended to be protected and where breaches of those interests may give rise to a cause of action: (a) intrusion upon a person's seclusion or solitude, or into his private affairs; (b) public disclosure of embarrassing private facts about the person; (c) publicity which places the plaintiff in a false light in the public eye; and (d) appropriation, for the defendant's advantage, of the plaintiff's name or likeness. See also </w:t>
      </w:r>
      <w:r>
        <w:rPr>
          <w:rFonts w:ascii="arial" w:eastAsia="arial" w:hAnsi="arial" w:cs="arial"/>
          <w:i/>
          <w:color w:val="000000"/>
          <w:sz w:val="20"/>
          <w:lang w:val="en-US" w:eastAsia="en-US" w:bidi="ar-SA"/>
        </w:rPr>
        <w:t>Jones v. Tsige</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2012 ONCA 32</w:t>
        </w:r>
      </w:hyperlink>
      <w:r>
        <w:rPr>
          <w:rFonts w:ascii="arial" w:eastAsia="arial" w:hAnsi="arial" w:cs="arial"/>
          <w:color w:val="000000"/>
          <w:sz w:val="20"/>
          <w:lang w:val="en-US" w:eastAsia="en-US" w:bidi="ar-SA"/>
        </w:rPr>
        <w:t xml:space="preserve"> at paras. 18-21. There is no dispute in this case that we are dealing only with the first interest, namely the right of seclusion and solitude.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defendant contends that the conduct and communications of the SSUK agents that Mr. Szocik alleges occurred in British Columbia do not establish any violation of his privacy. In particular, the defendant contends that all of the alleged conduct occurred in a public space where a person has a low expectation of privacy. In </w:t>
      </w:r>
      <w:r>
        <w:rPr>
          <w:rFonts w:ascii="arial" w:eastAsia="arial" w:hAnsi="arial" w:cs="arial"/>
          <w:i/>
          <w:color w:val="000000"/>
          <w:sz w:val="20"/>
          <w:lang w:val="en-US" w:eastAsia="en-US" w:bidi="ar-SA"/>
        </w:rPr>
        <w:t>Wasserman v. Hall</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2009 BCSC 1318</w:t>
        </w:r>
      </w:hyperlink>
      <w:r>
        <w:rPr>
          <w:rFonts w:ascii="arial" w:eastAsia="arial" w:hAnsi="arial" w:cs="arial"/>
          <w:color w:val="000000"/>
          <w:sz w:val="20"/>
          <w:lang w:val="en-US" w:eastAsia="en-US" w:bidi="ar-SA"/>
        </w:rPr>
        <w:t xml:space="preserve"> at para. 75, the Court stated that with respect to s. 1(2)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a person's reasonable expectation of privacy in a public space will be substantially less than in a private place, such as his or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place where privacy interests are in issue does not, however, dictate whether the expectations of privacy in that place are reasonable or not. Reasonable expectations may not exist with respect to private property and conversely, reasonable expectations may exist with respect to public places: </w:t>
      </w:r>
      <w:r>
        <w:rPr>
          <w:rFonts w:ascii="arial" w:eastAsia="arial" w:hAnsi="arial" w:cs="arial"/>
          <w:i/>
          <w:color w:val="000000"/>
          <w:sz w:val="20"/>
          <w:lang w:val="en-US" w:eastAsia="en-US" w:bidi="ar-SA"/>
        </w:rPr>
        <w:t>Heckert</w:t>
      </w:r>
      <w:r>
        <w:rPr>
          <w:rFonts w:ascii="arial" w:eastAsia="arial" w:hAnsi="arial" w:cs="arial"/>
          <w:color w:val="000000"/>
          <w:sz w:val="20"/>
          <w:lang w:val="en-US" w:eastAsia="en-US" w:bidi="ar-SA"/>
        </w:rPr>
        <w:t xml:space="preserve"> at paras. 78-83. All of the circumstances must be considered in determining whether the expectations are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this case, all of the incidents alleged by Mr. Szocik are said to have taken place in public places. Even so, he may still have had some reasonable expectations of privacy depending on the circumstances. In addition, if in fact the SSUK agents were speaking to him through the use of electronic devices, then such interference may ground a breach of his personal privacy interests in that it breached his right to seclusion and solitude: see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wish to make it clear that I do regard Mr. Szocik's claim as fanciful and of doubtful merit; and although the issue is not before me, I do consider that the claims are likely not reasonable and are bound to fail. The arguments of the defendant as to whether Mr. Szocik has a valid claim are forceful ones. Nevertheless, these arguments are not advanced under R. 9-5(1) (striking pleadings since no reasonable claim, frivolous, vexatious, abuse of process), or even under R. 9-6 (summary judgment) or R. 9-7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Similar to my conclusions relating to R. 21-8, in my view, for the purposes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the Court should not delve into an inquiry as to whether the facts are capable of proof or consider the merits of the proposed causes of action in assessing whether the Court has jurisdiction over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accept the arguments of the defendant that it enjoys immunity pursuant to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Given my conclusion on this point, it is unnecessary to address Mr. Szocik's proposed amendments to his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Accordingly,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4"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Virk v. Robertson, [2016] B.C.J. No. 1691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29-31 and April 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M136399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1691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1458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Manjit Kaur Virk, Plaintiff, and Liam A. Robertson,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5"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5"/>
      <w:bookmarkEnd w:id="51"/>
      <w:r>
        <w:rPr>
          <w:rFonts w:ascii="arial" w:eastAsia="arial" w:hAnsi="arial" w:cs="arial"/>
          <w:b/>
          <w:color w:val="000000"/>
          <w:sz w:val="20"/>
          <w:lang w:val="en-US" w:eastAsia="en-US" w:bidi="ar-SA"/>
        </w:rPr>
        <w:t>Damages — Physical and psychological injuries — Physical injuries — Body injuries — Back and spine — Neck — Soft tissue — Considerations impacting on award — Pre-existing injury — Action by 30-year-old plaintiff for damages for personal injuries sustained in motor vehicle accident in 2013 allowed — Plaintiff, human resources administrator, suffered soft tissue injuries to neck and upper back — Previously suffered injuries to neck and back in 2009 accident — 2013 accident was principal cause of plaintiff's continuing symptoms and disability — Awarded $70,000 for non-pecuniary damages, $30,000 for loss of past earning capacity, $50,000 for loss of future income earning capacity, $5,000 for cost of future care, and $1,090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Pre-trial pecuniary loss — Expenses and expenditures — Non-pecuniary loss — Pain and suffering — Action by 30-year-old plaintiff for damages for personal injuries sustained in motor vehicle accident in 2013 allowed — Plaintiff, human resources administrator, suffered soft tissue injuries to neck and upper back — Previously suffered injuries to neck and back in 2009 accident — 2013 accident was principal cause of plaintiff's continuing symptoms and disability — Awarded $70,000 for non-pecuniary damages, $30,000 for loss of past earning capacity, $50,000 for loss of future income earning capacity, $5,000 for cost of future care, and $1,090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5"/>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30-year-old plaintiff for damages for personal injuries sustained in a motor vehicle accident in 2013. Liability for the rear-end collision was admitted. The plaintiff suffered soft tissue injuries to her neck and upper back. She attended physiotherapy and a rehabilitative back program for her injuries. The plaintiff had suffered injuries to her neck and back in an accident in 2009. She testified she had no functional limitations from those injuries at the time of the 2013 accident. She continued to experience neck and back pain and headaches at trial, particularly aggravated by prolonged sitting. At the time of the 2013 accident, the plaintiff was employed as a human resources administrator. After the accident, the plaintiff found it difficult to meet the demands of her job. She resigned in 2015, just prior to taking a prolonged backpacking trip to South America. She was currently employed as a talent acquisition manager with an annual salary of $63,000.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3" w:name="Holdings of Court_5"/>
            <w:bookmarkEnd w:id="5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injuries would make it more difficult for her to be competitive in the workplace because she would likely require some degree of accommodation and would find it difficult to work longer hours. There was a substantial connection between the 2013 accident and the plaintiff's ongoing pain. The 2013 accident was the principal cause of the plaintiff's continuing symptoms and disability. The plaintiff could improve her symptoms by following medical advice that she address her deconditioning through exercise. The plaintiff's pain caused her considerable discomfort and had a significantly negative impact on her enjoyment of life. The plaintiff's non-pecuniary damages were fixed at $70,000. The plaintiff had lost some capacity to earn income prior to trial. Her gross loss of past income earning capacity was set at $30,000. Taking into account her past salary, her age and pre-accident ability, and the evidence of impairment of her ability to compete in the work force, the plaintiff's loss of future income earning capacity was assessed at $50,000. Her cost of future care was assessed at $5,000 for physiotherapy and a chronic pain program. Her special damages were fixed at $1,090. The global assessment of $156,000 was fair and reasonable to both parties.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4" w:name="Legislation Cited_4"/>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6"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216" w:history="1">
        <w:r>
          <w:rPr>
            <w:rFonts w:ascii="arial" w:eastAsia="arial" w:hAnsi="arial" w:cs="arial"/>
            <w:i/>
            <w:color w:val="0077CC"/>
            <w:sz w:val="20"/>
            <w:u w:val="single"/>
            <w:shd w:val="clear" w:color="auto" w:fill="FFFFFF"/>
            <w:lang w:val="en-US" w:eastAsia="en-US" w:bidi="ar-SA"/>
          </w:rPr>
          <w:t>R.S.B.C. 1996, c.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5" w:name="Counsel_5"/>
      <w:bookmarkEnd w:id="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Bruce.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R.V. Burns.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6" w:name="Judgment_5"/>
      <w:bookmarkEnd w:id="56"/>
      <w:r>
        <w:pict>
          <v:line id="_x0000_s1058"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Pre-Accident Condition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Post-Accident Condition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Injuries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Past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7" w:name="R.J. SEWELL J."/>
            <w:bookmarkEnd w:id="57"/>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Manjit Kaur Virk, was injured in a motor vehicle accident on May 4, 2013. The defendant, Liam Robertson, admits liability for Ms. Virk's injuries. However, he disputes the extent and severity of the loss and injuries that Ms. Virk suffered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Virk suffered injuries in an earlier motor vehicle accident in 2009. Her position is that she had largely recovered from those injuries by the time of the accident in this case. Mr. Robertson's position is that Ms. Virk has recovered from any injuries she suffered in the 2013 accident and that any lingering symptoms she is experiencing are caused by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assess Ms. Virk's damages at $156,000.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on May 4, 2013. Ms. Virk's vehicle was rear ended by Mr. Robertson's vehicle when she had to stop quickly to avoid hitting the car in front of her. There was minor damage to Ms. Virk's vehicle but more extensive damage to Mr. Robertson's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Virk was somewhat shaken up by the accident but did not require hospitalization. Her brother, Jas Virk, came to the accident scene but she was able to drive to their father's home in her own vehicle, where she stayed overnight. The next morning, Ms. Virk felt pain in her neck, shoulders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was initially treated by her family doctor, Dr. Konkin.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consensus of the medical evidence is that Ms. Virk suffered soft tissue injuries to her neck and upper back in the accident. These injuries have been treated conservatively with physiotherapy and analgesics.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found Ms. Virk to be an honest witness and accept that she is genuinely experiencing the symptoms she described in her evidence and as she reported them to her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Virk was born on August 17, 1985 and was 27 years old at the time of the accident. She was employed full-time as a human resources administrator level II at London Drugs. She had previously worked as a pharmacy technician with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undisputed evidence is that Ms. Virk was physically active before the accident. She regularly went to the gym and was an active cyclist. She enjoyed spending time with her family and had a wide circle of friends with whom she socialized.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Jas Virk testified that before the accident Ms. Virk was living on her own in Richmond. He described her as being actively engaged with his children, who would on occasion sleep over at her residence. Mr. Virk also stated that Ms. Virk led an active lifestyle and participated in athletic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Virk worked part-time in high school. After graduating from high school she obtained a Diploma in Business Management in 2010 and a Bachelor of Business Administration in Leadership Management in April 2012. For a time she worked at two jobs, one with Monark Marketing Group and one with London Drugs. At London Drugs, she worked as a pharmacy technician from 2006 to 2012 and as a human resources administrator from 2012 to the date of the accident. She left the latter job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2009 accident, Ms. Virk was a passenger in the rear seat of crew cab pickup truck that rolled over. In that accident, she also suffered injuries to her back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2012, Ms. Virk continued to suffer from aching discomfort in her neck and upper back from the 2009 accident. This caused her to suffer occipital headaches. These symptoms were aggravated by sustained sitting at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Ms. Virk testified that she had no ongoing functional imitations as a result of the 2009 accident. She told Dr. Paramonoff that her back pain went away after about two years but that she continued to have residual symptoms in her neck and trapezius regions. This pain was worse at the end of a work day, when she described herself as feeling a little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Virk's career was advancing satisfactorily prior to the 2013 accident. On October 23, 2012, she received a positive job review from her supervisor at London Drugs. She testified that she enjoyed her work. She also got on well with most of her coworkers. The residual injuries she suffered in the 2009 accident did not have any material impact on her job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Virk was initially shaken up and somewhat emotional after the accident. Her brother came to the scene of the accident, but she was able to drive her car to her father's home where she spent the night. The next day, Ms. Virk felt increasing pain to her neck, shoulders and back. She began to experience headaches. Ms. Virk continues to complain of difficulty with her neck which she testified is most severe when she sits at a desk for prolonged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Virk also suffers from occasional lower back pain aggravated by prolonged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Virk states that since the accident she has had very low energy, particularly after a full day's work. Her evidence is that on work days she returns home and usually spends the rest of her waking hours resting.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Shortly after the accident, Ms. Virk moved back in with her father in the family home. She remained there until November 2013 when she moved to live with her brother and his family until May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Jas Virk therefore had a good opportunity to observe her during this period. His evidence is that her behaviour was markedly different after the accident. From being actively engaged in the family and helpful around the home she became detached. At the end of a work day she would generally go to her room to rest. Jas Virk observed her using heat pads on her neck. She had greatly reduced interaction with his children and provided virtually no assistance in running the household. This situation caused difficulties between Ms. Virk and her brother's family and led to her moving to a coach house of her own in Surrey, where she still resides.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Virk testified that after the accident she experienced increasing difficulty in coping with her job at London Drugs. Immediately after the accident she was off work completely until May 26, 2013. She then was put on a graduated return to work program until July 8, 2013. After a week's vacation, she returned to work on July 15, 2013 and worked full-time until June 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that period, Ms. Virk found it increasingly difficult to meet the demands of her job. Her difficulties were exacerbated by changes at work. Until March 2014, there were three persons working in her department. One of her co-workers, Kelly Louie, testified at trial. Mr. Louie described Ms. Virk before the accident as being very knowledgeable, capable and helpful. He confirmed that the personnel position required long periods of sitting at a desk working on a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Louie said that before the accident he did not observe Ms. Virk having any particular difficulties with the demands of her work and that she would only take short breaks. However, when Ms. Virk returned to work after the accident, Mr. Louie observed that she struggled with the physical aspects of her job. She took frequent breaks and he could see that she was in discomfort. She often relied on him to assist her to get her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Mr. Louie remained in the personnel department, he was able to assist Ms. Virk, but he was transferred to another department in May 2014. Ms. Virk testified that Mr. Louie was not immediately replaced and that she was expected to train his replacement when that person was eventually hired. She said that the new employee was not as helpful in assisting with her work and that she found herself increasingly overwhelmed by the demands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Virk purchased a motorcycle in the summer of 2014 and used it throughout that summer. She testified that she sold it in the fall because she found that she did not enjoy riding it as much as she had thought. Mr. Louie testified that on one occasion he rode his motorcycle with her and she appeared to be enjoying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June 6, 2014, Ms. Virk took sick leave as a result of the symptoms she was experiencing from the accident. She returned on a graduated return to work on July 7. From July 7 to August 4, Ms. Virk was on another graduated return to work program, followed by working reduced hours until September 25, when she was again off work completely to engage in a rehabilitation program at Back in Motion. She did not find this program particularly helpful. Eventually, she decided she could not return to her position at London Drugs and resigned effective February 28,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Virk testified that she felt she was not benefitting from the Back in Motion program and left the program because she had decided not to return to London Drugs. In her examination in chief, she said she felt she had to resign because her pain had not resolved. However, in cross-examination she agreed that she was also preparing for a prolonged trip to South 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that Ms. Virk had decided to travel to South America before the date she resigned from London Drugs. At around that time she had gone to a travel medicine clinic to obtain an inoculation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Virk left for South America on March 10, 2015 and returned on June 6, 2015. She was accompanied by her then boyfriend. The defendant characterized this trip as a backpacking trip. However, Ms. Virk said that her boyfriend helped her with her backpack. Nevertheless, Ms. Virk clearly felt well enough to travel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Upon returning from South America, Ms. Virk took about a month to adjust from her trip, during which time she attended convocation for her Bachelor of Commerce Degree, which she had completed after the accident. She began to look for work in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November 4, 2015, she commenced work at Bootlegger as a human resources manager on a one year contract. However that job did not work out. Bootlegger had just emerged from bankruptcy protection and I am satisfied that the company was still in a somewhat disorganized state at that time. Ms. Virk was put in charge of all personnel matters for the Bootlegger chain of stores without adequate support or training. In addition the president who had hired Ms. Virk was replaced in January 2016. On February 9, 2016, Ms. Virk was dismissed by Bootlegger. I find that dismissal resulted from a business decision made by Bootlegger and not from any fault of Ms. Virk.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March 4, 2016, Ms. Virk commenced employment with In Suits Management as a Talent Acquisition Manager at an annual salary of $63,000. As of the date of trial she was still employed at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Virk testified that after the accident she initially felt stiffness in her neck and upper back but that these regions soon became "really sore". The day after the accident she went to a walk in medical clinic. She was advised to take three weeks off work. She was given medication for her pain and was eventually referred to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first three weeks that Ms. Virk was off work her symptoms worsened. She experienced more pain and began to suffer from headaches that she attributed to her neck pain. She said that she really did not feel ready to return to work after the three weeks but did so. She found it very difficult to cope with her work in this period. She continued to suffer from headaches and her mood was depressed. She found it particularly challenging when she returned to a full work schedule in August.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Virk testified that during this period, she was exhausted at the end of a day's work and had no energy to pursue any domestic or recreational activities. Her evidence, which is consistent with that of her brother, is that when she got home she would generally go to her room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Virk was able to go to the gym for exercise, which she found to help her mood. As I have already indicated, on the advice of her long term disability insurer, in September 2014 she went on leave from London Drugs to have treatment at Back in Motion Rehabilitation Inc. However, she left that program before it was completed. She testified that she did not find it helpful and she preferred to continue with her own exercise regime. In addition she had decided to resign from London Drugs before she completed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Konkin, Ms. Virk's family doctor, prepared a medical report in which he states that Ms. Virk suffered soft tissue injuries to her neck and upper and lower back in the 2013 accident. He also reports that the soft tissue injuries resulted in persistent pain in the injured areas and headaches. He is of the opinion that the pain and injuries also precipitated sleep and mood disturbances and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Konkin's opinion is that the 2013 accident reaggravated the injuries Ms. Virk suffered in the 2009 accident. However, he was unable to say if the severity of her 2013 injuries would have been reduced if she had not been previously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Konkin also expressed the opinion that Ms. Virk's prognosis for further improvement was guarded although he thought that she would benefit from physiotherapy or kinesiology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Virk was also examined by Dr. Catherine Paramonoff, a physiatrist, on two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her first report, dated October 31, 2014, Dr. Paramonoff was of the view that Ms. Virk's prognosis for moderate symptomatic and functional improvement was positive, and that she did not have a medical contraindication from participating in activities as a result of her injuries, provided she utilized appropriate adaptations. These included taking mini breaks to stretch and using ergonomically appropriate equipment. In Dr. Paramonoff's opinion, at that time Ms. Virk would not have any significant functional limitations from her ongoing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Paramonoff prepared an updated report on November 30, 2015. Dr. Paramonoff described Ms. Virk's complaints in her November 30, 2015 medical report as follows:</w:t>
      </w:r>
      <w:r>
        <w:rPr>
          <w:rFonts w:ascii="arial" w:eastAsia="arial" w:hAnsi="arial" w:cs="arial"/>
          <w:sz w:val="20"/>
          <w:lang w:val="en-US" w:eastAsia="en-US" w:bidi="ar-SA"/>
        </w:rPr>
        <w:cr/>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and upper back [trapezius region] symptoms; associated headache-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sore and very tight after a longer day or after a day with more activity, involving from the trapezius regions bilaterally and up to the lower back sides of the neck bilaterally; hard to hold her neck up;</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more stress, the pain travels up the back sides of the neck to the back sides of the head, and results in a headache;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symptoms worsen with increased stress;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maximum severity 9.5/10;</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aggravating factors- stress; pushing her body (for example, not taking her rest during a busy day, then she will "pay for it" later that day);</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alleviating factors- lying down with a comfortable pillow and mattress; sitting in a comfortable chair with a headrest so she can rest her head; stretching; moving around/taking a break;</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back symptoms-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burning pain at the upper back;</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starts to slouch as it is hard to sit up straight, and then her shoulders roll forward;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symptoms occur after busy days- within 1-2 days afterwards;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maximum severity 7.5/10;</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alleviating factors- tries to sit straight, and roll her shoulders back; lying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the 2015 report, Dr. Paramonoff noted that Ms. Virk's symptoms had persisted for a prolonged period and she accordingly was more pessimistic about her prognosis. Dr. Paramonoff was still of the opinion that there could still be some mild or even moderate musculoskeletal symptom improvements if Ms. Virk was able to address her findings of altered mechanics and deconditioning. Dr. Paramonoff described these as confounding factors that required management through a properly supervised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her second report, Dr. Paramonoff diagnosed Ms. Virk's condition as follows:</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injuries at the cervical spine, aggravating preexisting pathology/ symptoms.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Muscle tension headache- with a pre-MVA baseline.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injuries at the upper back, aggravating pre-existing pathology/ symptoms.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Post-MVA muscle imbalance/deconditioning also contributing to the symptoms.</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lower back pain: likely largely in association with myofascial sources/ muscle imbalance/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Paramonoff was of the opinion that it was the injuries sustained in the 2013 accident that precipitated Ms. Virk's symptoms but that the lingering injuries from the 2009 accident were making a material contribution to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Virk was also assessed by Dr. Clark, a physiatrist practising in Ontario. Dr. Clark is of the opinion that Ms. Virk's symptoms are primarily attributable to the 2009 accident and that the 2013 accident caused only a temporary exacerbation of her condition but she has returned to her pre-accident baseline state. In his opinion, Ms. Virk's prognosis is excellent. Dr. Clark thinks that Ms. Virk will likely continue to suffer some degree of myofascial discomfort through her neck and shoulders but there is no evidence of pathology related to the 2013 accident that will aggravate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summary, Dr. Clark's opinion is that Ms. Virk has returned to her original position before the accident and that any symptoms she now experiences are attributable to the 2009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prefer Dr. Paramonoff's opinion to that of Dr. Clark. I have some concerns about Dr. Clark's evidence. Firstly, I note that at the outset of his report he stated that he was solely responsible for its contents. The report is just over 10 pages in length. In cross examination, Dr. Clark admitted that the first eight pages of his report, including the patient's history, were in fact prepared by his associate Dr. Boucher. Dr. Clark spent only 15 minutes examining Ms. Virk, who was one of nine patients he examined that day for the purpose of conducting independent medical examinations.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am also concerned that Dr. Clark's report failed to address the significant change in Ms. Virk's functionality and exacerbation of symptoms from before the accident to after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find it somewhat remarkable that Dr. Clark characterizes Ms. Virk's condition as discomfort when she related to Dr. Boucher that she has constant pain in her neck and shoulders rated at between 4/10 and 10/10 in that region. This level of pain was much greater than what she was experiencing before the accident. Dr. Clark also made no effort to explain why the first accident would be continuing to cause these symptoms when the injuries she suffered in that accident had largely resolved by the time of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Given the minimal amount of time Dr. Clark spent examining Ms. Virk, his failure to address the reported increase in the severity of her symptoms after the accident and the extent to which he relied on Dr. Boucher, I give no weight to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the other hand, I found Dr. Paramonoff to be a careful and fair witness. I found her reports to be thorough and balanced. I accept her opinions about the cause of Ms. Virk's injuries and her prognosis for future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Virk was also evaluated by Mr. Andrew Hosking, a physiotherapist and certified work capacity evaluator. Mr. Hosking concluded that Ms. Virk has the capacity to partially meet the physical demands of her employment as a human resources administrator. The cause of her partial incapacity to meet the demands of her occupation is her restricted capacity for prolonged neck flexion. A human resources administrator is required to spend considerable time looking down at a computer screen, reading and writing. These activities require prolonged neck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Mr. Hosking's opinion, Ms. Virk's neck and upper back pain are a limitation on her ability to meet the critical work demands for a sedentary office position. In his opinion she will in future be suited to work at 50% to 75% of full-time hours at a sedentary office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not convinced that Ms. Virk has the level of disability described by Mr. Hosking. After the accident she was able to return to work at London Drugs on a full-time basis. She was also employed in a full time capacity at Bootlegger, albeit for a short period of time, and is currently working full-time at In Suits Marketing at a salary of $63,000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addition, since the accident she has demonstrated the ability to operate a motorcycle and take an extended vacation that involved sitting for long periods on buses and carrying a back pack.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do, however, accept that her injuries are somewhat limiting. She will find it more difficult to be competitive in the workplace because she will likely require some degree of accommodation, such as taking more frequent breaks. She will also find it difficult to work longer hours and this will affect her ability to earn overtime or to meet the demands of managerial positions that require long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parties agree that this case is fact driven. They agree that Ms. Virk was injured in the accident. They also agree that the test for causation is whether there is a substantial connection between the tortious conduct of the defendant and the injuries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this case there is a factual dispute as to whether Ms. Virk's ongoing pain in her neck and shoulders was caused by the 2009 or the 2013 accident. However, as long as the 2013 accident is a cause of her ongoing pain she is entitled to be fully compensated for that pain. The test for causation is summarized in </w:t>
      </w:r>
      <w:r>
        <w:rPr>
          <w:rFonts w:ascii="arial" w:eastAsia="arial" w:hAnsi="arial" w:cs="arial"/>
          <w:i/>
          <w:color w:val="000000"/>
          <w:sz w:val="20"/>
          <w:lang w:val="en-US" w:eastAsia="en-US" w:bidi="ar-SA"/>
        </w:rPr>
        <w:t>Farrant v. Latkin</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To justify compensation for his disabling pain, the plaintiff must establish a causal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general test for causation,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is the "but for" test: "but for" the accident, would the plaintiff have suffered the disabling pain?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Court also stated that a plaintiff need not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If there are other potential non-tortious causes, such as the plaintiff's spinal degeneration in this case, the defendant will still be found liable if the plaintiff can prove the accident caused or materially contributed to the disabling pain, beyond the </w:t>
      </w:r>
      <w:r>
        <w:rPr>
          <w:rFonts w:ascii="arial" w:eastAsia="arial" w:hAnsi="arial" w:cs="arial"/>
          <w:i/>
          <w:color w:val="000000"/>
          <w:sz w:val="20"/>
          <w:lang w:val="en-US" w:eastAsia="en-US" w:bidi="ar-SA"/>
        </w:rPr>
        <w:t>de minimu</w:t>
      </w:r>
      <w:r>
        <w:rPr>
          <w:rFonts w:ascii="arial" w:eastAsia="arial" w:hAnsi="arial" w:cs="arial"/>
          <w:color w:val="000000"/>
          <w:sz w:val="20"/>
          <w:lang w:val="en-US" w:eastAsia="en-US" w:bidi="ar-SA"/>
        </w:rPr>
        <w:t>s range.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Thus, in applying the "but for" test, the trial judge was required to consider not just whether the defendant's conduct was the sole cause of the plaintiff's disabling pain, but also whether the plaintiff had established a substantial connection between the accident and that pain,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this case I find that there is a substantial connection between the 2013 accident and the pain that Ms. Virk continues to suffer. I am satisfied that Ms. Virk had the ability to work full-time before the accident, as well as lead an active social life. I accept that since the accident, she has had difficulty meeting the demands of her job and has had an impairment of her personal life. In addition, I am satisfied that Ms. Virk's level of pain and discomfort has markedly increased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also of the view that the 2013 accident is the principal cause of Ms. Virk's continuing symptoms and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is therefore fully liable for that pain and any resulting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therefore turn to an assessment of Ms. Virk's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Virk claims damages under the following categories: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Virk seeks non-pecuniary damages in the range of $65,000 to $85,000. The defendant submits that her damages should be assessed at between $15,000 and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principles applicable to an award of non-pecuniary damages are not in dispute. They are summarized in the judgment of Kirkpatrick J.A.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 xml:space="preserve">Lindal v. Lindal, </w:t>
      </w:r>
      <w:hyperlink r:id="rId2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at 637 is a helpful reminder: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the amount of an award for non-pecuniary damage should not depend alone upon the seriousness of the injury but upon its ability to ameliorate the condition of the victim considering his or her particular situation</w:t>
      </w:r>
      <w:r>
        <w:rPr>
          <w:rFonts w:ascii="arial" w:eastAsia="arial" w:hAnsi="arial" w:cs="arial"/>
          <w:color w:val="000000"/>
          <w:sz w:val="20"/>
          <w:lang w:val="en-US" w:eastAsia="en-US" w:bidi="ar-SA"/>
        </w:rPr>
        <w:t xml:space="preserve">. It therefore will not follow that in considering what part of the maximum should be awarded the gravity of the injury alone will be determinative. </w:t>
      </w:r>
      <w:r>
        <w:rPr>
          <w:rFonts w:ascii="arial" w:eastAsia="arial" w:hAnsi="arial" w:cs="arial"/>
          <w:color w:val="000000"/>
          <w:sz w:val="20"/>
          <w:u w:val="single"/>
          <w:lang w:val="en-US" w:eastAsia="en-US" w:bidi="ar-SA"/>
        </w:rPr>
        <w:t>An appreciation of the individual's loss is the key and the "need for solace will not necessarily correlate with the seriousness of the injury</w:t>
      </w:r>
      <w:r>
        <w:rPr>
          <w:rFonts w:ascii="arial" w:eastAsia="arial" w:hAnsi="arial" w:cs="arial"/>
          <w:color w:val="000000"/>
          <w:sz w:val="20"/>
          <w:lang w:val="en-US" w:eastAsia="en-US" w:bidi="ar-SA"/>
        </w:rPr>
        <w:t xml:space="preserve">" (Cooper-Stephenson and Saunders,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xml:space="preserve"> (1981), at p. 373). In dealing with an award of this nature it will be impossible to develop a "tariff". </w:t>
      </w:r>
      <w:r>
        <w:rPr>
          <w:rFonts w:ascii="arial" w:eastAsia="arial" w:hAnsi="arial" w:cs="arial"/>
          <w:color w:val="000000"/>
          <w:sz w:val="20"/>
          <w:u w:val="single"/>
          <w:lang w:val="en-US" w:eastAsia="en-US" w:bidi="ar-SA"/>
        </w:rPr>
        <w:t>An award will vary in each case "to meet the specific circumstances of the individual case</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at p. 284 of S.C.R.).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[2004] B.C.J. No. 472</w:t>
        </w:r>
      </w:hyperlink>
      <w:r>
        <w:rPr>
          <w:rFonts w:ascii="arial" w:eastAsia="arial" w:hAnsi="arial" w:cs="arial"/>
          <w:color w:val="000000"/>
          <w:sz w:val="20"/>
          <w:lang w:val="en-US" w:eastAsia="en-US" w:bidi="ar-SA"/>
        </w:rPr>
        <w:t xml:space="preserve"> that influence an award of non-pecuniary damages includes:</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21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Apart from causation, the principal disagreement between the parties on this issue is over whether Ms. Virk has substantially recovered from her injuries. Ms. Virk's counsel submits that she continues to suffer pain from her injuries and that pain likely will be permanent. He relies in this regard on Ms. Virk's own evidence and the evidence of her brother and Mr. Louie. He also relies on the opinions of Dr. Paramonoff and Dr. Konkin, who both accept that Ms. Virk is experiencing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defendant's counsel submits that by 2015, Ms. Virk had largely recovered from her injuries. He points to the fact that Ms. Virk felt well enough to purchase and operate a motorcycle in the summer of 2014 and to take a prolonged trip to South America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Ms. Virk does continue to suffer pain attributable to the accident. However, I am also of the view that there is a substantial possibility that she could improve her symptoms by following the recommendations of Dr. Paramonoff and Mr. Hosking that she address her deconditioning through a supervised program of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Counsel referred me a number of cases supporting their submissions. I have read and considered them, but I do not intend to refer to them because they are all fact specific. In this case, Ms. Virk is still a young woman who will have to endure her pain for a prolonged period. I am satisfied that that pain is causing her considerable discomfort and has had a significantly negative impact on her enjoyment of life. I also find that it has caused her emotional distress and has had a negative impact on her relationship with her family and, in particular, with her brother's family. In addition, quite apart from any financial impact, her pain and difficulty in tolerating her sedentary occupation has affected the satisfaction she formerly found in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Taking all of the above factors into consideration and after reviewing the authorities cited to me by counsel, I award Ms. Virk non-pecuniary damages of $70,000.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parties take a widely divergent view of the claim for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Virk's position is that, but for the accident, she would have continued to work as an human resources administrator II at London Drugs on a full time basis at an annual income of approximately $41,600, or $800 per week. Her counsel submits that her past loss of income capacity should be determined mathematically in two segments.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first segment is the time that she continued to be an employee of London Drugs but lost income as a result of reduced hours in rehabilitation and while on a graduated return to work program. Her counsel submitted, based on the records provided by London Drugs, that the income she lost in this period can be calculated at $20 per hour for 261.5 hours, for a gross loss of $27,630 before taking income tax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second segment claimed is for the period after Ms. Virk resigned from London Drugs to the date of trial. Counsel submits that Ms. Virk's loss of income in that period should continue to be based on what Ms. Virk would have earned at London Drugs, less the amount she earned while employed at Bootlegger. Taking that amount into account the gross loss of income would be $45,066 less $21,751 or $24,315.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Counsel therefore submits that an appropriate assessment of damages for loss of past earning capacity is $51,945 less a deduction for income tax in accordance with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submits that Ms. Virk has not established any loss of income attributable to the accident after she completed her graduated return to work on August 5, 2013. I accept that the loss for the period up to that date is $4,591, as submitted by defendant's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settled law that an award for past loss of income earning capacity is made for the impairment of a capital asset. In this case I am satisfied that Ms. Virk did lose some capacity to earn income prior to trial. On balance I am satisfied that her claim for loss of income up to date of her resignation from London Drugs has been made out. I note that Ms. Virk had the support of her employer to take time off in 2014 and to attend the Back in Motion rehabilitation program. I also accept the evidence of Dr. Paramonoff, which supports a claim for lost income in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However, I am also of the opinion that the evidence does not support an arithmetic assessment of any loss she suffered after her resignation. In that period, Ms. Virk travelled, then took time some time to look for work, ultimately finding a positon with Bootlegger on November 4, 2015. I am not satisfied that there is a sufficient connection between Ms. Virk's injuries and her loss of that position to be compensable. However, I am also satisfied that the factors identified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26 B.C.L.R. (3d) 353</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discussed at paragraph 84 of these reasons, apply to the claim for past loss of income. I find that Ms. Virk did have difficulty in working full time in a sedentary position requiring her to flex her neck and that this had an impact on her ability to earn income after February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Taking all the evidence into account, I assess Ms. Virk's gross loss of past income earning capacity at $30,000.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this case, neither party has argued for an arithmetic assessment of loss of future income earning capacity. The defendant says Ms. Virk has not shown any loss or substantial possibility of loss of future income earning capacity. The plaintiff submits that an award of approximately two years income is appropriate based on the evidence of Dr. Paramonoff and Mr. Hosking to the effect that Ms. Virk's injuries will affect her ability to work full time in the future. Mr. Hosking is of the opinion that Ms. Virk's neck and upper back condition have caused a clear limitation of her ability to meet the physical work demands of sedentary or office work. Mr. Hosking is of the opinion that Ms. Virk's capacity to tolerate prolonged flexion and extension of her neck place limitations on her ability to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However, both Mr. Hosking and Dr. Paramonoff are of the opinion that Ms. Virk's condition could be improved if she undergoes a supervised rehabilitation program to address her present deconditioning and address her musculature shortcomings. I also note that Ms. Virk has been able to find full-time employment and to meet the physical demands of her position with Bootlegger and with In Suits Marketing.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Finch J., as he then was, sets out factors to be taken into account in assessing a claim for loss of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In </w:t>
      </w:r>
      <w:r>
        <w:rPr>
          <w:rFonts w:ascii="arial" w:eastAsia="arial" w:hAnsi="arial" w:cs="arial"/>
          <w:i/>
          <w:color w:val="000000"/>
          <w:sz w:val="20"/>
          <w:lang w:val="en-US" w:eastAsia="en-US" w:bidi="ar-SA"/>
        </w:rPr>
        <w:t>Andrews et al. v. Grand &amp; Toy Alberta Ltd. et al.</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(1978), 83 D.L.R. (3d) 452</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[1978] 1 W.W.R. 577</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8 A.R. 182</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3 C.C.L.T. 225</w:t>
        </w:r>
      </w:hyperlink>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 N.R. 50</w:t>
        </w:r>
      </w:hyperlink>
      <w:r>
        <w:rPr>
          <w:rFonts w:ascii="arial" w:eastAsia="arial" w:hAnsi="arial" w:cs="arial"/>
          <w:color w:val="000000"/>
          <w:sz w:val="20"/>
          <w:lang w:val="en-US" w:eastAsia="en-US" w:bidi="ar-SA"/>
        </w:rPr>
        <w:t xml:space="preserve"> Dickson J., as he then was, characterized the problem of assessing a claim for lost ability to earn income in this way (p. 469 D.L.R.):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of which compensation must be made: </w:t>
      </w:r>
      <w:r>
        <w:rPr>
          <w:rFonts w:ascii="arial" w:eastAsia="arial" w:hAnsi="arial" w:cs="arial"/>
          <w:i/>
          <w:color w:val="000000"/>
          <w:sz w:val="20"/>
          <w:lang w:val="en-US" w:eastAsia="en-US" w:bidi="ar-SA"/>
        </w:rPr>
        <w:t xml:space="preserve">The Queen v. Jennings, </w:t>
      </w:r>
      <w:hyperlink r:id="rId221" w:history="1">
        <w:r>
          <w:rPr>
            <w:rFonts w:ascii="arial" w:eastAsia="arial" w:hAnsi="arial" w:cs="arial"/>
            <w:i/>
            <w:color w:val="0077CC"/>
            <w:sz w:val="20"/>
            <w:u w:val="single"/>
            <w:shd w:val="clear" w:color="auto" w:fill="FFFFFF"/>
            <w:lang w:val="en-US" w:eastAsia="en-US" w:bidi="ar-SA"/>
          </w:rPr>
          <w:t>[1965] O.J. No. 982</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means by which the value of the lost, or impaired, asset is to be assessed varies of course from case to case. Some of the considerations to take into account in making that assessment include whether:</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above considerations were endorsed in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hyperlink r:id="rId120"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assessing damages under this head I must also take into account substantial possibilities. In this case, I find that there is a substantial possibility that Ms. Virk's condition will improve if she follows the conditioning recommendations set out above. Taking Ms. Virk's education and training into account, I am satisfied that she wishes to pursue a career that will require her to work at a desk with its attendant flexion of her neck. It also appears that her neck pain is chronic, although it may improve if she is able to address the deconditioning identified in the medical reports. I am therefore satisfied that the injuries she has suffered have rendered her less capable overall from earning income as well as less marketable or attractive to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Taking into account the salary she earned at London Drugs, her age and pre-accident abilities, and the evidence of impairment of her ability to compete in the work force, I assess damages for loss of future income earing capacity at $50,000.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have taken the substantial possibility that Ms. Virk will benefit from the therapies recommended by Dr. Paramonoff and Mr. Hosking into account in assessing her damages for loss of future income earning capacity. I am also satisfied that these treatments are medically justified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Based on the costs identified in the reports, I accept the plaintiff's claim of $5,000 for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900"/>
        <w:gridCol w:w="25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 for Ms. Virk's musculature imbalance</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IMS Treatments</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Chronic Pain Program</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$5,000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parties are agreed that Ms. Virk is entitled to special damages in the amount of $1,090. 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summary, I award Ms. Virk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60"/>
        <w:gridCol w:w="238"/>
        <w:gridCol w:w="4026"/>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Non-Pecuniary Damages Loss of Past Earning Capacity Loss of Future Income Earning Capacity Cost of Future Care Special Damages </w:t>
            </w:r>
            <w:r>
              <w:rPr>
                <w:rFonts w:ascii="arial" w:eastAsia="arial" w:hAnsi="arial" w:cs="arial"/>
                <w:b/>
                <w:color w:val="000000"/>
                <w:sz w:val="18"/>
                <w:lang w:val="en-US" w:eastAsia="en-US" w:bidi="ar-SA"/>
              </w:rPr>
              <w:t>Total</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$ 70,000 $ 30,000 (gross) $ 50,000 $ 5,000 $ 1,090 </w:t>
            </w:r>
            <w:r>
              <w:rPr>
                <w:rFonts w:ascii="arial" w:eastAsia="arial" w:hAnsi="arial" w:cs="arial"/>
                <w:b/>
                <w:color w:val="000000"/>
                <w:sz w:val="18"/>
                <w:lang w:val="en-US" w:eastAsia="en-US" w:bidi="ar-SA"/>
              </w:rPr>
              <w:t>$156,090</w:t>
            </w:r>
            <w:r>
              <w:rPr>
                <w:rFonts w:ascii="arial" w:eastAsia="arial" w:hAnsi="arial" w:cs="arial"/>
                <w:color w:val="000000"/>
                <w:sz w:val="18"/>
                <w:lang w:val="en-US" w:eastAsia="en-US" w:bidi="ar-SA"/>
              </w:rPr>
              <w:t xml:space="preserve"> </w:t>
            </w:r>
            <w:r>
              <w:rPr>
                <w:rFonts w:ascii="arial" w:eastAsia="arial" w:hAnsi="arial" w:cs="arial"/>
                <w:b/>
                <w:color w:val="000000"/>
                <w:sz w:val="18"/>
                <w:lang w:val="en-US" w:eastAsia="en-US" w:bidi="ar-SA"/>
              </w:rPr>
              <w:t>Rounded to $156,000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am satisfied that the global assessment of $156,000 is fair and reasonable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plaintiff is therefore awarded damages of $156,000 less a deduction to the past loss of income award in accordance with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parties will be at liberty to apply with respect to the proper deduction pursuant to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if they are unable to agree on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Subject to the right of the parties to apply for another order, the plaintiff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Wood v. Jaffer, [2018] B.C.J. No. 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11-15, 18-21 and June 16-17,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S128907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Jason Wood, Plaintiff, and Pharid Nurdin Jaffer and Amy Louise Jaffer,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0"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8" w:name="Keywords_6"/>
      <w:bookmarkEnd w:id="58"/>
      <w:r>
        <w:rPr>
          <w:rFonts w:ascii="arial" w:eastAsia="arial" w:hAnsi="arial" w:cs="arial"/>
          <w:b/>
          <w:color w:val="000000"/>
          <w:sz w:val="20"/>
          <w:lang w:val="en-US" w:eastAsia="en-US" w:bidi="ar-SA"/>
        </w:rPr>
        <w:t>Construction law — Liability — Of contractors and subcontractors — Duties — Duty to owner — Grounds — Defective workmanship — Action by Wood to recover amounts unpaid for home construction allowed, and counterclaim by owners for damages for deficiencies allowed in part — Wood was owed $210 for unpaid work, while owners were entitled to $900 for acknowledged deficiencies in installing windows and roof sheeting and $2,434 associated with door that Wood ordered in error.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Defamation — Method of publication — Miscellaneous — Assessment of damages — Action by Wood for damages for defamation against Jaffers, for whom he was contracted to construct home, allowed — Construction business was competitive and Wood was vulnerable to attacks on reputation — Jaffers wrote defamatory letters to Better Business Bureau and Home Builders' Association, claiming Wood engaged in fraudulent accounting — Jaffers knew year before they apologized that their allegations was unfounded, and apologies were equivocal — Wood awarded $35,000 for general damages and $10,000 in punitive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What constitutes defamatory words — Allegations of dishonesty in business — Defences — Fair comment — Privilege — Qualified privilege — Complaints to public authorities — Malice — Action by Wood for damages for defamation against Jaffers, for whom he was contracted to construct home, allowed — Construction business was competitive and Wood was vulnerable to attacks on reputation — Jaffers wrote defamatory letters to Better Business Bureau and Home Builders' Association, claiming Wood engaged in fraudulent accounting — Jaffers knew year before they apologized that their allegations was unfounded, and apologies were equivocal — Wood awarded $35,000 for general damages and $10,000 in punitive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9" w:name="Case Summary_6"/>
            <w:bookmarkEnd w:id="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Wood for damages for defamation from Jaffer and his wife, for whom Wood was contracted by build a home. Wood also sought to recover amounts owing. Jaffer and his wife counterclaimed for damages for breach of contract and breach of duty. The parties contracted for a home to be constructed by Wood using the Jaffers' designs and specifications. Changes to the design by the Jaffers increased the costs. Disputes arose between the parties as to the reasonableness of the estimates that Wood initially provided, the accuracy of his billings and his entitlement to management fees. The parties' relationship ultimately broke down and the Jaffers found another contractor to complete their home. They wrote a letter to the Better Business Bureau and the Canadian Home Builders' Association, alleging fraudulent accounting and billing practices by Wood. They also reported Wood to the RCMP, but no charges were laid following an investigation. Jaffer admitted under cross-examination at trial that the fraudulent activities alleged were probably not committed and stated that he would offer an apology. His wife denied knowledge that he had signed her name to the defamatory statements and offered an apology. The apologies came over three years after the statements were made and more than two years after Wood's examination for discovery made it clear that no fraud was perpetrated on the Jaffers.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0" w:name="Holdings of Court_6"/>
            <w:bookmarkEnd w:id="60"/>
            <w:r>
              <w:rPr>
                <w:rFonts w:ascii="arial" w:eastAsia="arial" w:hAnsi="arial" w:cs="arial"/>
                <w:color w:val="000000"/>
                <w:sz w:val="20"/>
                <w:lang w:val="en-US" w:eastAsia="en-US" w:bidi="ar-SA"/>
              </w:rPr>
              <w:t>HELD: Action allowed, and counterclaim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 respect to the defamatory statements alleging fraud on Wood's part, the defence of fair comment was unavailable to Jaffer because the statements related to a private contract, not a matter of public interest. Where neither the Bureau nor the Association had any reciprocal interest in receiving the information contained in Jaffer's statement, the defence of qualified privilege was not available. Further, the dominant purpose of the statements was malice. The Jaffers' apologies contained attempts to deflect the blame for their defamatory statements to each other and to Wood himself for failing to make his accounting practices clear. The apologies came more than three years after the statements were made and did not constitute a full and fair retraction and were therefore not mitigating of the damages to which Wood was entitled for defamation. Aggravated damages were warranted by the Jaffers' continued reliance on the fraud allegation despite knowledge that they were unsubstantiated. In the competitive field of construction, Wood was vulnerable to attacks on his reputation. He was awarded $35,000 in general damages as against both Jaffer and his wife. Punitive damages of $10,000 were awarded for the Jaffers' failure to retract their statements in a timely and unequivocal way. He was also awarded $210 for amounts unpaid under the parties' contract. The Jaffers were entitled to compensation for the costs associated with Wood ordering the wrong door for their home and for deficiencies in installing some windows and roof sheeting. These totaled $2,434 and $900, respectively.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1" w:name="Legislation Cited_5"/>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1"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Criminal Code, </w:t>
      </w:r>
      <w:hyperlink r:id="rId229" w:history="1">
        <w:r>
          <w:rPr>
            <w:rFonts w:ascii="arial" w:eastAsia="arial" w:hAnsi="arial" w:cs="arial"/>
            <w:i/>
            <w:color w:val="0077CC"/>
            <w:sz w:val="20"/>
            <w:u w:val="single"/>
            <w:shd w:val="clear" w:color="auto" w:fill="FFFFFF"/>
            <w:lang w:val="en-US" w:eastAsia="en-US" w:bidi="ar-SA"/>
          </w:rPr>
          <w:t>R.S.C. 1985, c. C-46, s. 380</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Libel and Slander Act, </w:t>
      </w:r>
      <w:hyperlink r:id="rId230" w:history="1">
        <w:r>
          <w:rPr>
            <w:rFonts w:ascii="arial" w:eastAsia="arial" w:hAnsi="arial" w:cs="arial"/>
            <w:i/>
            <w:color w:val="0077CC"/>
            <w:sz w:val="20"/>
            <w:u w:val="single"/>
            <w:shd w:val="clear" w:color="auto" w:fill="FFFFFF"/>
            <w:lang w:val="en-US" w:eastAsia="en-US" w:bidi="ar-SA"/>
          </w:rPr>
          <w:t>R.S.B.C. 1996, c. 263, s. 10</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2" w:name="Counsel_6"/>
      <w:bookmarkEnd w:id="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D.L. Cayley.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Acting on Own Behalf: Pharid Jaffer, Amy Jaffer.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6"/>
      <w:bookmarkEnd w:id="63"/>
      <w:r>
        <w:pict>
          <v:line id="_x0000_s1063"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(At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G.D. BURNYEAT J."/>
            <w:bookmarkEnd w:id="64"/>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relates to a dispute arising out of the construction of a house undertaken by Mr. Wood on property owned by Mr. and Ms. Jaffer ("Property"). Mr. Wood claims for outstanding amounts owing. Mr. Wood also claims for defamation arising out of correspondence from the Defendants to the Better Business Bureau ("Bureau"), the Canadian Home Builders' Association ("Builders") and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allege a number of breaches of contract and duty and seek damages for those breaches. The Defendants also sought damages for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Regarding the alleged defamation, the Defendants initially pleaded defences of fair comment and justification. On the seventh day of Trial, the Defendants offered to apologize for the statements alleging fraud and subsequently withdrew their allegations of fraud, a claim for damages for fraud, and the defence of justification. The defence of fair comment remained.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a careful search, Mr. Wood was chosen to construct the new house on the Property. Mr. Wood prepared an estimate according to the specifications set out in the "wish list" of the Defendants but, at the time, Mr. Wood states that he advised the Defendants that the cost of constructing a house could only be estimated and not guaranteed. Regarding a "nice-to-have" list of the Defendants, Mr. Wood advised that those items could not be added unless there were reductions in other parts of the budget or if there was an increase in the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agreement was reached and a September 20, 2011 Contract was signed by the parties ("Agreement"). Mr. Wood submits that the terms of the Agreement included the following: (a) he would build a home on the Property in accordance with designs prepared by the architect of the Defendants in a good and workmanlike manner and in compliance with applicable building code requirements; (b) he would supply all materials and labour for the construction; (c) the actual costs of the project would be the responsibility of the Defendants; (d) he would prepare budget updates and billing statements on a "draw process"; and (e) the Defendants would provide him with an initial deposit and further funds "in alignment with the billing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During cross-examination, Ms. Jaffer agreed that she read the Agreement carefully before signing it and that she had ample opportunity to ask questions before she did so. At her Examination for Discovery, Ms. Jaffer confirmed that she and Mr. Jaffer had the assistance of a lawyer and that changes had been made to the form of the Agreement before it was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Under the heading "Build", the Agreement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Builder agrees to construct a structure ("Residence") on the [Property] in a good and workmanlike manner, by the terms and conditions set forth in this Agreement in accordance with the plans drawn by Design Marque and client Construction details and budget previously approved and signed off by both parties (see attached), all of which shall form part of this Agreement.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 is targeted to take approximately 7-9 months from the start of the foundation of the Residence.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entire build process is targeted to start in Q3 of 2011 and be ready for occupancy by Q3 2012.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Builder will endeavor to work with the Client to manage the Residence Build project to the agreed upon budget dated August 12, 2011 (see attached) and initialed by both parties. Any changes to this budget will need to be mutually agreed to by both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budget is subject to review upon the completion of Architectural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Under the heading "Builder Responsibilities", the Agreement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Ensure that all BC Building Code requirements and District of North Vancouver by-laws in effect at the time of the agreement and during construction are adhered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Aspire to deliver the same level of workmanship of previous Diamond Head Development projects and meet the standards required by established industry practice.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Maintain the Property reasonably clean and remove all unnecessary debris...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Supply all materials and labour for the Build unless specified by Client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Prepare budget updates and billing statements in alignment with draw process. An updated budget with actual costs tracked will be updated and provided to the client as required on approximate monthly intervals.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Under the heading "Client Responsibilities", the Agreement provided in part:</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funds to the Builder for all costs related to the project including materials, labour and insurance in a mutually agreeable and reasonable timeframe.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a sum of funds upfront ($50,000) to cover Builder deposit, engineering plans, building permits, site servicing and foundation and then funds in alignment with the billing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Under the heading "Default By Builder", the Agreement provided that, in the event Mr. Wood "neglects to prosecute the work in accordance with the terms of this agreement, or fails to make payments to sub trades, material men or labourers", the Defendants could provide notice to require Mr. Wood to cure any defaults. There were additional terms setting out the process by which those defaults could be cured. If Mr. Wood did not cure the defaults, the "cost of completion necessarily incurred" would be set off against the amount owing to Mr. Wood or, if in excess of amounts owing, Mr. Wood was to pay the difference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Agreement provided for a flat fee for Mr. Wood's services. Under the heading "Management Fee Schedule", his fee was to be paid in three installments: (a) A deposit upon signing of the Agreement - 33.33 % plus HST; (b) Upon completion of Framing, "provided that all inspections to this point have been successfully completed" - 33.33% plus HST; and (c) upon substantial completion of the Residence - 33.33% plus HST being the balance of the Management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BUDGET PHASE AND THE START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July 2011, the Defendants met with Mr. Wood and asked him to provide an estimated budget for the new home. Mr. Wood prepared an estimate according to the specifications set out in the "wish list" of the Defendants. Over the following months, the Defendants made changes so that updated budgets were provided by Mr.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13, 2011, Mr. Wood wrote to Mr. Jaffer to advise that there would be increased costs in view of the increase of the square footage of the home from 3,520 square feet to 3,670 square feet. The final design of the home provided for 3,748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Trial under cross-examination, Mr. Jaffer insisted that there was a blanket assurance that "we were to be informed of any costs that would exceed the budget for this phase".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existing home on the Property was demolished in February of 2012 and excavation commenced in March of 2012. After excavation had been carried out, the Defendants advised Mr. Wood that they wished to install radiant heating in the home. During cross-examination, Ms. Jaffer agreed that extra work would be needed to accommodate this change. Radiant heating (between $15,000 and $20,000) and an extra bathroom downstairs (approximately $5,000) were added. The budget increased from approximately $700,000 to approximately $770,000.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number of unforeseen matters also arose. In order to save a tree on the lot, the design of the home had to be revised. The District advised Mr. Wood that a pump would be required to deliver services to the Property and the District advised it would be charging approximately $40,000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February 13, 2012, a revised design was completed and submitted to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February 14, 2012, the District issued a building permit and lowered the cost of the connection for services to $25,762.46.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BILLING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Wood used a "billing statement" to track project related expenses. When invoices were received, they were entered into the billing statement once they were approved by Mr. Wood. Jane Wong is the bookkeeper for Mr. Wood. Ms. Wong would enter the invoices into a separate accounting software system. As Mr. Wood was operating on a "draw" system, Mr. Wood states that he would ask for draws when the invoices received approached equal to or in excess of the amount of the previous draw, Mr. Wood then provided a billing statement or a "draw statement" to the Defendants and requested a further 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Wood testified that these draw statements provided a comprehensive and detailed review of all costs associated with the project that had been accounted for at the time and that, but for the final invoice that would be forwarded, the amounts set out in the billing statements included sums already paid as well as sums to be paid in the future for which invoices had been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Once the initial deposit provided by the Defendants was exhausted, the Defendants provided Mr. Wood with further funds. In April of 2012, Mr. Wood provided his first draw statements and, in May of 2012, provided his second draw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PROGRESS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early June 2012, Mr. Wood and Mr. Jaffer arranged to meet to discuss the progress of the project. On June 6, 2012, Mr. Jaffer sent the following email to Mr. Wood: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our discussion tomorrow - I know we can't afford $928k for construction as we'll need to sell our cars and borrow money from friends/family as we cannot get any more financing.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mortgage approval was based on your original high budget and not your low estimate...it is proving that your original high budget is indeed too low as nothing is coming in within these parameters e.g. cabinets, etc - these were all based on your estimates from the Furry Creek home and our requirements are not even close to that and all the estimates from your own contractors are coming in over budget. Something is wrong with the estimation you gave us as the only change is a slightly bigger basement...everything else including # of bathrooms, etc. is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know Amy [Ms. Jaffer] and I have gone over budget on a few items like the radiant floor heating but most things in our control are only slightly over budget with the exception of the DNV permit costs that were not revealed to us in the planning stages by the architect.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Let's discuss options...esp. how things that are not in our control such as excavation went from $32k to $50k without even consulting with us for approval to go way over budget until after the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also need to discuss how we hit Nov 30tn as we are no way close to lockup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let us know what else is on the critical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clear that the working relationship of the parties had became "tense". The Defendants were unhappy about a number of matters which arose during construction. This included but was not limited to an alleged failure to keep the Property reasonably clean and remove all unnecessary debris in a timely way, a June 13, 2012 letter from the Municipality alleging the workers had contravened a district Bylaw arising out of a noise complaint, the necessity for "the Defendants taking on many of the Builder Responsibilities", a failure to provide a "site supervisor", the estimates from Mr. Wood being less than what was eventually found to be the case, working on a Sunday on June 10, 2012 contrary to municipal bylaws, the ordering of a door for the home which was other than in accordance with specifications provided by the architect, and the use of recycled materials in the construction without the approval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third draw statement was presented by Mr. Wood to the Defendants in June of 2012. At that time, he advised the Defendants that he would be out of town on vacation in July. The Defendants instructed Mr. Wood to have the framing inspection completed prior to his departure. Mr. Wood testified that he advised that this would not be possible as there was not enough time. Mr. Wood was told by the Defendants to put plans in place to ensure that the project would continue in his absence including four inspections: engineering, plumbing, electrical, and framing. It should be noted that the framing inspection was a "milestone" for the second installment of the management fees of Mr.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 July 7, 2012 email to the Defendants, Mr. Wood advised that the "total forecasted budget" was reduced from $928,000 to $901,000. In a July 9, 2012 email, Mr. Wood advised "The budget referred to in your contract is a target/estimate only" "you have asked me to forecast what I believe what your house will cost with all the new information we now have. I have done so with additional columns in our budget as well as perspective on different budgets that we reviewed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FOURTH DRAW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Before leaving for vacation, Mr. Wood provided his fourth draw statement which included an invoice amount from Y. Franks and a 50% deposit to Dome Electrical which was a company that had been "sourced" by the Defendants, being not one that Mr. Wood had recommended. The fourth draw statement included the 33.33% second installment of the management fees of Mr. Wood despite the fact that framing was not completed although it was stated that "all inspections to this point have been successfully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July 19, 2012, Mr. Wood wrote to the Defendants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realize that building a home is a stressful process and thus I would like to state that DHD shares the same goals as you. They are to provide you with a quality built home, at a reasonable cost and as quickly as possible while not jeopardizing the other two variables. However, after several months of working with you both and now having a set of architectural drawings and working examples of your requirements, it is clear that the budget that was provided to you at the time of your contract signing will not accurately represent the house you have designed and the requirements you desire.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revisit the contract, it states, "A budget of estimated costs will be provided by the Builder solely as a guide and a planning tool for both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budget was provided in good faith as a potential cost for your new home, but was no more than an estimate based on our past builds. We can build for much less than your house is costing and as an example, we have just completed a house in West Vancouver for just over $150 a foot. It can be done, just not how you desire.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part of our regular draw process, please see the attached budget and billing statement for our review today. As requested I have made the following changes to the format: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Added 4 estimate columns: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Original.</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4-To represent when Pharid [Mr. Jaffer] asked that the 806K column be reduced to 770K and that a number of "nice to haves" get included in the budget.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4 plus 100K - To represent my comments in one of our earlier meetings that if you added 100K to the budget most of your desired features/quality would likely fit within the overall project budget.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New - Our latest estimate of where your project could possibly finish. This is not to say that we will end up here, but it appears to be the new high end of the estimate.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I have included: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 columns illustrating as per their titles.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Colour coding to help you understand if an item has if costs identified or if the costs are still being worked upon for any reason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desire further alterations to the budget please feel free to manipulate it to your specifications.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take a step back on a few other important topics, </w:t>
      </w:r>
      <w:r>
        <w:rPr>
          <w:rFonts w:ascii="arial" w:eastAsia="arial" w:hAnsi="arial" w:cs="arial"/>
          <w:color w:val="000000"/>
          <w:sz w:val="20"/>
          <w:u w:val="single"/>
          <w:lang w:val="en-US" w:eastAsia="en-US" w:bidi="ar-SA"/>
        </w:rPr>
        <w:t>we will not participate in any further meetings where any of our staff are insulted, ridiculed and berated as I personally was on Thursday June 7th. Never before in my life, either personally or professionally, have I ever been treated in such a degrading manner. Being called a liar, a cheat and incompetent all in one tirade is not something anybody deserves nor will we tolerate further</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your house, you have designed it, and you are specifying the requirements and the level of quality that need to be implemented and the speed to which they need to be implemented. We are executing your instructions to the best of our 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timing of your build let's revisit the contract wording, 'The Build is targeted to take approximately 7-9 months from the start of the foundation of the Residence". Regardless, we will endeavour to build your house as quickly as possible and meet your desired November 30th target. However, the parameters of quality and cost effectiveness both work against expediency, as aforementioned in another email. This date is a target and not a guarantee at this time and thus we advise to plan accordingly.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closing, if you would like to continue with us to complete the contracted build of your residence, we will give you our full effort. However, going forward we would appreciate a little courtesy, respect for the advice we offer and an understanding of the reality of your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DOME ELECTRIC AND Y. FRANKS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Dome Electric requested a 50% deposit. The amount payable but not paid to Dome Electric was added to the fourth draw statement. The Defendants had placed an order for appliances with Y. Franks totalling $20,500. Mr. Wood received an invoice from Y. Franks and the fourth draw statement included the $20,500 even though that amount had not been paid. In fact, no payment was ever made to Y. Franks by Mr. Wood. While Mr. Wood stated that a cheque had been forwarded to Dome Electric, there is no evidence in the bookkeeping system of Mr. Wood that this was the case. I find that no funds were forwarded to Dome Electric despite the assertion of Mr. Wood in July of 2012 that they had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While on vacation, the parties learned that Dome Electric had not received the 50% deposit despite the fact that the amount was showing in the fourth statement as having been paid. In subsequent email correspondence, Ms. Jaffer offered to pay the amount directly. Mr. Wood agreed so that the amount was then switched over in the records of Mr. Wood to "owner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and Ms. Jaffer took objection to the inclusion of the amounts for Y. Franks and Dome Electric in the fourth statement. They also took objection to Mr. Wood requesting a second portion of his management fee even though all of the inspections had not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electrical inspection passed but the framing inspection was delayed until the return of Mr. Wood from holidays. On July 24, 2012, the framing inspection passed. The Defendants are of the view that it was only after July 24, 2012 that Mr. Wood was entitled to the second installment of his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fact that the management fee was billed earlier, that payments to Y. Franks and Dome Electric were not made but were included in the fourth statement led Mr. and Ms. Jaffer to take the position that there had been "a fraudulent accounting practices", "fraudulent accounting and billing transactions", and "fraud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July 25, 2012, the parties agreed to terminate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July 30, 2012, Mr. Wood sent an email to various trades and suppliers to advise that he was no longer under contract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final billing statement was provided to the Defendants on August 22, 2012. The final billing statement indicated an amount of $4,261.54 owing by the Defendants to Mr.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hired Blackfish Homes Ltd. ("Blackfish") to complete the project. In August or September 2012, Blackfish commenced work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December 19, 2012, the Defendants received an occupancy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ALLEGED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November of 2012, the Defendants wrote and published a seven-page document ("Statement"). The words published in the Statement included the following:</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document details the issues resulting in ... [financial mis-management and fraudulent accounting practices";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heading "Financial mis-management and fraudulent practices":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"[F]raud (as defined by the Criminal Code of Canada section 380(l)(a)) was committed on two separate occasions.";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this fraud committed, the Builder then claimed on several occasions that the funds for the draw were exhausted and he wanted the next draw (of $100,000).";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proceeds of crime were kept by the Builder.";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it is evident that the Builder committed fraudulent accounting and billing transactions ...";</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biller withdrew the second management fee 33.33% payment. This amount was withdrawn from the Client's funds prior to a condition being met in the Agreement for the framing inspection to be completed by the District of North Vancouver municipal inspector.";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fees of the architect were set in the budget as being $17,62275...even though this line item was completed at $13,720. This is an example of the poor accounting practices performed by the Builder.";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improper financial records kept by the Builder.";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it is evident that the Builder committed fraudulent accounting and billing transactions, and improperly supervised the construction project and subcontractors."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Regarding the references made by the Defendants to s. 380(1)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380 (1)</w:t>
      </w:r>
      <w:r>
        <w:rPr>
          <w:rFonts w:ascii="arial" w:eastAsia="arial" w:hAnsi="arial" w:cs="arial"/>
          <w:color w:val="000000"/>
          <w:sz w:val="20"/>
          <w:lang w:val="en-US" w:eastAsia="en-US" w:bidi="ar-SA"/>
        </w:rPr>
        <w:t xml:space="preserve"> Every one who, by deceit, falsehood or other fraudulent means, whether or not it is a false pretence within the meaning of this Act, defrauds the public or any person, whether ascertained or not, of any property, money or valuable security or any service,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is guilty of an indictable offence and liable to a term of imprisonment not exceeding fourteen years, where the subject-matter of the offence is a testamentary instrument or the value of the subject-matter of the offence exceeds five thousand dollars; or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is guilty</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of an indictable offence and is liable to imprisonment for a term not exceeding two years, or</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(ii)</w:t>
      </w:r>
      <w:r>
        <w:rPr>
          <w:rFonts w:ascii="arial" w:eastAsia="arial" w:hAnsi="arial" w:cs="arial"/>
          <w:color w:val="000000"/>
          <w:sz w:val="20"/>
          <w:lang w:val="en-US" w:eastAsia="en-US" w:bidi="ar-SA"/>
        </w:rPr>
        <w:t xml:space="preserve"> of an offence punishable on summary conviction,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value of the subject-matter of the offence does not exceed five thousand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Statement also included the following: "the Client, in good faith, will accept 40% as the true construction completion percentage and not 66% that represents the amount of funds fraudulently withdrawn by the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wrote and published the words in the Statement to the Bureau and to the Builders. The Defendants contacted the Builders in a November 5, 2012 email and sent further emails on November 8 and 16, 2012. A copy of the Statement was included in the November 16, 2012 email. On November 6, 2012, Mr. Jaffer made a complaint to the Bureau. The email attached a copy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form that was filled out by the Defendants with the Bureau, the following was noted on the request for a Response that was forwarded to Mr. Wood: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text of your response may be publically posted on the BBB website (BBB reserves the right to not post in accordance with BBB policy).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BBB may edit the complaint or your response to remove personally identifiable information or inappropriate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 November 30, 2012 letter, counsel for Mr. Wood demanded that the Defendants immediately withdraw the words in the statement. The Defendants refused to comply with that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Jaffer also reported Mr. Wood to the RCMP. As a result the complaint, Mr. Wood was formally investigated over the course of approximately six months. He was interviewed by Corporal Mainwaring and provided a statement prepared jointly by him, by Mr. Sellers and by Ms. Wong outlining his response to the complaint of Mr. Jaffer. In June, 2013, Corporal Mainwaring concluded her investigation with no charges being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his Examination for Discovery, Mr. Jaffer was asked about the complaint to the RCMP. He confirmed that he made a phone call "...to report a crime. It is the - a duty of any citizen, myself included, to report crime when we see crime being committed." When asked what the crime was, he answered "Fraud". "I alleged that he had received accounting statements for Mr. Wood saying that he had paid the invoices as payments for $20,500 for Y. Franks, and in affect he - and then he asked us for another draw for another $100,000." "And so the accounting statement was falsified to say that he paid $20,500 to Y. Franks when indeed he didn't. And the other fraudulent claim was that Mr. Wood had claimed that he had paid...Dohm Electric a cheque and he had sent two emails to Riyaz [Mithani of Dohm Electric] saying, 1. The cheque is in the mail, and 2. If it is delayed, is due to Canada Post." "So those were the two premises for fraud under the Criminal Act...and we went to the RCMP for a crime. Or I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December 9, 2012, the Defendants wrote and published words which included the following:</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Fraud Definition: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"Deceitful or deceptive conduct designed to manipulate another person to give something of value. Canada's Criminal Code (380) defined the crime of fraud 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one who, by deceit, falsehood or other fraudulent means, whether or not it is a false pretence within the meaning of the Act, defrauds the public or any person, whether ascertained or not, of any property, money or valuable security...'. The information presented by the Client to the Builder (from the Builder's own accounting records), that it meets the definition from the Criminal Code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December 14, 2012, Mr. Wood responded to the allegations after this action had been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January 30, 2013, the Defendants filed a Response to Civil Claim as well as a Counterclaim in which they allege various breaches of contract and duty by Mr. Wood and damages flowing from those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also filed a Reply to the Reponse filed by Mr. Wood. I find that Ms. Jaffer participated in the preparation of this reply and the words contained therein are hers as well as Mr. Jaffer. At her Examination for Discovery, Ms. Jaffer referred to the response that Mr. Jaffer gave with the reply and confirmed that Mr. Jaffer: "...he may not have initially been speaking on behalf of both of you, but when he made his reply to Mr. Wood's response, he was speaking on behalf of both of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Trial on April 18, 2016 under cross-examination, Ms. Jaffer confirmed her allegations of fraud against Mr.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April 19, 2016, under cross-examination, Mr. Jaffer stated that, based on what he had heard at Trial, fraud was "probably not committed" so that he would offer an apology.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There a Defence of Fair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To succeed with a defence of fair comment, the Defendants must establish that: a) the comment is on a matter of public interest; b) the comment is based on fact; c) the comment, though it can include inferences, must be recognizable as comment; and d) the comment must satisfy this objective test: could any person honestly express that opinion on the proved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To be of public interest, the subject matter "must be shown to be one inviting public attention, or about which the public has some substantial concern because it affects the welfare of citizens, or one to which considerable public notoriety or controversy has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Here, there is no public interest element. It is a private contract between Mr. Wood and the Defendants to build a home on the Property. Moreover, the statements are instantly recognizable as assertions of </w:t>
      </w:r>
      <w:r>
        <w:rPr>
          <w:rFonts w:ascii="arial" w:eastAsia="arial" w:hAnsi="arial" w:cs="arial"/>
          <w:color w:val="000000"/>
          <w:sz w:val="20"/>
          <w:u w:val="single"/>
          <w:lang w:val="en-US" w:eastAsia="en-US" w:bidi="ar-SA"/>
        </w:rPr>
        <w:t>fact</w:t>
      </w:r>
      <w:r>
        <w:rPr>
          <w:rFonts w:ascii="arial" w:eastAsia="arial" w:hAnsi="arial" w:cs="arial"/>
          <w:color w:val="000000"/>
          <w:sz w:val="20"/>
          <w:lang w:val="en-US" w:eastAsia="en-US" w:bidi="ar-SA"/>
        </w:rPr>
        <w:t xml:space="preserve"> - there is no comment - even if an opinion were expressed - which it is not. No person could honestly express that opinion on the basis of what had happened. Without making that finding, the most that can be said of what was complained of by the Defendants was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it is not clear whether the pleading of "fair comment" was not being relied upon by the Defendants, I have dealt with the defence of fair comment as if the Defendants were pursuing that defence. I find that the defence of fair comment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 there a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the Court described defence of qualified privilege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Qualified privilege attaches to the occasion upon which the communication is made, and not to the communication itself. As Lord Atkinson explained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[1917] A.C. 309 (H.L.), at p. 334: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privileged occasion is ... an occasion where the person who makes a communication has an interest or a duty, legal, social, or moral, to make it to the person to whom it is made, and the person to whom it is so made has a corresponding interest or duty to receive it. This reciprocity is essential.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(pp. 1188-1189).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burden of proving that it is a qualified occasion rests on the Defendants and qualified privilege can be defeated if the Plaintiff proves malice. In </w:t>
      </w:r>
      <w:r>
        <w:rPr>
          <w:rFonts w:ascii="arial" w:eastAsia="arial" w:hAnsi="arial" w:cs="arial"/>
          <w:i/>
          <w:color w:val="000000"/>
          <w:sz w:val="20"/>
          <w:lang w:val="en-US" w:eastAsia="en-US" w:bidi="ar-SA"/>
        </w:rPr>
        <w:t>Hill, supra</w:t>
      </w:r>
      <w:r>
        <w:rPr>
          <w:rFonts w:ascii="arial" w:eastAsia="arial" w:hAnsi="arial" w:cs="arial"/>
          <w:color w:val="000000"/>
          <w:sz w:val="20"/>
          <w:lang w:val="en-US" w:eastAsia="en-US" w:bidi="ar-SA"/>
        </w:rPr>
        <w:t>, the meaning of malice and defamation actions was described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Malice is commonly understood, in the popular sense, as spite or ill-will. However, it also includes ... "any indirect motive or ulterior purpose" that conflicts with the sense of duty or the mutual interest which the occasion created. Malice may also be established by showing the defendant spoke dishonestly, or in knowing or reckless disregard for the truth. [citations removed]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 1189)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protection of this defence will be lost if the plaintiff shows that the dominant motive for publication is actual or expressed malice or where the limits of the interest have been exceeded. Here, I cannot conclude that what was said was "reasonably appropriate in the circumstances existing on the occasion when the information was given". In this regard, I refer to </w:t>
      </w:r>
      <w:r>
        <w:rPr>
          <w:rFonts w:ascii="arial" w:eastAsia="arial" w:hAnsi="arial" w:cs="arial"/>
          <w:i/>
          <w:color w:val="000000"/>
          <w:sz w:val="20"/>
          <w:lang w:val="en-US" w:eastAsia="en-US" w:bidi="ar-SA"/>
        </w:rPr>
        <w:t>Hill, supra</w:t>
      </w:r>
      <w:r>
        <w:rPr>
          <w:rFonts w:ascii="arial" w:eastAsia="arial" w:hAnsi="arial" w:cs="arial"/>
          <w:color w:val="000000"/>
          <w:sz w:val="20"/>
          <w:lang w:val="en-US" w:eastAsia="en-US" w:bidi="ar-SA"/>
        </w:rPr>
        <w:t>, at p. 1190.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Here, neither the Bureau nor the Builders had any reciprocal interest in receiving information relating to the allegations of criminal fraud and, in any event, the statements alleging criminal fraud went beyond what was reasonably necessary or appropriate for the Defendants to assert their complaints. The allegations had no connection to the adjustment of "compensation" the Defendants sought from Mr.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Urbanowski v. Harkins</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2006 BCSC 1741</w:t>
        </w:r>
      </w:hyperlink>
      <w:r>
        <w:rPr>
          <w:rFonts w:ascii="arial" w:eastAsia="arial" w:hAnsi="arial" w:cs="arial"/>
          <w:color w:val="000000"/>
          <w:sz w:val="20"/>
          <w:lang w:val="en-US" w:eastAsia="en-US" w:bidi="ar-SA"/>
        </w:rPr>
        <w:t xml:space="preserve">, Fisher, J, as she then was, found that individuals associated with a professional association had no interest in receiving communications from the defendant regarding allegations of fraud, even made while pursuing "a legitimate private interest, that of payment of a debt". Like the finding in </w:t>
      </w:r>
      <w:r>
        <w:rPr>
          <w:rFonts w:ascii="arial" w:eastAsia="arial" w:hAnsi="arial" w:cs="arial"/>
          <w:i/>
          <w:color w:val="000000"/>
          <w:sz w:val="20"/>
          <w:lang w:val="en-US" w:eastAsia="en-US" w:bidi="ar-SA"/>
        </w:rPr>
        <w:t>Urbanowski, supra</w:t>
      </w:r>
      <w:r>
        <w:rPr>
          <w:rFonts w:ascii="arial" w:eastAsia="arial" w:hAnsi="arial" w:cs="arial"/>
          <w:color w:val="000000"/>
          <w:sz w:val="20"/>
          <w:lang w:val="en-US" w:eastAsia="en-US" w:bidi="ar-SA"/>
        </w:rPr>
        <w:t>, I am satisfied that the allegations of fraud and the allegation of receiving criminal proceeds went beyond what was reasonably necessary or appropriate to assert the concessions being sought by the Defendants. The continued allegations are not actions of individuals seeking adjudication of what they say are legitimate grievances about the building of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the defence of qualified privilege is lost. I am satisfied that the dominant motive for the publication of the words was actual or expressed malice and that any limits of any duty or interest imposed were exceeded. I am also satisfied that there was no reciprocal interest in either the Bureau or the Builders to receive the "information" relating to "proceeds of crime" and from "fraudulent accounting and billing transactions".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Were the Words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[2009] 3 S.C.R. 640</w:t>
        </w:r>
      </w:hyperlink>
      <w:r>
        <w:rPr>
          <w:rFonts w:ascii="arial" w:eastAsia="arial" w:hAnsi="arial" w:cs="arial"/>
          <w:color w:val="000000"/>
          <w:sz w:val="20"/>
          <w:lang w:val="en-US" w:eastAsia="en-US" w:bidi="ar-SA"/>
        </w:rPr>
        <w:t>, the Court set out the requirements for proving a claim for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in a defamation action is required to prove three things to obtain judgment and an award of damages: (1) 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 If these elements are established on a balance of probabilities, falsity and damage are presumed, though this rule has been subject to strong criticism ... The plaintiff is not required to show that the defendant intended to do harm, or even that the defendant was careless. The tort is thus one of strict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have no hesitation in concluding that the words used in the Statement forwarded in the correspondence and communications to the Bureau, to the Builders, and to the RCMP were defamatory. The allegation of "fraud" was without merit. Suggesting that the amounts requested in the fourth billing statement and that the payment of funds pursuant to it amounted to "proceeds of crime" are simply not supportable.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To accuse a builder of "fraudulent accounting and billing transactions" strikes at the very heart of the trusting relationship which must exist between a builder and an owner if confidence in the builder is to be maintained. To accuse a builder of keeping "improper financial records" also strikes at the very heart of the relationship which must exist between a builder and an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 owner seeking out a builder would be well advised to refer to the Bureau and to the Builders for advice and for the record of builders in the area. If what was set out in the Statement was made available, it would be highly unlikely that an owner would retain Mr. Wood as what was set out can easily be described as lowering the reputation of Mr. Wood in the eyes of a reasonable person. To accuse anyone of receiving "proceeds of crime" and "fraud" cannot be countenanced where the facts here can in no way justify such allegations being made.</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Are There Mitigating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Mitigating factors can reduce the damages available. In this case, what are possible mitigating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dealing with the question of whether an apology mitigates the question when assessing damages, s. 10 of the </w:t>
      </w:r>
      <w:r>
        <w:rPr>
          <w:rFonts w:ascii="arial" w:eastAsia="arial" w:hAnsi="arial" w:cs="arial"/>
          <w:i/>
          <w:color w:val="000000"/>
          <w:sz w:val="20"/>
          <w:lang w:val="en-US" w:eastAsia="en-US" w:bidi="ar-SA"/>
        </w:rPr>
        <w:t>Liable and Slander Act</w:t>
      </w:r>
      <w:r>
        <w:rPr>
          <w:rFonts w:ascii="arial" w:eastAsia="arial" w:hAnsi="arial" w:cs="arial"/>
          <w:color w:val="000000"/>
          <w:sz w:val="20"/>
          <w:lang w:val="en-US" w:eastAsia="en-US" w:bidi="ar-SA"/>
        </w:rPr>
        <w:t>, 1996 R.S.B.C., c. 263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 action for defamation if the defendant has pleaded not guilty, if judgment has been given against the defendant with damages to be assessed, or the defendant admits the defamation, the defendant may give in evidence in mitigation of damages, that the defendant made or offered a written or printed apology to the plaintiff for the defamation before the commencement of the action, or if the action was commenced before there was an opportunity of making or offering the apology, that the defendant did so as soon afterwards as the defendant had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Some general principles emerge from a review of the decisions dealing with the effect of an apology: (a) defendant has the responsibility to take some steps to verify the nature of their allegations; (b) the efficacy of an apology is diminished and potentially eliminated, where a defendant seeks to place blame on the plaintiff for failing to provide information to rebut the defamatory statement; and (c) a late-delivered apology has little, if any, impact on damages. This latter proposition is consistent with s. 10 of the </w:t>
      </w:r>
      <w:r>
        <w:rPr>
          <w:rFonts w:ascii="arial" w:eastAsia="arial" w:hAnsi="arial" w:cs="arial"/>
          <w:i/>
          <w:color w:val="000000"/>
          <w:sz w:val="20"/>
          <w:lang w:val="en-US" w:eastAsia="en-US" w:bidi="ar-SA"/>
        </w:rPr>
        <w:t>Libel and Slander Act</w:t>
      </w:r>
      <w:r>
        <w:rPr>
          <w:rFonts w:ascii="arial" w:eastAsia="arial" w:hAnsi="arial" w:cs="arial"/>
          <w:color w:val="000000"/>
          <w:sz w:val="20"/>
          <w:lang w:val="en-US" w:eastAsia="en-US" w:bidi="ar-SA"/>
        </w:rPr>
        <w:t>, which requires an apology to be made "as soon afterward as the defendant had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An apology should acknowledge an error, express regret for the error and express an apology for the erroneous statements. As stated by Mackoff, J. in </w:t>
      </w:r>
      <w:r>
        <w:rPr>
          <w:rFonts w:ascii="arial" w:eastAsia="arial" w:hAnsi="arial" w:cs="arial"/>
          <w:i/>
          <w:color w:val="000000"/>
          <w:sz w:val="20"/>
          <w:lang w:val="en-US" w:eastAsia="en-US" w:bidi="ar-SA"/>
        </w:rPr>
        <w:t>Bennett v. Stupich</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(1981), 30 B.C.L.R. 57</w:t>
        </w:r>
      </w:hyperlink>
      <w:r>
        <w:rPr>
          <w:rFonts w:ascii="arial" w:eastAsia="arial" w:hAnsi="arial" w:cs="arial"/>
          <w:color w:val="000000"/>
          <w:sz w:val="20"/>
          <w:lang w:val="en-US" w:eastAsia="en-US" w:bidi="ar-SA"/>
        </w:rPr>
        <w:t xml:space="preserve"> (S.C.), the apology should be: "... a full and unqualified apology and a full and fair retraction which would be understood by the average person to be such" (at para. 34). As adopted in </w:t>
      </w:r>
      <w:r>
        <w:rPr>
          <w:rFonts w:ascii="arial" w:eastAsia="arial" w:hAnsi="arial" w:cs="arial"/>
          <w:i/>
          <w:color w:val="000000"/>
          <w:sz w:val="20"/>
          <w:lang w:val="en-US" w:eastAsia="en-US" w:bidi="ar-SA"/>
        </w:rPr>
        <w:t>Ramsey v. Pacific Press, a Division of Southam Inc.</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2000 BCSC 1551</w:t>
        </w:r>
      </w:hyperlink>
      <w:r>
        <w:rPr>
          <w:rFonts w:ascii="arial" w:eastAsia="arial" w:hAnsi="arial" w:cs="arial"/>
          <w:color w:val="000000"/>
          <w:sz w:val="20"/>
          <w:lang w:val="en-US" w:eastAsia="en-US" w:bidi="ar-SA"/>
        </w:rPr>
        <w:t>,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April 26, 2016 letters delivered via email, the Defendants provided what they described as "A Sincere Apology" to Mr. Wood and Diamond Head Development. The email from Mr. Jaffer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the statements were made, I was quite upset with the way the construction project had proceeded on many fronts - not least in connection with budgeting and the billing statements. Based on the assumptions I made at the time, such as payments being for paid invoices and draws completed meaning funds from our account having been spent, I believed that you were acting dishonestly and fraudulently. I contacted the local police authorities and a complaint was filed. I also contacted two organizations to see if they could help with resolving our dispute with you - the Better Business Bureau (BBB) and Canadian Home Builders Association (CHBA).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light of the trial last week and this week, and from hearing the testimony of Ms. Wong, Mr. Sellers and you, I have concluded that there was no dishonesty or fraudulent behaviour on your part. In particular, the testimony of Ms. Wong helped me come to this conclusion and that the assumptions I had made, prompting me to take the steps set out above, were incorrect.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hindsight, the only real issues between the parties were fairly common issues which often give rise to construction disputes. It now appears to me that both parties had, and have, honestly held differences of opinion, which will be resolved in due course.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I sincerely apologize for all statements that called into question your honesty or integrity, or suggested that there was any dishonest or fraudulent conduct on your part. I will be copying this letter to the BBB, the CHBA and the police to inform them of my apology to you. In addition, I am preparing a "To Who [sic] it May Concern" version of this letter so that it can be sent by you or me to any other parties you feel should receive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Unfortunately, Mr. Jaffer repeats the "facts" as why he came to the conclusion that Mr. Wood was "acting dishonestly and fraudulently" before admitting that there was "no dishonesty or fraudulent behaviour". The "apology" is more of an explanation as to how his opinion was formed rather than an unconditional apology for what was set out in the Statement and what was forwarded to the Bureau, the Builders, and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letter from Ms. Jaffer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accept my sincere apology regarding any statement regarding a claim that any fraudulent transactions occurred during the building of our home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last nine days of trial, the testimonies of Ms. Wong and Mr. Sellers as well as your own have helped clarify that there was no fraud perpetrated. There was simply a misunderstanding of what happened with the Dome Electrical and Y. Franks appliances invoices and what you meant by the term "payments" in your billing statements. It appears no fraudulent activity took place but rather a simple miscommunication within your organization as to whether a cheque was issued or not; particularly for Dome Electrical.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also note that I was not consulted nor did I have any prior knowledge of, nor did I approve of these submissions that Mr. Jaffer made to the Better Business Bureau (BBB) and the Canadian Home Builders Association (CHBA). I was shocked to learn that he had included my name. I only learned of these submissions </w:t>
      </w:r>
      <w:r>
        <w:rPr>
          <w:rFonts w:ascii="arial" w:eastAsia="arial" w:hAnsi="arial" w:cs="arial"/>
          <w:i/>
          <w:color w:val="000000"/>
          <w:sz w:val="20"/>
          <w:lang w:val="en-US" w:eastAsia="en-US" w:bidi="ar-SA"/>
        </w:rPr>
        <w:t>after</w:t>
      </w:r>
      <w:r>
        <w:rPr>
          <w:rFonts w:ascii="arial" w:eastAsia="arial" w:hAnsi="arial" w:cs="arial"/>
          <w:color w:val="000000"/>
          <w:sz w:val="20"/>
          <w:lang w:val="en-US" w:eastAsia="en-US" w:bidi="ar-SA"/>
        </w:rPr>
        <w:t xml:space="preserve"> they were sent. As I've stated in my testimony I was made aware of the responses after the fact. Mr. Pharid Jaffer assured me at the time he was filing these complaints in order to try to obtain a refund from your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is the first time that Ms. Jaffer indicated that she had "no prior knowledge of, nor did I approve" of what Mr. Jaffer sent to the Bureau and the Builders. This is not believable in view of the fact that Ms. Jaffer would have had to approve the pleadings set out in the Counterclaim, swore a number of affidavits which referenced what had been forwarded to the Bureau, the Builders, and the RCMP, and did not raise this "defence" in the pleadings set out in the Counterclaim, at her Examination for Discovery, or during her testimony at Trial. I view her suggestion that she had no "prior knowledge" as an inappropriate and too late attempt to raise a defence and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Both Mr. and Ms. Jaffer seek to shift responsibility for their statements away from themselves and onto others. Both of the Defendants ought to have accepted responsibility for the inaccuracy of their statements and their failure to adequately investigate those allegations before making them. Rather than doing so, the Defendants suggest that it is the fault of Mr. Wood for not explaining these matters to them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Both apologies arrive only after Trial some three and one-half years after the defamation and two years after the Examination for Discovery of Mr. Wood at which those matters addressed at Trial were first explained by Mr. Wood. The evidence given at Trial was not markedly different from Mr. Wood's explanations at his discovery. It cannot be said that the Defendants have made their apologies "as soon afterward as they had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conclude that the apologies produced by the Defendants should not be found to mitigate damages. The apologies are "too little and too late". I have concluded that they are insincere attempts to reduce the damages that should be awarded and not genuine attempts to apologize for what was said. The "average person" would not find that the two apologies were unqualified and a full and fair retraction. On balance, the letters of apology repeat earlier allegations and are not complete and unconditional apologies in my opinion. Accordingly, the "apologies" do not amount to mitigating factors reducing the damages available to Mr.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dealing with the question of mitigation, I also take into account that, despite having abandoned their fraud claims, the Defendants dedicate a substantial portion of their closing written submissions to the underlying assertions of wrongdoing by Mr. Wood relating to the Dome Electrical account, the Y. Franks' account and the timing of the payment of the second management fee installment. The Defendants persist in attacking the character of Mr. Wood with respect to these issues.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paragraphs 73 to 86 of their submissions, the Defendants canvass the Dome Electrical issue at great length. In making those submissions, they refer to the affidavit evidence of Ms. Jaffer in which she alleges criminal fraud on the part of Mr. Wood.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also attack Mr. Wood's honesty referring to a portion of his discovery transcript and submitting that Mr. Wood "only attempts to be honest and found it difficult to define what honesty means". At paragraph 137 of their submissions, the Defendants refer back to these assertions and state: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Paragraphs 77-82 in the Dome Electrical non-payment bring into question the inconsistencies of whether Mr. Wood was honest in his correspondence with Mr. Mithani as he is the only one who could sign cheques ...</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Similar attention is paid to the allegations surrounding the Y. Franks entry where the Defendants conclude that "the Jaffers realized that Mr. Wood could not be trusted with their funds".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paragraph 225, the Defendants state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were issues arising from payments not being made to Y. Franks and Dome Electrical - event to the point of Mr. Wood claiming the cheque is in the mail and that any delays are due to Canada Post. Mr. Jaffer relied on these emails from Mr. Wood to be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also take into account that all of the evidence at Trial that the Defendants now rely on to come to the conclusion that they should apologize was available to the Defendants when Mr. Jaffer conducted the examination of Mr. Wood. In this regard, see the Ruling at </w:t>
      </w:r>
      <w:hyperlink r:id="rId234" w:history="1">
        <w:r>
          <w:rPr>
            <w:rFonts w:ascii="arial" w:eastAsia="arial" w:hAnsi="arial" w:cs="arial"/>
            <w:i/>
            <w:color w:val="0077CC"/>
            <w:sz w:val="20"/>
            <w:u w:val="single"/>
            <w:shd w:val="clear" w:color="auto" w:fill="FFFFFF"/>
            <w:lang w:val="en-US" w:eastAsia="en-US" w:bidi="ar-SA"/>
          </w:rPr>
          <w:t>2018 BCSC 83</w:t>
        </w:r>
      </w:hyperlink>
      <w:r>
        <w:rPr>
          <w:rFonts w:ascii="arial" w:eastAsia="arial" w:hAnsi="arial" w:cs="arial"/>
          <w:sz w:val="20"/>
          <w:lang w:val="en-US" w:eastAsia="en-US" w:bidi="ar-SA"/>
        </w:rPr>
        <w:cr/>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Should There be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Aggravating factors can increase the damages that should be awarded where defamation is found. In </w:t>
      </w:r>
      <w:r>
        <w:rPr>
          <w:rFonts w:ascii="arial" w:eastAsia="arial" w:hAnsi="arial" w:cs="arial"/>
          <w:i/>
          <w:color w:val="000000"/>
          <w:sz w:val="20"/>
          <w:lang w:val="en-US" w:eastAsia="en-US" w:bidi="ar-SA"/>
        </w:rPr>
        <w:t>John v. Kim</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2007 BCSC 1224</w:t>
        </w:r>
      </w:hyperlink>
      <w:r>
        <w:rPr>
          <w:rFonts w:ascii="arial" w:eastAsia="arial" w:hAnsi="arial" w:cs="arial"/>
          <w:color w:val="000000"/>
          <w:sz w:val="20"/>
          <w:lang w:val="en-US" w:eastAsia="en-US" w:bidi="ar-SA"/>
        </w:rPr>
        <w:t xml:space="preserve">, the Court referred to an earlier authority for the proposition that pleas of justification and fair comment can aggravate damage awards in liable cases. An additional factor considered by the Court in </w:t>
      </w:r>
      <w:r>
        <w:rPr>
          <w:rFonts w:ascii="arial" w:eastAsia="arial" w:hAnsi="arial" w:cs="arial"/>
          <w:i/>
          <w:color w:val="000000"/>
          <w:sz w:val="20"/>
          <w:lang w:val="en-US" w:eastAsia="en-US" w:bidi="ar-SA"/>
        </w:rPr>
        <w:t>John, supra</w:t>
      </w:r>
      <w:r>
        <w:rPr>
          <w:rFonts w:ascii="arial" w:eastAsia="arial" w:hAnsi="arial" w:cs="arial"/>
          <w:color w:val="000000"/>
          <w:sz w:val="20"/>
          <w:lang w:val="en-US" w:eastAsia="en-US" w:bidi="ar-SA"/>
        </w:rPr>
        <w:t xml:space="preserve">, was that the nature of the defamation included an allegation of criminal conduct. I am satisfied that the defamatory statements here alleging fraud including references to s. 380(1)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and alleging that Mr. Wood was in receipt of proceeds from crime should be taken into account as aggravating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also take into account that the alleged apologies here provoke or remind the reader of the original defamation so as to actually exacerbate the defamation. In this regard, </w:t>
      </w:r>
      <w:r>
        <w:rPr>
          <w:rFonts w:ascii="arial" w:eastAsia="arial" w:hAnsi="arial" w:cs="arial"/>
          <w:i/>
          <w:color w:val="000000"/>
          <w:sz w:val="20"/>
          <w:lang w:val="en-US" w:eastAsia="en-US" w:bidi="ar-SA"/>
        </w:rPr>
        <w:t>see Bennett, supra</w:t>
      </w:r>
      <w:r>
        <w:rPr>
          <w:rFonts w:ascii="arial" w:eastAsia="arial" w:hAnsi="arial" w:cs="arial"/>
          <w:color w:val="000000"/>
          <w:sz w:val="20"/>
          <w:lang w:val="en-US" w:eastAsia="en-US" w:bidi="ar-SA"/>
        </w:rPr>
        <w:t xml:space="preserve">, at paras. 32-34 and </w:t>
      </w:r>
      <w:r>
        <w:rPr>
          <w:rFonts w:ascii="arial" w:eastAsia="arial" w:hAnsi="arial" w:cs="arial"/>
          <w:i/>
          <w:color w:val="000000"/>
          <w:sz w:val="20"/>
          <w:lang w:val="en-US" w:eastAsia="en-US" w:bidi="ar-SA"/>
        </w:rPr>
        <w:t>Ramsey, supra</w:t>
      </w:r>
      <w:r>
        <w:rPr>
          <w:rFonts w:ascii="arial" w:eastAsia="arial" w:hAnsi="arial" w:cs="arial"/>
          <w:color w:val="000000"/>
          <w:sz w:val="20"/>
          <w:lang w:val="en-US" w:eastAsia="en-US" w:bidi="ar-SA"/>
        </w:rPr>
        <w:t>,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also take into account the continued reliance on the allegation of fraud despite the fact that the explanation of the billing practices of Mr. Wood were well known a number of years earlier when Mr. Jaffer conducted the Examination for Discovery of Mr.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satisfied that the aggregating factors here should result in an increase in the damages award.</w:t>
      </w:r>
      <w:r>
        <w:rPr>
          <w:rFonts w:ascii="arial" w:eastAsia="arial" w:hAnsi="arial" w:cs="arial"/>
          <w:sz w:val="20"/>
          <w:lang w:val="en-US" w:eastAsia="en-US" w:bidi="ar-SA"/>
        </w:rPr>
        <w:cr/>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Assessment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G.J.V.M. v. S.L.H.</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2014 BCSC 2044</w:t>
        </w:r>
      </w:hyperlink>
      <w:r>
        <w:rPr>
          <w:rFonts w:ascii="arial" w:eastAsia="arial" w:hAnsi="arial" w:cs="arial"/>
          <w:color w:val="000000"/>
          <w:sz w:val="20"/>
          <w:lang w:val="en-US" w:eastAsia="en-US" w:bidi="ar-SA"/>
        </w:rPr>
        <w:t>, Schultes J. reviewed the principles underlying damage assessments in defamation cases and made these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underlying an award of general damages were concisely summarized in </w:t>
      </w:r>
      <w:r>
        <w:rPr>
          <w:rFonts w:ascii="arial" w:eastAsia="arial" w:hAnsi="arial" w:cs="arial"/>
          <w:i/>
          <w:color w:val="000000"/>
          <w:sz w:val="20"/>
          <w:lang w:val="en-US" w:eastAsia="en-US" w:bidi="ar-SA"/>
        </w:rPr>
        <w:t>Best v. Weatherall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2010 BCCA 202</w:t>
        </w:r>
      </w:hyperlink>
      <w:r>
        <w:rPr>
          <w:rFonts w:ascii="arial" w:eastAsia="arial" w:hAnsi="arial" w:cs="arial"/>
          <w:color w:val="000000"/>
          <w:sz w:val="20"/>
          <w:lang w:val="en-US" w:eastAsia="en-US" w:bidi="ar-SA"/>
        </w:rPr>
        <w:t xml:space="preserve"> (CanLII):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Defamation is a strict liability tort and damages are presumed...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1995 CanLII 59</w:t>
        </w:r>
      </w:hyperlink>
      <w:r>
        <w:rPr>
          <w:rFonts w:ascii="arial" w:eastAsia="arial" w:hAnsi="arial" w:cs="arial"/>
          <w:color w:val="000000"/>
          <w:sz w:val="20"/>
          <w:lang w:val="en-US" w:eastAsia="en-US" w:bidi="ar-SA"/>
        </w:rPr>
        <w:t xml:space="preserve"> (SCC), </w:t>
      </w:r>
      <w:hyperlink r:id="rId15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164; R.E. Brown,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2nd ed., looseleaf (Toronto: Carswell, 1999), vol. 3 at 25-2, 25-3...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There are many different statements intended to capture the difficulty of assessing the quantum of damages in defamation cases. It has been said that the calculation of damages for defamation is speculative and an inexact science, that there is no objective measure, and that damages need not be calculated mathematically. Further, although damages for defamation are difficult to assess, courts should sensibly and rationally attempt to arrive at a monetary sum that will compensate the plaintiff appropriately, i.e., achieve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Such an award should provide "solatium, vindication and compensation": see Brown, </w:t>
      </w:r>
      <w:r>
        <w:rPr>
          <w:rFonts w:ascii="arial" w:eastAsia="arial" w:hAnsi="arial" w:cs="arial"/>
          <w:i/>
          <w:color w:val="000000"/>
          <w:sz w:val="20"/>
          <w:lang w:val="en-US" w:eastAsia="en-US" w:bidi="ar-SA"/>
        </w:rPr>
        <w:t>The Law of Defamation</w:t>
      </w:r>
      <w:r>
        <w:rPr>
          <w:rFonts w:ascii="arial" w:eastAsia="arial" w:hAnsi="arial" w:cs="arial"/>
          <w:color w:val="000000"/>
          <w:sz w:val="20"/>
          <w:lang w:val="en-US" w:eastAsia="en-US" w:bidi="ar-SA"/>
        </w:rPr>
        <w:t>, vol. 3 at 25-7 - 25-11.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Mr. Justice Cory (at para. 182), referring to </w:t>
      </w:r>
      <w:r>
        <w:rPr>
          <w:rFonts w:ascii="arial" w:eastAsia="arial" w:hAnsi="arial" w:cs="arial"/>
          <w:i/>
          <w:color w:val="000000"/>
          <w:sz w:val="20"/>
          <w:lang w:val="en-US" w:eastAsia="en-US" w:bidi="ar-SA"/>
        </w:rPr>
        <w:t>Gatley on Libel and Slander</w:t>
      </w:r>
      <w:r>
        <w:rPr>
          <w:rFonts w:ascii="arial" w:eastAsia="arial" w:hAnsi="arial" w:cs="arial"/>
          <w:color w:val="000000"/>
          <w:sz w:val="20"/>
          <w:lang w:val="en-US" w:eastAsia="en-US" w:bidi="ar-SA"/>
        </w:rPr>
        <w:t>, 8th ed. (London: Sweet &amp; Maxwell, 1981), endorsed the following factors as being relevant to the assessment of general damages for defamation: the conduct of the plaintiff, his position and standing; the nature of the libel; the mode and extent of publication; the absence or refusal of any retraction or apology; the conduct of the defendant from the time of publication to the time of verdict; the conduct of the defendant before and after the action, and in court (including conduct of defendant's counsel); and evidence of aggravation or mitigation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Also quoted in </w:t>
      </w:r>
      <w:r>
        <w:rPr>
          <w:rFonts w:ascii="arial" w:eastAsia="arial" w:hAnsi="arial" w:cs="arial"/>
          <w:i/>
          <w:color w:val="000000"/>
          <w:sz w:val="20"/>
          <w:lang w:val="en-US" w:eastAsia="en-US" w:bidi="ar-SA"/>
        </w:rPr>
        <w:t>G.J.V.M., supra</w:t>
      </w:r>
      <w:r>
        <w:rPr>
          <w:rFonts w:ascii="arial" w:eastAsia="arial" w:hAnsi="arial" w:cs="arial"/>
          <w:color w:val="000000"/>
          <w:sz w:val="20"/>
          <w:lang w:val="en-US" w:eastAsia="en-US" w:bidi="ar-SA"/>
        </w:rPr>
        <w:t xml:space="preserve">, was the statement of Cory J.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supra, that: "...there is little to be gained from a detailed comparison of damage awards in other defamation cases, because of the unique nature of each case. However, it is still worth considering comparable situations to see if any helpful principles can be extracted."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G.J.V.M, supra</w:t>
      </w:r>
      <w:r>
        <w:rPr>
          <w:rFonts w:ascii="arial" w:eastAsia="arial" w:hAnsi="arial" w:cs="arial"/>
          <w:color w:val="000000"/>
          <w:sz w:val="20"/>
          <w:lang w:val="en-US" w:eastAsia="en-US" w:bidi="ar-SA"/>
        </w:rPr>
        <w:t>, the Court extracted a number of factors and found that they suggested that a lower award would be appropriate. However, the Court went on to note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these factors tending towards a lower award, I must keep in mind the important point made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w:t>
      </w:r>
      <w:hyperlink r:id="rId238" w:history="1">
        <w:r>
          <w:rPr>
            <w:rFonts w:ascii="arial" w:eastAsia="arial" w:hAnsi="arial" w:cs="arial"/>
            <w:i/>
            <w:color w:val="0077CC"/>
            <w:sz w:val="20"/>
            <w:u w:val="single"/>
            <w:shd w:val="clear" w:color="auto" w:fill="FFFFFF"/>
            <w:lang w:val="en-US" w:eastAsia="en-US" w:bidi="ar-SA"/>
          </w:rPr>
          <w:t>[2007] B.C.J. No. 2602</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(2009), 99 B.C.L.R. (4th) 214</w:t>
        </w:r>
      </w:hyperlink>
      <w:r>
        <w:rPr>
          <w:rFonts w:ascii="arial" w:eastAsia="arial" w:hAnsi="arial" w:cs="arial"/>
          <w:color w:val="000000"/>
          <w:sz w:val="20"/>
          <w:lang w:val="en-US" w:eastAsia="en-US" w:bidi="ar-SA"/>
        </w:rPr>
        <w:t xml:space="preserve"> (C.A.)], the amount of an award must not leave the impression with an outside observer that the defamation was only technically proven. Dr. M. must be able to point to the award as a clear demonstration to any interested person that Ms. H.'s allegations in the forwarded email were absolutely baseless.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LaPointe v. Summach</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2003 BCCA 709</w:t>
        </w:r>
      </w:hyperlink>
      <w:r>
        <w:rPr>
          <w:rFonts w:ascii="arial" w:eastAsia="arial" w:hAnsi="arial" w:cs="arial"/>
          <w:color w:val="000000"/>
          <w:sz w:val="20"/>
          <w:lang w:val="en-US" w:eastAsia="en-US" w:bidi="ar-SA"/>
        </w:rPr>
        <w:t xml:space="preserve">, Lambert, J.A. on behalf of the Court upheld a general damage award of $50,000 ($40,000 for general damages and $10,000 for aggravated damages) where the plaintiff was a general contractor who had constructed a home for the parents of the defendant and where the defendant had made a series of defamatory statements about the plaintiff to various people in the community who were involved in the construction business. Statements went to the reliability of the plaintiff as a builder and his ability to build projects within budget. In concluding that: "... the award does not lie outside a reasonable range so as to shock the court's sense of justice", Lambert, J.A. quoted with approval a passage in </w:t>
      </w:r>
      <w:r>
        <w:rPr>
          <w:rFonts w:ascii="arial" w:eastAsia="arial" w:hAnsi="arial" w:cs="arial"/>
          <w:i/>
          <w:color w:val="000000"/>
          <w:sz w:val="20"/>
          <w:lang w:val="en-US" w:eastAsia="en-US" w:bidi="ar-SA"/>
        </w:rPr>
        <w:t>Hill, supra</w:t>
      </w:r>
      <w:r>
        <w:rPr>
          <w:rFonts w:ascii="arial" w:eastAsia="arial" w:hAnsi="arial" w:cs="arial"/>
          <w:color w:val="000000"/>
          <w:sz w:val="20"/>
          <w:lang w:val="en-US" w:eastAsia="en-US" w:bidi="ar-SA"/>
        </w:rPr>
        <w:t xml:space="preserve">, which adopted the test from the Court of Appeal decision in Ontario in </w:t>
      </w:r>
      <w:r>
        <w:rPr>
          <w:rFonts w:ascii="arial" w:eastAsia="arial" w:hAnsi="arial" w:cs="arial"/>
          <w:i/>
          <w:color w:val="000000"/>
          <w:sz w:val="20"/>
          <w:lang w:val="en-US" w:eastAsia="en-US" w:bidi="ar-SA"/>
        </w:rPr>
        <w:t>Walker v. CFTO</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(1987), 59 O.R. (2d) 104</w:t>
        </w:r>
      </w:hyperlink>
      <w:r>
        <w:rPr>
          <w:rFonts w:ascii="arial" w:eastAsia="arial" w:hAnsi="arial" w:cs="arial"/>
          <w:color w:val="000000"/>
          <w:sz w:val="20"/>
          <w:lang w:val="en-US" w:eastAsia="en-US" w:bidi="ar-SA"/>
        </w:rPr>
        <w:t>: "... [the test is] ... whether the verdict is so inordinately large, as obviously to exceed the maximum limit of a reasonable range within which the jury may properly operate or, put another way, whether the verdict is so exorbitant or so grossly out of proportion to the libel as to shock the court's conscience and sense of justice."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number of British Columbia decisions have dealt with defamatory statements alleging fraud. In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(1999) 61 B.C.L.R. (3d) 1</w:t>
        </w:r>
      </w:hyperlink>
      <w:r>
        <w:rPr>
          <w:rFonts w:ascii="arial" w:eastAsia="arial" w:hAnsi="arial" w:cs="arial"/>
          <w:color w:val="000000"/>
          <w:sz w:val="20"/>
          <w:lang w:val="en-US" w:eastAsia="en-US" w:bidi="ar-SA"/>
        </w:rPr>
        <w:t xml:space="preserve"> (C.A.), it had been alleged that an insurance agent was guilty of fraud and was under investigation by the RCMP and/or the Insurance Crime Prevention Bureau as a result of his conduct in the adjustment of an insurance claim. The recipient of the defamatory statements was a competitor in the insurance field. As a result of the defamatory allegations, various insurance companies stopped sending work to the plaintiff. In dealing with the question of damages on behalf of the Court, Southin J.A. stated that there should be compensation for "insult offered and pain given", "vindication of reputation", "injury to pride and self-confidence ("insult offered and pain given")", and "social damage and possible economic damage which was particularly important" (at para. 107). The appeals of the trial awards were allowed and the damages reduced so that $60,000 was awarded against one appellant and $100,000 was awarded against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Taubenfligel v. Mansfield</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2008 BCSC 1553</w:t>
        </w:r>
      </w:hyperlink>
      <w:r>
        <w:rPr>
          <w:rFonts w:ascii="arial" w:eastAsia="arial" w:hAnsi="arial" w:cs="arial"/>
          <w:color w:val="000000"/>
          <w:sz w:val="20"/>
          <w:lang w:val="en-US" w:eastAsia="en-US" w:bidi="ar-SA"/>
        </w:rPr>
        <w:t>, Cole J. dealt with a default judgment where an appearance had not been filed and awarded $6,000 for general damages, $6,000 for aggravated damages, and $10,000 for punitive damages. The allegations of fraud against the plaintiff where in the context of his professional dealings as the owner of a car dealership where a statement had been made to the principals of Mercedes-Benz Canada regarding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Cragg v. Stephens</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2010 BCSC 1177</w:t>
        </w:r>
      </w:hyperlink>
      <w:r>
        <w:rPr>
          <w:rFonts w:ascii="arial" w:eastAsia="arial" w:hAnsi="arial" w:cs="arial"/>
          <w:color w:val="000000"/>
          <w:sz w:val="20"/>
          <w:lang w:val="en-US" w:eastAsia="en-US" w:bidi="ar-SA"/>
        </w:rPr>
        <w:t>, Loo J. ordered $25,000 general damages and $10,000 in aggravated damages where it was alleged that fraud occurred regarding a loan/mortgage where the publication of the defamation circulated widely by email transmission to the work colleagues and supervisors of the plaintiff and to media outlets, politicians, officials, civil servants and others. There was also a finding that it was likely that the defamation would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 Concrete Ltd. v. Truter</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2015 BCSC 229</w:t>
        </w:r>
      </w:hyperlink>
      <w:r>
        <w:rPr>
          <w:rFonts w:ascii="arial" w:eastAsia="arial" w:hAnsi="arial" w:cs="arial"/>
          <w:color w:val="000000"/>
          <w:sz w:val="20"/>
          <w:lang w:val="en-US" w:eastAsia="en-US" w:bidi="ar-SA"/>
        </w:rPr>
        <w:t>, Cohen J. set damages for the defamation at $25,000. In the context of purchase of the company of the plaintiff, it was alleged that the defamation consisted of embezzlement, misappropriation, and theft of money from the plaintiff and "massive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An Alberta decision assists in establishing "helpful principles". In </w:t>
      </w:r>
      <w:r>
        <w:rPr>
          <w:rFonts w:ascii="arial" w:eastAsia="arial" w:hAnsi="arial" w:cs="arial"/>
          <w:i/>
          <w:color w:val="000000"/>
          <w:sz w:val="20"/>
          <w:lang w:val="en-US" w:eastAsia="en-US" w:bidi="ar-SA"/>
        </w:rPr>
        <w:t>Pinsent v. Sandstrom</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2014 ABQB 269</w:t>
        </w:r>
      </w:hyperlink>
      <w:r>
        <w:rPr>
          <w:rFonts w:ascii="arial" w:eastAsia="arial" w:hAnsi="arial" w:cs="arial"/>
          <w:color w:val="000000"/>
          <w:sz w:val="20"/>
          <w:lang w:val="en-US" w:eastAsia="en-US" w:bidi="ar-SA"/>
        </w:rPr>
        <w:t>, Gates J. ordered general damages of $45,000, $25,000 and $20,000 against the three defendants relating to allegations that there had been fraudulent printing of stock certificates relating to a company. The Court also found that the conduct of the defendant's case was relevant in that she failed to prove the very serious accusations against the plaintiff. The Court also considered the fact that the defendant had still not apologized at trial "and instead seems completely "unrepentant".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Mr. Wood seeks general damages for the defamation in the range of $7,500 to $10,000 and relies on the decisions in </w:t>
      </w:r>
      <w:r>
        <w:rPr>
          <w:rFonts w:ascii="arial" w:eastAsia="arial" w:hAnsi="arial" w:cs="arial"/>
          <w:i/>
          <w:color w:val="000000"/>
          <w:sz w:val="20"/>
          <w:lang w:val="en-US" w:eastAsia="en-US" w:bidi="ar-SA"/>
        </w:rPr>
        <w:t>G.J.V.M. v. S.L.H.</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2014 BCSC 2044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2007 BCSC 1757</w:t>
        </w:r>
      </w:hyperlink>
      <w:r>
        <w:rPr>
          <w:rFonts w:ascii="arial" w:eastAsia="arial" w:hAnsi="arial" w:cs="arial"/>
          <w:color w:val="000000"/>
          <w:sz w:val="20"/>
          <w:lang w:val="en-US" w:eastAsia="en-US" w:bidi="ar-SA"/>
        </w:rPr>
        <w:t xml:space="preserve"> aff'd </w:t>
      </w:r>
      <w:hyperlink r:id="rId151"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Taubenfligel,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Urbanowski v. Harkins, 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Wright v. Van Gaalen</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2011 BCSC 707</w:t>
        </w:r>
      </w:hyperlink>
      <w:r>
        <w:rPr>
          <w:rFonts w:ascii="arial" w:eastAsia="arial" w:hAnsi="arial" w:cs="arial"/>
          <w:color w:val="000000"/>
          <w:sz w:val="20"/>
          <w:lang w:val="en-US" w:eastAsia="en-US" w:bidi="ar-SA"/>
        </w:rPr>
        <w:t xml:space="preserve">. Regarding these decisions, I note that only the </w:t>
      </w:r>
      <w:r>
        <w:rPr>
          <w:rFonts w:ascii="arial" w:eastAsia="arial" w:hAnsi="arial" w:cs="arial"/>
          <w:i/>
          <w:color w:val="000000"/>
          <w:sz w:val="20"/>
          <w:lang w:val="en-US" w:eastAsia="en-US" w:bidi="ar-SA"/>
        </w:rPr>
        <w:t>Taubenfligel</w:t>
      </w:r>
      <w:r>
        <w:rPr>
          <w:rFonts w:ascii="arial" w:eastAsia="arial" w:hAnsi="arial" w:cs="arial"/>
          <w:color w:val="000000"/>
          <w:sz w:val="20"/>
          <w:lang w:val="en-US" w:eastAsia="en-US" w:bidi="ar-SA"/>
        </w:rPr>
        <w:t xml:space="preserve"> decision involved an allegation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satisfied that the decisions relied upon by Mr. Wood provide little assistance in deciding the question of what damages should be available to Mr. Wood arising out of the defamation of the Defendants or what helpful principles can be extracted from the decisions referred to. In addition to not alleging fraud or alleging the receipt of criminal proceeds, the decisions relate to "small recipient" situations. I cannot reach the conclusion that this is the situation regarding the defamation of the Defendants. While circulation to the Bureau and the Builders would not be described as "defamation in the mass media", it nevertheless was defamation to what had the potential of being available on a mass basis given the respective roles and purposes of the Bureau and Builders.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a competitive field, the allegations made about Mr. Wood parallel what was defamatory in </w:t>
      </w:r>
      <w:r>
        <w:rPr>
          <w:rFonts w:ascii="arial" w:eastAsia="arial" w:hAnsi="arial" w:cs="arial"/>
          <w:i/>
          <w:color w:val="000000"/>
          <w:sz w:val="20"/>
          <w:lang w:val="en-US" w:eastAsia="en-US" w:bidi="ar-SA"/>
        </w:rPr>
        <w:t>Brown, supra</w:t>
      </w:r>
      <w:r>
        <w:rPr>
          <w:rFonts w:ascii="arial" w:eastAsia="arial" w:hAnsi="arial" w:cs="arial"/>
          <w:color w:val="000000"/>
          <w:sz w:val="20"/>
          <w:lang w:val="en-US" w:eastAsia="en-US" w:bidi="ar-SA"/>
        </w:rPr>
        <w:t>, and likely to affect those with knowledge on the question of whether they would retain Mr. Wood. I am satisfied that to vindicate his reputation and to compensate him for the injury to his pride and self-confidence requires an award of $35,000 for general damages with that award taking into account the aggravating factors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What was stated affects not only the opinions of potential clients but also workers and subcontractors who would not be aware that the allegations including fraud and receipt of proceeds of crime were entirely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assess the $35,000 in damages against both Defendants as I am satisfied that all correspondence and communication with the Bureau, the Builders, and the RCMP were either authored by both or were approved by both before being forwarded. I reject the statement made by Ms. Jaffer in her "apology" that she was unaware of what was being said.</w:t>
      </w:r>
      <w:r>
        <w:rPr>
          <w:rFonts w:ascii="arial" w:eastAsia="arial" w:hAnsi="arial" w:cs="arial"/>
          <w:sz w:val="20"/>
          <w:lang w:val="en-US" w:eastAsia="en-US" w:bidi="ar-SA"/>
        </w:rPr>
        <w:cr/>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Should there be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nature of punitive damages is well established. Punitive damages are to be awarded in circumstances where the conduct giving rise to the cause for complaint is of such a nature that it merits punishment. These damages are measured by the moral culpability of the defendant, not in any compensatory way with respect to the plaintiff. Indeed, punitive damages are not to attempt to accomplish what is accomplished by the award of compensatory damages. Instead, such damages are awarded where damages would be inadequate to deter, denounce and punish the defendant for his or her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2007 BCSC 1757</w:t>
        </w:r>
      </w:hyperlink>
      <w:r>
        <w:rPr>
          <w:rFonts w:ascii="arial" w:eastAsia="arial" w:hAnsi="arial" w:cs="arial"/>
          <w:color w:val="000000"/>
          <w:sz w:val="20"/>
          <w:lang w:val="en-US" w:eastAsia="en-US" w:bidi="ar-SA"/>
        </w:rPr>
        <w:t xml:space="preserve">, aff'd </w:t>
      </w:r>
      <w:hyperlink r:id="rId151"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Hinkson J., as he then was, found that the publication was malicious and awarded general damages of $25,000. The plaintiff sought punitive damages of $5,000. In awarding punitive damages of $10,000, the Court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have concluded that Mr. Cross' conduct in publishing his e-mails was well intentioned but misguided, his refusal to retract his comments and to apologize for them, and his insistance through trial as to the truth of his comments, is such that an award of punitive damages is warranted. I do not consider the amount proposed by Mr. Lester for punitive damages to be sufficient.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Wood submits that, over the course of mere weeks, Mr. Jaffer made complaints to the Bureau, the Builders, and to the RCMP. In making these complaints - which allege criminal fraud against a professional who regularly deals with money as part of his trade - the conduct of the Defendants can be described as high-handed. At his examination for discovery in February of 2016, Mr. Jaffer was unapologetic stating that it was his duty to "report a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considerable power of the RCMP was called into play and Mr. Wood was subjected to the stress and stigma of a criminal investigation. Mr. Jaffer also employed the lesser (though certainly influential) power of a professional association to serve as his "agent" against Mr. Wood. In reviewing the complaints made to the Bureau and the Builders, it is clear to me that the allegations of fraud, etc. were being used by the Defendants as a "leaver" to reach an economic accommodation from Mr. Wood to reduce his fees and not out of a genuine concern that there was an obligation to report fraud and to report the receipt by Mr. Wood of the proceeds from a crime.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Wood seeks punitive damages in the sum of $10,000. The refusal of the Defendants to retract their comments until the Trial was almost concluded, the equivocal nature of the apology eventually given, the insistence throughout the Trial as to the truth of the comments made, and in view of the continuation of the defamation in the submissions made by the Defendants allow me to conclude that an award of punitive damages is warranted. In the circumstances, an award of $10,000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CONTRACTUAL CLAIM OF MR. 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Final Billing Statement indicated $4,261.54 owing by the Defendants to Mr. Wood. After deducting two refunds received, Mr. Wood claims judgment in the amount of $209.54. Mr. Wood will have Judgment for that amount as I am satisfied that it is a balance which is owing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COUNTERCLAIM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do not seek specific damages for all of the complaints they have chosen to litigate.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Damages claimed without specifying the amounts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claim regarding the fact that certain items exceeded the initial budget provided by Mr. Wood. In this regard, the Agreement expressly provides that the budget is of "estimated costs" and is provided "solely as a guide and a planning tool for both parties." I am satisfied that this was the case. As well, I am satisfied that, as a result of the increase in square footage, the addition of radiant heat and other changes, the cost of construction was bound to increase. In any event, I rely on the evidence of Ms. Jaffer at Trial that the budget of Mr. Wood was "rough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Second, the Defendants allege that Mr. Wood failed to ensure that the District By-laws were adhered to and this resulted in a noise complaint. While a "warning" was received from the District, no fine was ever levied. The Defendants have not proven that any damages occurred to them as a result of the alleged failure to adhere to district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Third, the Defendants also complain that Mr. Wood used regular nails in pressure-treated wood. Mr. Wood testified that, upon finding that the regular nails had been used, they were immediately removed and replaced. Even if I could conclude that the use of regular nails constituted a breach of the Agreement, I am satisfied that any alleged breach was fully and completely rectified by Mr. Wood so that no damages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Fourth, the Defendants also complain that recycled wood was used. In response, Mr. Wood states that recycled wood was used to frame the bathtub because it was of sufficient quality for that purpose and because it was good environmental practice to use recycled materials. I accept that explanation and, in any event, I cannot conclude that the Agreement did not prohibit using recycled materials or that any damages accrue because re-cycled wood was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Fifth, the Defendants complain that Mr. Wood trespassed on the Property after the Agreement was terminated. I cannot conclude that this was a breach of the Agreement as Clause 2(m) of the Agreement provides that, once the work of Mr. Wood was brought to a conclusion, Mr. Wood would be required to remove all "equipment, materials" from the Property. As such, I am satisfied that the Defendants consented to allow Mr. Wood to enter the Property to collect his belongings. In any event, I cannot conclude that any damages flow as a result of the alleged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Sixth, in her Affidavit No. 2, Ms. Jaffer complains that Mr. Wood failed "to protect our floors". This complaint is not found in the pleadings of the Defendants. Mr. Wood states that a discussion occurred that it would cost $2,000 to purchase new material to protect the floor and the radiant heating and that recycled plywood was used by him. Instead, at Trial, Ms. Jaffer recalled a discussion in which Mr. Wood said it would cost approximately $2,000 to purchase new boards for this purpose. The floor and the radiant heating was covered with recycled plywood up until the time the Agreement was terminated. Even if this complaint would be found in the pleadings of the Defendants, I am satisfied that no damages would flow as a result of the alleged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Seventh, the Defendants complain that Mr. Wood did not contact the municipality in advance to inquire about service connection upgrades. However, the final cost of permit fees of $25,762.46 was less than the initial figure provided by the District of $40,000 and it also included a $10,000 deposit. Under cross examination Mr. Jaffer confirmed that he had been repaid the $10,000 in full. I cannot conclude that any alleged failure to contact the municipality in advance would have resulted in the project not going ahead because the original estimate of $40,000 was received. I cannot conclude that there are any damages flowing from the alleged failure to contact the municipality in advance.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Eighth, the Defendants led evidence that "all door openings were framed to wrong sizes". Mr. Wood testified that, if doors had already been ordered, the framing would be done to the specifications of the doors that were ordered but if the doors had not been ordered, doors would be framed two to three inches larger. In the circumstances, I am satisfied that the Defendants have not proven on a balance of probabilities that any damages flowed from the alleged framing being to "wrong sizes" as there was no evidence before the Court as to when and if the doors had been ordered once the framing was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Ninth, Mr. Jaffer in his affidavit alleges that the fireplace did not conform with the specifications. However, there was no evidence before me that any designs had been provided to Mr. Wood, that what was installed differed from the design that may have been provided to Mr. Wood, or that the fireplace that was provided was of inferior quality so that there would be damages available to the Defendants. I am satisfied that the Defendants have failed to provide on a balance of probabilities that there was any deficiency attributable to Mr. Wood or that any damages were incurred by the Defendants as a result of the alleged failure to install what may have been specified.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Eleventh, regarding the roof on the building, paragraph 11(t) of the Amended Response to Civil Claim alleges that Mr. Wood failed to ensure that the roof construction was done properly. "...as there was no roofing around the electrical mast head, several nails were left exposed and not waterproofed, and - cuts sticking past the fascia were cut crooked and some flashing was done incorrectly and needed repair". The Defendants did not adduce any evidence to support any of these allegations. As well, no evidence was led establishing any damages for these alleged deficiencies. I am satisfied that the Defendants have not proven on a balance of probabilities that any damages flowed from what was alleged in paragraph 11(t) of the Amended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Twelfth, the Defendants complain that Mr. Wood did not provide an "inventory" or "audit" of the invoices from Dick's Lumber. This complaint is not found in the pleadings of the Defendants. In this regard, Mr. Wood stated at Trial that it was part of his regular accounting process that copies of all invoices were provided to the Defendants. During the cross examination of Mr. Wood, Mr. Jaffer confirmed to the Court that the invoices were available to him. Mr. Jaffer stated that he "just wanted a review" but that he was not aware that there was a problem with the invoices. In the circumstances, I cannot conclude that the Defendants have shown on a balance of probabilities that any damages flowed from the alleged failure of Mr. Wood to perform a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Defendants also claim that Mr. Wood was "negligent in carrying out his contractual duties". In a review of the evidence, it is clear that the Defendants have not proven on a balance of probabilities that Mr. Wood was negligent. While some of their complaints lead to conclusions relating to breaches of contract, the necessary elements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not been proven by the Defendants. Accordingly, I dismiss the portion of the Counterclaim of the Defendants relating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Wood.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deficiencies that had to be corrected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Wood admits certain deficiencies. He admits that some windows were not properly installed and that it was his opinion that it would take five hours to remedy that problem. Mr. Wood also admits that the failure to fasten roof sheeting was a deficiency and, although no evidence was presented on behalf of the Defendants about how many hours were required to remedy the deficiency, Mr. Wood submits that a fair number of hours to compensate the Defendants for this work would be four hours. It also took a total of 11 hours to remedy a number of deficiencies set out in the affidavit materials before the Court. Mr. Wood submits that $45 per hour is a fair price for all of the labour to remedy the deficiencies and, applying that rate to the 20 hours it would take to remedy the deficiencies, Mr. Wood concedes that $900 would cover the cost of the admitted deficiencies. I agree. Accordingly, the Defendants will be entitled to the sum of $900, being the cost I find to cure the deficiencies that had to be rectified.</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Specific claims made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their Counterclaim, the Defendants claim judgment against Mr. Wood for almost $130,000 made up as follows: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Blackfish Homes cost to remedy deficiencies ($31,416)</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Adair of Blackfish described the figure of $31,416 as a "general estimate" and also stated that it would be impossible: "...to give an exact cost difference" and that "exact hours spent and materials used are unable to be exactly tracked or recorded." Mr. Adair confirmed that the figure represented "work required to get the project to a level of finish that passes our company standards" and that it was not possible to break down the deficiency alleged between labour, management, trades, and materials at a markup of 10% in each of those four categories. When asked how much of the figure was a correction of work done wrong as opposed to completion of things that had to be done, Mr. Adair stated that it would have been about 50/50 but that it was hard to "perfectly summarize". In the circumstances, Mr. Wood submits that the $31,416 figure does not satisfy the requirement of "well defined evidence of cost" as was set out in the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denying the Defendants' claim for $31,416, I take into account that the cost to complete the project by Blackfish was approximately $350,000. Combined with the $450,000 in funds paid to Mr. Wood and other costs borne by the Defendants, the total amount was well under the last forecasted cost of $925,000 provided by Mr. Wood to the Defendants. By switching to Blackfish, the Defendants were able to save approximately $75,000 from what had been forecast by Mr. Wood.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514953 B.C. Ltd. dba Gold Key Construction and Chiu v. Leung</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(2007) 64 B.C.L.R. (4th) 76</w:t>
        </w:r>
      </w:hyperlink>
      <w:r>
        <w:rPr>
          <w:rFonts w:ascii="arial" w:eastAsia="arial" w:hAnsi="arial" w:cs="arial"/>
          <w:color w:val="000000"/>
          <w:sz w:val="20"/>
          <w:lang w:val="en-US" w:eastAsia="en-US" w:bidi="ar-SA"/>
        </w:rPr>
        <w:t>, the Court outlined the two approaches to assessment of damages in cases of residential home construction - the cost of repair or the reduction in value noting the tension between awarding the cost of repair and the duty of a party to mitigate: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essential question is: how should a court determine damages in a case of this sort? Running through the decided cases are two sometimes disparate principles from the law of contract. One principle is that the party who suffers from a breach of contact is entitled to be put back into the position he or she would be in if the contract had been performed according to its tenor. But that consideration is always to be balanced against another principle in this area of the law, namely, that a person who suffers damage by reason of a breach of contract is bound to act reasonably to mitigate damages arising from the breach. Counsel, in their helpful arguments, placed before us a great many authorities which have commented on these principles.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(at para.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are a number of problems created by the testimony given on behalf of the Defendants. First, it is not clear that the work done by Blackfish was to produce a level of finish which was different from the level of finish that was undertaken by Mr. Wood. The "company standards" of Blackfish may well have been different. Second, there is no accurate breakdown of what related to correction of work done as opposed to completion of work that had to be done. The best evidence of Mr. Adair was this was "50/50". I am satisfied that this does not produce the level of specificity to show that the cost to remedy deficiencies should be viewed as half of $31,416. Third, the exact work done was not specified by Blackfish. Accordingly, it is not possible for any comments to be made by Mr. Wood relating to the $31,416 estimate. As well, it is not possible to ascertain whether some of the admitted deficineies totaling $900 were included within the estimate provided by Mr. Adair on behalf of Blackfish. In the circumstances, and given the evidence before me, I am satisified that the Defendants have reasonably mitigated their damages but, at the same time, have not proven on a balance of probabilities that they suffered any damages. Accordingly, I dismiss that part of the Counterclaim of the Defendants.</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Replacement cost of Westeck door incorrectly ordered by the Mr. Wood: Replacement cost $8,134.25 less $5,000 value received for door ordered by him = replacement cost to the Defendants ($3,134.25)</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Wood submits that the Defendants have failed to discharge their burden of proving a breach of contract or duty owed by Mr. Wood relating to the Westeck door. In the alternative, Mr. Wood agrees that the damages relating to this matter are $2,434.25.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quotation was received from Westeck, Mr. Sellers on behalf of Mr. Wood assumed that the quotation was correct and that it had come as a result of a conversation between the Defendants, their interior designer, and Westeck personnel. Prior to placing the order, Mr. Sellers stated that he sent a copy of the quotation to the Defendants and that the quote was approved by the Defendants by email. When the illustration of the door was received from Westeck, Mr. Sellers checked to see if it matched the quotation and, after seeing that it did, he signed and returned the illustration to Westeck and did not refer back to the building plans. In the circumstances, I am satisfied that Mr. Wood should have referred back to the building plans rather than assuming that what was ordered complied with the building plans.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circumstances, I assess the damages available to the Defendants at $2,434.25 as I accept the calculation provided by Mr. Wood rather than the estimate provided by the Defendants.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submit that the Agreement states that construction would be completed in 7-9 month and that a delay of 2 months required additional 2 months rental expenses by defendants $3,200/month rent plus approximately $400/month utilities ($7,200)</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damages of $7,200 relating to an alleged delay, the only pleading which has reference to this relief is set out in paragraph 11(u) of the Amended Response to Civil Claim where the Defendants alleged that several sub-trades and contractors did not respond "in a timely manner so as not to jeopardize the project schedule".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Agreement provided that completion was "targeted" to take approximately seven to nine months. I have concluded that there was no guarantee of a completion date and, in any event, the Defendants have failed to prove on a balance of probabilities that Mr. Wood was responsible for any alleged delay. The Defendants state that they incurred two months of rental expenses. As a result of the delay, I can find no contractual obligation to arrive at an earlier ability to occupy. In any event, the Defendants received an Occupancy Permit on December 19, 2012 which is within eight days of the date projected by Mr. Wood in July of 2012. I have concluded that the Agreement provided that the construction was "targeted to take approximately 7-9 months from the start of the laying of the foundation of the Residence". The building permit was not received until February 14, 2012 so that excavation for the foundation could only start after that date. No witness identified a specific date on which the foundation was started. As well, I note that Blackfish did not commence work on the project until August or September 2012. Accordingly, I am satisfied that some of the alleged delay can be attributed to Blackfish not being in a position to commence work on the project immediately.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Defendants have not proven on a balance of probabilities that Mr. Wood was responsible for any breach of the terms of the Agreement even if I could conclude that (1)(b) constituted a guaranteed completion date. Accordingly, I dismiss that part of the Counterclaim of the Defendants.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Damages for all or partial refunds for site garbage cleanup not performed by the Plaintiff ($1,940)</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complaint of the Defendants is that the Agreement required Mr. Wood to "keep the Property reasonably clean and remove all unnecessary debris in a timely way", and that this was not done to the satisfaction of the Defendants. In this regard, the Defendants appear to seek damages for the entire amount of $1,940 set out in the budget rather than seeking damages on account of the site not being clean. It is unrealistic of the Defendants to argue that no cleanup work was ever performed.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satisfied that the Defendants have not proven on a balance of probabilities that they suffered damages as a result of the site not being as clean as they wished and, accordingly, I dismiss that part of the Counterclaim of the Defendants.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Defendants taking on many of the Builder Responsibilities and therefore claim: 150 hours at low rate of $25/hour for the Plaintiff's employee rate to $250/hour for the Plaintiff charge out rate ($6,690 to $40,440)</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this claim, the Defendants do not allege any loss suffered on account of this "assistance" but submit that Mr. Wood should pay them on an hourly basis for providing their assistance. I have concluded that there was no contractual term whereby the Defendants would provide work in exchange for an hourly wage. I have also concluded that the Defendants have failed to establish any breach of contract or duty in this regard and that, in any event, they have not established that they suffered any loss as a result of the alleged failure of Mr. Wood to fulfill all of his "Builder Responsibilities". Unless there is a specific contract, it would be inconceivable that homeowners could charge a fee to their contractor for their attendances at a construction site to "supervise" and/or inspect the construction.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 dismiss that part of the Counterclaim of the Defendants.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Refund the portion of the management fee of Mr. Wood representing the difference between 66.7% paid to the Plaintiff by the Defendants and 40% of the estimated actual construction completion +HST ($21,880.97)</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a refund of the management fee charged, I am satisfied that the Defendants have not proven on a balance of probabilities that Mr. Wood "took too much" and that the project was only 40% complete at the time that he would be paid two-thirds of his management fee. In any event, pursuant to the Agreement, a further one third of the fee was due upon "Completion of Framing". This was concluded and all municipal inspections were satisfactorily concluded on July 24, 2012. The Agreement was not terminated until July 25,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dismiss this part of the Counterclaim of the Defendants. I cannot conclude that the project was only 40% complete and, even if I could, the further 1/3 of the management fee of Mr. Wood was due pursuant to the Agreement and not pursuant to a calculation of the level of completion of the construction.</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General damages for the failure to provide a site supervisor 4 hours/day x 21 working days/month x 5 months (Feb-July 2012) @ $50/hour ($21,000)</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Regarding the alleged failure of Mr. Wood to provide a supervisor, the Defendants do not claim a loss but, rather, they claim their own costs of supervising the site. I am satisfied that the management of the project was being supervised by Mr. Wood and others in a satisfactory manner and in accordance with the Agreement. There is nothing in evidence which would lead me to the conclusion that a site supervisor was required by the Agreement. In any event, I cannot conclude that the Defendants would be in a position at law to claim costs for supervising the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I dismiss that part of the Counterclaim of the Defendants.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Refund Four Seasons Insulation Ltd. invoice ($224)</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amount was paid to Four Seasons Insulation Ltd. as a "cancellation fee" that Mr. Wood felt obligated to pay even though Four Seasons did not provide services or products to the site. An order for insulation was placed and it was scheduled to arrive on July 26, 2012. When the Agreement was terminated, Mr. Wood states that he attempted to contact Four Seasons to cancel the order but was not able to reach the company until the next morning when he learned that the crews were already en route to the Property to deliver the insulation. Mr. Wood testified that he felt that it was fair to pay a fee to Four Seasons as they had lost a day of work and that $224 was a fair fee. I agree. I am satisfied that the $224 was a legitimate expense against the project and was properly paid by Mr. Wood.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I am satisfied that the Defendants have failed to establish any breach of contract or duty arising out of the payment by Mr. Wood of $224 and, accordingly, I dismiss that portion of the Counterclaim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Against both Defendants, I award $35,000 in general damages and $10,000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Wood will have Judgment against both Defendants in the amount of $209.54.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Defendants will have a Judgment against Mr. Wood for the following amounts: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$900 to cure the deficiencies admitted by Mr. Wood;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$2,434.25 relating to the door received from Westeck and the cost of replacing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Parties will be in the position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656925 British Columbia Ltd. v. Cullen Diesel Power Ltd., [2009] B.C.J. No. 363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15, December 4 and 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27,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S072618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363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260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656925 British Columbia Ltd., Plaintiff, and Cullen Diesel Power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5" w:name="Keywords_7"/>
      <w:bookmarkEnd w:id="65"/>
      <w:r>
        <w:rPr>
          <w:rFonts w:ascii="arial" w:eastAsia="arial" w:hAnsi="arial" w:cs="arial"/>
          <w:b/>
          <w:color w:val="000000"/>
          <w:sz w:val="20"/>
          <w:lang w:val="en-US" w:eastAsia="en-US" w:bidi="ar-SA"/>
        </w:rPr>
        <w:t xml:space="preserve">Contracts — Terms — Express terms — Exclusion clauses — Application by defendant for dismissal of the action under Rule 18A dismissed — Plaintiff sued defendant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for failing to adequately overhaul the engine of a commercial passenger ferry — Defendant argued that exclusion clauses in contract barred any claims by plaintiff — Court unable to find facts necessary to decide proper interpretation and enforcement of exclusion clauses — Based on evidence adduced, court unable to interpret word "equipment" and determine whether exclusion clauses applied to services, or solely related to providing parts, or both.</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6" w:name="Case Summary_7"/>
            <w:bookmarkEnd w:id="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dismissal of the action under Rule 18A. The plaintiff sued the defendant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for failing to adequately overhaul the engine of a commercial passenger ferry. Pursuant to a contract between the parties, the defendant overhauled the diesel engines of the ferry. One engine failed in 2006. The defendant argued that the exclusion clauses in the contract barred any claims by the plaintiff. The plaintiff argued that summary trial was inappropriate.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7" w:name="Holdings of Court_7"/>
            <w:bookmarkEnd w:id="6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unable to find the facts necessary to decide the proper interpretation and enforcement of the exclusion clauses. The record did not disclose what work the defendant performed during the course of the overhaul. The defendant's conduct subsequent to the formation of the contract might be relevant to the determination of whether it would be unfair, unreasonable, or unconscionable to enforce the exclusion clauses. As there had not been full discovery of documents, the plaintiff had not yet had an opportunity to develop all of the evidence that might be important regarding this issue. On the evidence adduced, the court was unable to find the facts necessary to interpret the word equipment to determine whether the exclusion clauses applied to the work performed by the defendant. It was thus not possible to determine whether the exclusion clauses solely covered the defendant's potential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for providing services, or solely related to providing parts, or both.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8" w:name="Legislation Cited_6"/>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6"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18A, Rule 18A(11)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9" w:name="Counsel_7"/>
      <w:bookmarkEnd w:id="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7"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B.G. Baynham, Q.C. and R. Wu.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D.T. Neave and J. Goheen.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0" w:name="Judgment_7"/>
      <w:bookmarkEnd w:id="70"/>
      <w:r>
        <w:pict>
          <v:line id="_x0000_s1068"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1" w:name="D.J. DARDI J._0"/>
            <w:bookmarkEnd w:id="71"/>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dispute concerns the commercial high-speed passenger ferry, the M.V. Harbourlynx ("Harbourlynx"), that operated between Vancouver and Nanaimo from approximately 2003 to February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2003, the defendant, Cullen Diesel Power Ltd. ("Cullen Diesel"), and Nanaimo Harbour Link Corporation ("NHLC") entered into a contract (the "Contract") for the overhaul of two diesel engines (the "Engines") on the Harbourlynx.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656925 British Columbia Ltd., as the assignee of the claims of the now bankrupt NHLC, asserts a claim against Cullen Diesel in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 failure of the Harbourlynx's starboard engine on February 1, 2006. The plaintiff claims that Cullen Diesel failed to adequately perform the overhaul of the Engines and the plaintiff or NHLC or both of them have suffered damages, expenses, and losses because of the failure of the starboard engine. The amount of the claim has not been quantified but is estimated to be in the two-million-dollar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this application, Cullen Diesel seeks an order pursuant to Rule 18A that the plaintiff's action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says that the summary trial application should be dismissed and its cross-application for an order that Cullen Diesel produce a supplemental list of documents, answers to interrogatories, and a representative for examination for discovery should be granted. In turn, Cullen Diesel seeks an order for extension of time for filing answers to the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Cullen Diesel submits that:</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included written limitation of liability terms (the "Exclusion Clauses"), which bar any and all claims brought by NHLC and the plaintiff, as assignee, can stand in no better a position than NHLC;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a direct duty of care is owed to it from Cullen Diesel cannot be sustained as a matter of law;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an appropriate case to have determined by way of Rule 18A because there are no evidentiary issues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position is that Cullen Diesel's summary trial application ought to be dismissed for the following reasons: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Exclusion Clauses do not form part of the Contract between NHLC and Cullen Diesel and, in any event, interpreted properly, do not protect Cullen Diesel against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the Exclusion Clauses ought not to be enforced because it would be unconscionable, unfair, or unreasonable to do so in light of Cullen Diesel's fundamental breach of the Contract;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Cullen Diesel owes a separate duty of care to the plaintiff and the Exclusion Clauses do not apply to the plaintiff due to lack of privity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alternative, the plaintiff submits that the issues of fundamental breach and relational economic loss are not suitable for determination under Rule 18A because the hearing of the issues requires more extensive evidence than that which is before the court on this application. The plaintiff has not had an opportunity to uncover all of the evidence that may be important to its case because it has not conducted examinations for discovery or had full disclosure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Cullen Diesel's business includes servicing, repairing, and overhauling marine diesel engines.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January 1, 2007, Cullen Diesel was named Detroit Diesel-Allison British Columbia Ltd. and was frequently referred to as DDABC or Detroit Diesel.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November 2002, Mr. David Alan Spetch, the Vice President of Cullen Diesel, began meeting with representatives of NHLC concerning a planned overhaul of the Engines.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or about February 7, 2003, following some negotiations, Cullen Diesel provided NHLC a proposal (the "February Proposal") summarizing the work Cullen Diesel would perform in conducting an overhaul of the Engines. The February Proposal estimated the cost of the overhaul itself at $729,000, estimated other work, and referred to a "New Parts and Workmanship Warranty 6 Months Unlimited Hours". Each page of the February Proposal makes reference to the "Terms and Conditions of Sale on Reverse Side" (the "Standard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portion of the Standard Terms that I have termed the Exclusion Clauses are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warranty, if any, applicable to the </w:t>
      </w:r>
      <w:r>
        <w:rPr>
          <w:rFonts w:ascii="arial" w:eastAsia="arial" w:hAnsi="arial" w:cs="arial"/>
          <w:b/>
          <w:color w:val="000000"/>
          <w:sz w:val="20"/>
          <w:u w:val="single"/>
          <w:lang w:val="en-US" w:eastAsia="en-US" w:bidi="ar-SA"/>
        </w:rPr>
        <w:t>equipment</w:t>
      </w:r>
      <w:r>
        <w:rPr>
          <w:rFonts w:ascii="arial" w:eastAsia="arial" w:hAnsi="arial" w:cs="arial"/>
          <w:color w:val="000000"/>
          <w:sz w:val="20"/>
          <w:u w:val="single"/>
          <w:lang w:val="en-US" w:eastAsia="en-US" w:bidi="ar-SA"/>
        </w:rPr>
        <w:t xml:space="preserve"> ordered</w:t>
      </w:r>
      <w:r>
        <w:rPr>
          <w:rFonts w:ascii="arial" w:eastAsia="arial" w:hAnsi="arial" w:cs="arial"/>
          <w:color w:val="000000"/>
          <w:sz w:val="20"/>
          <w:lang w:val="en-US" w:eastAsia="en-US" w:bidi="ar-SA"/>
        </w:rPr>
        <w:t xml:space="preserve"> is as set out in the statement of warranty policy delivered to the Purchaser, receipt of which is hereby acknowledged by the Purchaser. No other warranties are applicable or may be implied.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purchaser agrees with Detroit Diesel-Allison British Columbia Ltd. that the applicable warranty is inconsistent with any warranty available to the Purchaser under the provisions of the Sale of Goods Act and the Purchaser hereby waives any and all rights with respect to such warranties as may be implied under the Sale of Goods Act. The Purchaser hereby further agrees that the applicable warranty, if any, in the nature of liquidated damages and in substitution for any damages to which the Purchaser might otherwise be entitled, at law or in equity and, in particular, </w:t>
      </w:r>
      <w:r>
        <w:rPr>
          <w:rFonts w:ascii="arial" w:eastAsia="arial" w:hAnsi="arial" w:cs="arial"/>
          <w:color w:val="000000"/>
          <w:sz w:val="20"/>
          <w:u w:val="single"/>
          <w:lang w:val="en-US" w:eastAsia="en-US" w:bidi="ar-SA"/>
        </w:rPr>
        <w:t>the Purchaser hereby agrees that in lieu of an action for fundamental breach of contract or breach of a fundamental term of contract, the Purchaser will rely upon the provisions of the applicable warranty.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liability of Detroit Diesel-Allison British Columbia Ltd. hereunder is limited to the replacement of defective parts and the cost of labour, to the extent indicated in the applicable warranty, if any, and Detroit Diesel-Allison British Columbia Ltd. shall not be liable for any personal injuries (including death) to any person or any other loss or damage, either direct, indirect, or consequential, whether to the </w:t>
      </w:r>
      <w:r>
        <w:rPr>
          <w:rFonts w:ascii="arial" w:eastAsia="arial" w:hAnsi="arial" w:cs="arial"/>
          <w:color w:val="000000"/>
          <w:sz w:val="20"/>
          <w:u w:val="single"/>
          <w:lang w:val="en-US" w:eastAsia="en-US" w:bidi="ar-SA"/>
        </w:rPr>
        <w:t>equipment</w:t>
      </w:r>
      <w:r>
        <w:rPr>
          <w:rFonts w:ascii="arial" w:eastAsia="arial" w:hAnsi="arial" w:cs="arial"/>
          <w:color w:val="000000"/>
          <w:sz w:val="20"/>
          <w:lang w:val="en-US" w:eastAsia="en-US" w:bidi="ar-SA"/>
        </w:rPr>
        <w:t xml:space="preserve"> or to any other property, caused or contributed to by delivery, operation of repossession of the </w:t>
      </w:r>
      <w:r>
        <w:rPr>
          <w:rFonts w:ascii="arial" w:eastAsia="arial" w:hAnsi="arial" w:cs="arial"/>
          <w:color w:val="000000"/>
          <w:sz w:val="20"/>
          <w:u w:val="single"/>
          <w:lang w:val="en-US" w:eastAsia="en-US" w:bidi="ar-SA"/>
        </w:rPr>
        <w:t>equipment</w:t>
      </w:r>
      <w:r>
        <w:rPr>
          <w:rFonts w:ascii="arial" w:eastAsia="arial" w:hAnsi="arial" w:cs="arial"/>
          <w:color w:val="000000"/>
          <w:sz w:val="20"/>
          <w:lang w:val="en-US" w:eastAsia="en-US" w:bidi="ar-SA"/>
        </w:rPr>
        <w:t xml:space="preserve"> or by any defect therein (whether latent or patent) or by any other cause or reason whatsoever. </w:t>
      </w:r>
      <w:r>
        <w:rPr>
          <w:rFonts w:ascii="arial" w:eastAsia="arial" w:hAnsi="arial" w:cs="arial"/>
          <w:color w:val="000000"/>
          <w:sz w:val="20"/>
          <w:u w:val="single"/>
          <w:lang w:val="en-US" w:eastAsia="en-US" w:bidi="ar-SA"/>
        </w:rPr>
        <w:t xml:space="preserve">In addition, in no case shall Detroit Diesel-Allison British Columbia Ltd. be liable for loss of use of the </w:t>
      </w:r>
      <w:r>
        <w:rPr>
          <w:rFonts w:ascii="arial" w:eastAsia="arial" w:hAnsi="arial" w:cs="arial"/>
          <w:b/>
          <w:color w:val="000000"/>
          <w:sz w:val="20"/>
          <w:u w:val="single"/>
          <w:lang w:val="en-US" w:eastAsia="en-US" w:bidi="ar-SA"/>
        </w:rPr>
        <w:t>equipment</w:t>
      </w:r>
      <w:r>
        <w:rPr>
          <w:rFonts w:ascii="arial" w:eastAsia="arial" w:hAnsi="arial" w:cs="arial"/>
          <w:color w:val="000000"/>
          <w:sz w:val="20"/>
          <w:u w:val="single"/>
          <w:lang w:val="en-US" w:eastAsia="en-US" w:bidi="ar-SA"/>
        </w:rPr>
        <w:t xml:space="preserve"> whether or not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or default of Detroit Diesel-Allison British Columbia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or about February 28, 2003, Cullen Diesel received a purchase order from Point Hope Maritime regarding the overhaul of the Engines. The purchase order confirmed, among other things, the price set out in the February Proposal and included the following:</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new and rebuilt parts and workmanship is warranted for six months from date of installation with unlimited operating hours from date of installation;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conditions regarding extra work as per your quote Dated November 22, 2002, revised February 7, 2003 [which is a reference to the February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or about March 4, 2003, Cullen Diesel received a copy of the February Proposal executed by Mr. Edward Life on behalf of NHLC, indicating his acceptance of the terms of the February Proposal. The President of NHLC had delegated to Mr. Life the responsibility to oversee the overhaul. At the time Mr. Life signed the February Proposal, he had not received any separate documentation with respect to the warranty. NHLC did not receive legal advice regarding the February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or about April 30, 2003, Cullen Diesel delivered to NHLC a letter enclosing the final version of a document entitled "Detroit Diesel-Allison British Columbia 16V 396 TE 74 L Remanufactured Engine Package" (the "Final Remanufactured Engine Package"). That document contained a detailed summary of the procedures that Cullen Diesel agreed to complete for NHLC in overhauling the Engines, the payment terms (that are consistent with the Purchase Order), and certain warranty terms that were different from those in the February Proposal. The warranty terms in the Final Remanufactured Engine Package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Engine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198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Parts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Labour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Coverage</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Coverage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941"/>
        <w:gridCol w:w="1987"/>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0 - </w:t>
            </w:r>
            <w:r>
              <w:rPr>
                <w:rFonts w:ascii="arial" w:eastAsia="arial" w:hAnsi="arial" w:cs="arial"/>
                <w:color w:val="000000"/>
                <w:sz w:val="18"/>
                <w:u w:val="single"/>
                <w:lang w:val="en-US" w:eastAsia="en-US" w:bidi="ar-SA"/>
              </w:rPr>
              <w:t>2500 Hours or</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6 Months</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which ever shall</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occur first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Warranty shall cover engine repairs required due to defective or malfunctioning Detroit Diesel parts that were supplied as new or deemed "rebuildable" at the time of complete overhaul by DDABC.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Optional </w:t>
      </w:r>
      <w:r>
        <w:rPr>
          <w:rFonts w:ascii="arial" w:eastAsia="arial" w:hAnsi="arial" w:cs="arial"/>
          <w:b/>
          <w:color w:val="000000"/>
          <w:sz w:val="20"/>
          <w:u w:val="single"/>
          <w:lang w:val="en-US" w:eastAsia="en-US" w:bidi="ar-SA"/>
        </w:rPr>
        <w:t>Equipment</w:t>
      </w:r>
      <w:r>
        <w:rPr>
          <w:rFonts w:ascii="arial" w:eastAsia="arial" w:hAnsi="arial" w:cs="arial"/>
          <w:b/>
          <w:color w:val="000000"/>
          <w:sz w:val="20"/>
          <w:lang w:val="en-US" w:eastAsia="en-US" w:bidi="ar-SA"/>
        </w:rPr>
        <w:t xml:space="preserve"> Warranty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Warranty on optional </w:t>
      </w:r>
      <w:r>
        <w:rPr>
          <w:rFonts w:ascii="arial" w:eastAsia="arial" w:hAnsi="arial" w:cs="arial"/>
          <w:color w:val="000000"/>
          <w:sz w:val="20"/>
          <w:u w:val="single"/>
          <w:lang w:val="en-US" w:eastAsia="en-US" w:bidi="ar-SA"/>
        </w:rPr>
        <w:t>equipment</w:t>
      </w:r>
      <w:r>
        <w:rPr>
          <w:rFonts w:ascii="arial" w:eastAsia="arial" w:hAnsi="arial" w:cs="arial"/>
          <w:color w:val="000000"/>
          <w:sz w:val="20"/>
          <w:lang w:val="en-US" w:eastAsia="en-US" w:bidi="ar-SA"/>
        </w:rPr>
        <w:t xml:space="preserve"> (starters, alternaters, and other items not supplied by Detroit Diesel) shall be set forth by component suppliers.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expiration of this warranty, all liability on the part of the DDABC Ltd. shall terminate.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warranty is the only warranty applicable to Series 396 remanufactured engines by DDABC Ltd., and is expressly in lieu of any other warranties expressed or implied. DDABC Ltd. does not authorize any person to extend for it any other obligations or liabilities in connection with these rebuilt engines or optional </w:t>
      </w:r>
      <w:r>
        <w:rPr>
          <w:rFonts w:ascii="arial" w:eastAsia="arial" w:hAnsi="arial" w:cs="arial"/>
          <w:color w:val="000000"/>
          <w:sz w:val="20"/>
          <w:u w:val="single"/>
          <w:lang w:val="en-US" w:eastAsia="en-US" w:bidi="ar-SA"/>
        </w:rPr>
        <w:t>equipment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Cullen Diesel asserts these terms form part of the Contract, the plaintiff submits that the terms of the Final Remanufactured Engine Package do not form part of the Contract because there is no evidence of any agreement to vary the terms of the February Proposal. It is not, however, necessary for me to decide this issue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its reply to the notice to admit, Cullen Diesel set out that, in addition to the written terms for the overhaul as set out in the February Proposal (and the Final Remanufactured Engine Package), the oral terms for the overhaul were contained in "various discussions" between the representatives of Cullen Diesel and NHLC "at various times in 2002 and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Spetch deposed that he did not have discussions with Mr. Life, or any NHLC representative, with respect to the warranty terms that Cullen Diesel agreed to provide for the work it performed on the Engines, including any discussion of the period of time or the number of operating hours of the Engines during which the warranty was to be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Cullen Diesel overhauled the Engines from April 2003, through June 2003, inclusive. In or about July 2003, the Engines were reinstalled on the Harbourlynx.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During the period from on or about August 29, 2003, to September 3, 2003, Cullen Diesel and NHLC completed sea trials of the overhauled Engines. After the sea trials were completed in September 2003, NHLC returned the Harbourlynx to commercial passenger ferry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alleged failure of the starboard engine on the Harbourlynx occurred on February 1, 2006. Thereafter, NHLC was unable to continue to provide ferry service and ceased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commenced this action on April 17, 2007. The plaintiff alleges that the failure of the starboard engine was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of Cullen Diesel and that NHLC or the plaintiff or both of them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April 2, 2008, Cullen Diesel delivered its notice of motion under Rule 18A with the supporting affidavit of Mr. Spetch.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April 18, 2008, the plaintiff delivered a notice of motion dated April 17, 2008, seeking production of documents and the examination for discovery of a representative of Cullen Diesel.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Cullen Diesel took the position that examinations for discovery were not necessary prior to the determination of this Rule 18A application because the proper scope and effect of the limitation of liability clauses was a distinct legal issue that ought to be determined as a preliminary matter. On July 10, 2008, Cullen Diesel offered to produce Mr. Spetch for the purpose of cross-examination on his affidavit with respect to "the limited matters related to the warranty issue that are described in Mr. Spetch's affidavit No. 1". On July 18, 2008, the plaintiff rejected that offer, maintaining its position that it should be entitled to conduct examinations for discovery prior to the 18A application and that discovery should extend to matters dealing with the work done on the Engines.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 trial date scheduled.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Rule 18A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Cullen Diesel contends that this is an appropriate case for determination by way of Rule 18A and that the plaintiff cannot frustrate the summary trial process by failing to take steps such as conducting the cross-examination of Mr. Spetch on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submission is that this application is inappropriate and, in the alternative, premature because the hearing of the issue requires a broader evidentiary basis than can be achieved at a Rule 18A application, particularly before there has been pre-trial discovery and full disclosure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Rule 18A(11) sets out the applicable test, which is that the court may grant judgment in favour of any party, either on an issue or generally, unless the court is unable to find the facts necessary to decide the issues of fact or law, or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deciding whether a matter is appropriate for determination under Rule 18A, the court should consider the amount involved, the complexity of the matter, the cost of a conventional trial in relation to the amount involved and the course of the proceedings, and whether the application is an effective use of the court's time and will result in the efficient resolution of the proceedings: </w:t>
      </w:r>
      <w:r>
        <w:rPr>
          <w:rFonts w:ascii="arial" w:eastAsia="arial" w:hAnsi="arial" w:cs="arial"/>
          <w:b/>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addition, the court must exercise considerable caution in determining whether Rule 18A should be invoked to try an issue rather than the whole case, to avoid "litigating in slices": </w:t>
      </w:r>
      <w:r>
        <w:rPr>
          <w:rFonts w:ascii="arial" w:eastAsia="arial" w:hAnsi="arial" w:cs="arial"/>
          <w:b/>
          <w:i/>
          <w:color w:val="000000"/>
          <w:sz w:val="20"/>
          <w:lang w:val="en-US" w:eastAsia="en-US" w:bidi="ar-SA"/>
        </w:rPr>
        <w:t>Bacchus Agents (1981) Ltd. v. Phillipe Dandurand Wines Ltd.</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164 B.C.A.C. 300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Justice Groberman in </w:t>
      </w:r>
      <w:r>
        <w:rPr>
          <w:rFonts w:ascii="arial" w:eastAsia="arial" w:hAnsi="arial" w:cs="arial"/>
          <w:b/>
          <w:i/>
          <w:color w:val="000000"/>
          <w:sz w:val="20"/>
          <w:lang w:val="en-US" w:eastAsia="en-US" w:bidi="ar-SA"/>
        </w:rPr>
        <w:t>Coast Foundation v. Currie Architect Inc.</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at paras. 13, 15, and 18, summarized the governing principles on granting judgment on particular issues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question of when the court ought to give judgment on an issue, as opposed to on the claim generally, is more complex. The court is justifiably reluctant to decide cases in a piecemeal fashion. In addition to all of the concerns that arise when the entire claim is before the court, there is a multitude of others. The result is that the court must exercise considerable caution before coming to the conclusion that it should grant judgment on an issue in a summary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court must also be wary of making determinations on particular issues on a Rule 18A application when those issues are inexorably intertwined with other issues that are to be left for determination at trial: </w:t>
      </w:r>
      <w:r>
        <w:rPr>
          <w:rFonts w:ascii="arial" w:eastAsia="arial" w:hAnsi="arial" w:cs="arial"/>
          <w:b/>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210 D.L.R. (4th) 649</w:t>
      </w:r>
      <w:r>
        <w:rPr>
          <w:rFonts w:ascii="arial" w:eastAsia="arial" w:hAnsi="arial" w:cs="arial"/>
          <w:color w:val="000000"/>
          <w:sz w:val="20"/>
          <w:lang w:val="en-US" w:eastAsia="en-US" w:bidi="ar-SA"/>
        </w:rPr>
        <w:t xml:space="preserve">; inter-relatedness of issues is not always obvious, and caution is necessary whenever a party seeks judgment on an issue as opposed to judgment generally under Rule 18A: </w:t>
      </w:r>
      <w:r>
        <w:rPr>
          <w:rFonts w:ascii="arial" w:eastAsia="arial" w:hAnsi="arial" w:cs="arial"/>
          <w:b/>
          <w:i/>
          <w:color w:val="000000"/>
          <w:sz w:val="20"/>
          <w:lang w:val="en-US" w:eastAsia="en-US" w:bidi="ar-SA"/>
        </w:rPr>
        <w:t>B.M.P. Global Distribution Inc. v. Bank of Nova Scotia</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2003 BCCA 534</w:t>
        </w:r>
      </w:hyperlink>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[2003] B.C.J. No. 2383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Second, the court must consider the efficiency of a partial determination from the standpoint of the litigation itself. Piecemeal decision-making is rarely an efficient manner in which to resolve a dispute. It raises the possibility of multiple appeals on individual issues, and this will generally impede rather than hasten the orderly determination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For the reasons set out below, I am not satisfied that, on the evidence, I am able to find the facts necessary to decide the proper interpretation and enforcement of the Exclusion Clauses. Having made this determination and being mindful that the court must be cautious to avoid "litigating in slices", I am declining to decide the other issues on this application because to do so would not assist the efficient resolution of this proceeding. I have also considered that there is a significant amount of money involved and the complexity of the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order to succeed on this application, with respect to the claims made by the plaintiff, qua assignee of NHLC, Cullen Diesel must show that:</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Exclusion Clauses apply to exclude liability for the claims brought against it for its services in performing the overhaul;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would not be unconscionable, unfair, or unreasonable to enforce the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Enforcement of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address this issue first because if the Exclusion Clauses are held to apply to the services provided by Cullen Diesel, it is nonetheless necessary to consider whether the Exclusion Clauses should be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With respect to the test for enforcing exclusion clauses, the Court of Appeal in </w:t>
      </w:r>
      <w:r>
        <w:rPr>
          <w:rFonts w:ascii="arial" w:eastAsia="arial" w:hAnsi="arial" w:cs="arial"/>
          <w:b/>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2007 BCCA 592</w:t>
        </w:r>
      </w:hyperlink>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289 D.L.R. (4th) 647</w:t>
        </w:r>
      </w:hyperlink>
      <w:r>
        <w:rPr>
          <w:rFonts w:ascii="arial" w:eastAsia="arial" w:hAnsi="arial" w:cs="arial"/>
          <w:color w:val="000000"/>
          <w:sz w:val="20"/>
          <w:lang w:val="en-US" w:eastAsia="en-US" w:bidi="ar-SA"/>
        </w:rPr>
        <w:t>, stated the following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Enforcement of exclusion clauses is governed by two tests, which were propounded in minority judgments in </w:t>
      </w:r>
      <w:r>
        <w:rPr>
          <w:rFonts w:ascii="arial" w:eastAsia="arial" w:hAnsi="arial" w:cs="arial"/>
          <w:b/>
          <w:i/>
          <w:color w:val="000000"/>
          <w:sz w:val="20"/>
          <w:lang w:val="en-US" w:eastAsia="en-US" w:bidi="ar-SA"/>
        </w:rPr>
        <w:t>Hunter Engineering Co. v. Syncrude Canada Ltd.</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57 D.L.R. (4th) 321</w:t>
        </w:r>
      </w:hyperlink>
      <w:r>
        <w:rPr>
          <w:rFonts w:ascii="arial" w:eastAsia="arial" w:hAnsi="arial" w:cs="arial"/>
          <w:color w:val="000000"/>
          <w:sz w:val="20"/>
          <w:lang w:val="en-US" w:eastAsia="en-US" w:bidi="ar-SA"/>
        </w:rPr>
        <w:t xml:space="preserve">, reconciled in </w:t>
      </w:r>
      <w:r>
        <w:rPr>
          <w:rFonts w:ascii="arial" w:eastAsia="arial" w:hAnsi="arial" w:cs="arial"/>
          <w:b/>
          <w:i/>
          <w:color w:val="000000"/>
          <w:sz w:val="20"/>
          <w:lang w:val="en-US" w:eastAsia="en-US" w:bidi="ar-SA"/>
        </w:rPr>
        <w:t>Guarantee Co. of North America v. Gordon Capital Corp.</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[1999] 3 S.C.R. 423</w:t>
        </w:r>
      </w:hyperlink>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178 D.L.R. (4th) 1</w:t>
        </w:r>
      </w:hyperlink>
      <w:r>
        <w:rPr>
          <w:rFonts w:ascii="arial" w:eastAsia="arial" w:hAnsi="arial" w:cs="arial"/>
          <w:color w:val="000000"/>
          <w:sz w:val="20"/>
          <w:lang w:val="en-US" w:eastAsia="en-US" w:bidi="ar-SA"/>
        </w:rPr>
        <w:t xml:space="preserve">, and interpreted, correctly in my respectful view, by the Ontario Court of Appeal in </w:t>
      </w:r>
      <w:r>
        <w:rPr>
          <w:rFonts w:ascii="arial" w:eastAsia="arial" w:hAnsi="arial" w:cs="arial"/>
          <w:b/>
          <w:i/>
          <w:color w:val="000000"/>
          <w:sz w:val="20"/>
          <w:lang w:val="en-US" w:eastAsia="en-US" w:bidi="ar-SA"/>
        </w:rPr>
        <w:t>Shelanu Inc. v. Print Three Franchising Corp.</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(2003), 64 O.R. (3d) 533</w:t>
        </w:r>
      </w:hyperlink>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226 D.L.R. (4th) 577</w:t>
        </w:r>
      </w:hyperlink>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Court of Appeal in </w:t>
      </w:r>
      <w:r>
        <w:rPr>
          <w:rFonts w:ascii="arial" w:eastAsia="arial" w:hAnsi="arial" w:cs="arial"/>
          <w:b/>
          <w:i/>
          <w:color w:val="000000"/>
          <w:sz w:val="20"/>
          <w:lang w:val="en-US" w:eastAsia="en-US" w:bidi="ar-SA"/>
        </w:rPr>
        <w:t>Tercon</w:t>
      </w:r>
      <w:r>
        <w:rPr>
          <w:rFonts w:ascii="arial" w:eastAsia="arial" w:hAnsi="arial" w:cs="arial"/>
          <w:color w:val="000000"/>
          <w:sz w:val="20"/>
          <w:lang w:val="en-US" w:eastAsia="en-US" w:bidi="ar-SA"/>
        </w:rPr>
        <w:t xml:space="preserve"> at para. 13, while reversing the trial judge on her interpretation of the clause at issue, approved the following analysis provided by the trial judge at para. 149 of her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[149] Given this conclusion, it may not be necessary to address the enforceability of the exclusion clause. However, reason not to enforce the clause exists in the circumstances here. </w:t>
      </w:r>
      <w:r>
        <w:rPr>
          <w:rFonts w:ascii="arial" w:eastAsia="arial" w:hAnsi="arial" w:cs="arial"/>
          <w:color w:val="000000"/>
          <w:sz w:val="20"/>
          <w:u w:val="single"/>
          <w:lang w:val="en-US" w:eastAsia="en-US" w:bidi="ar-SA"/>
        </w:rPr>
        <w:t xml:space="preserve">According to the approach in </w:t>
      </w:r>
      <w:r>
        <w:rPr>
          <w:rFonts w:ascii="arial" w:eastAsia="arial" w:hAnsi="arial" w:cs="arial"/>
          <w:i/>
          <w:color w:val="000000"/>
          <w:sz w:val="20"/>
          <w:u w:val="single"/>
          <w:lang w:val="en-US" w:eastAsia="en-US" w:bidi="ar-SA"/>
        </w:rPr>
        <w:t>Guarantee</w:t>
      </w:r>
      <w:r>
        <w:rPr>
          <w:rFonts w:ascii="arial" w:eastAsia="arial" w:hAnsi="arial" w:cs="arial"/>
          <w:color w:val="000000"/>
          <w:sz w:val="20"/>
          <w:u w:val="single"/>
          <w:lang w:val="en-US" w:eastAsia="en-US" w:bidi="ar-SA"/>
        </w:rPr>
        <w:t xml:space="preserve"> and </w:t>
      </w:r>
      <w:r>
        <w:rPr>
          <w:rFonts w:ascii="arial" w:eastAsia="arial" w:hAnsi="arial" w:cs="arial"/>
          <w:i/>
          <w:color w:val="000000"/>
          <w:sz w:val="20"/>
          <w:u w:val="single"/>
          <w:lang w:val="en-US" w:eastAsia="en-US" w:bidi="ar-SA"/>
        </w:rPr>
        <w:t>Hunter</w:t>
      </w:r>
      <w:r>
        <w:rPr>
          <w:rFonts w:ascii="arial" w:eastAsia="arial" w:hAnsi="arial" w:cs="arial"/>
          <w:color w:val="000000"/>
          <w:sz w:val="20"/>
          <w:u w:val="single"/>
          <w:lang w:val="en-US" w:eastAsia="en-US" w:bidi="ar-SA"/>
        </w:rPr>
        <w:t xml:space="preserve"> [both </w:t>
      </w:r>
      <w:r>
        <w:rPr>
          <w:rFonts w:ascii="arial" w:eastAsia="arial" w:hAnsi="arial" w:cs="arial"/>
          <w:i/>
          <w:color w:val="000000"/>
          <w:sz w:val="20"/>
          <w:u w:val="single"/>
          <w:lang w:val="en-US" w:eastAsia="en-US" w:bidi="ar-SA"/>
        </w:rPr>
        <w:t>infra</w:t>
      </w:r>
      <w:r>
        <w:rPr>
          <w:rFonts w:ascii="arial" w:eastAsia="arial" w:hAnsi="arial" w:cs="arial"/>
          <w:color w:val="000000"/>
          <w:sz w:val="20"/>
          <w:u w:val="single"/>
          <w:lang w:val="en-US" w:eastAsia="en-US" w:bidi="ar-SA"/>
        </w:rPr>
        <w:t xml:space="preserve"> ], whether the exclusion clause survives fundamental breaches depends on whether the result is unconscionable or unfair, unreasonable, or contrary to public policy (see also </w:t>
      </w:r>
      <w:r>
        <w:rPr>
          <w:rFonts w:ascii="arial" w:eastAsia="arial" w:hAnsi="arial" w:cs="arial"/>
          <w:i/>
          <w:color w:val="000000"/>
          <w:sz w:val="20"/>
          <w:u w:val="single"/>
          <w:lang w:val="en-US" w:eastAsia="en-US" w:bidi="ar-SA"/>
        </w:rPr>
        <w:t>Shelanu</w:t>
      </w:r>
      <w:r>
        <w:rPr>
          <w:rFonts w:ascii="arial" w:eastAsia="arial" w:hAnsi="arial" w:cs="arial"/>
          <w:color w:val="000000"/>
          <w:sz w:val="20"/>
          <w:u w:val="single"/>
          <w:lang w:val="en-US" w:eastAsia="en-US" w:bidi="ar-SA"/>
        </w:rPr>
        <w:t xml:space="preserve"> [</w:t>
      </w:r>
      <w:r>
        <w:rPr>
          <w:rFonts w:ascii="arial" w:eastAsia="arial" w:hAnsi="arial" w:cs="arial"/>
          <w:i/>
          <w:color w:val="000000"/>
          <w:sz w:val="20"/>
          <w:u w:val="single"/>
          <w:lang w:val="en-US" w:eastAsia="en-US" w:bidi="ar-SA"/>
        </w:rPr>
        <w:t>infra</w:t>
      </w:r>
      <w:r>
        <w:rPr>
          <w:rFonts w:ascii="arial" w:eastAsia="arial" w:hAnsi="arial" w:cs="arial"/>
          <w:color w:val="000000"/>
          <w:sz w:val="20"/>
          <w:u w:val="single"/>
          <w:lang w:val="en-US" w:eastAsia="en-US" w:bidi="ar-SA"/>
        </w:rPr>
        <w:t>]). While it has been suggested that there may be no real difference between these approaches and both are to be used sparingly, it appears that fairness and reasonableness can be assessed at the time of the breach and not just at the time the contract is concluded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at 510-511; </w:t>
      </w:r>
      <w:r>
        <w:rPr>
          <w:rFonts w:ascii="arial" w:eastAsia="arial" w:hAnsi="arial" w:cs="arial"/>
          <w:i/>
          <w:color w:val="000000"/>
          <w:sz w:val="20"/>
          <w:lang w:val="en-US" w:eastAsia="en-US" w:bidi="ar-SA"/>
        </w:rPr>
        <w:t>MacKay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Scott Packing &amp; Warehousing Co. (Canada)</w:t>
      </w:r>
      <w:r>
        <w:rPr>
          <w:rFonts w:ascii="arial" w:eastAsia="arial" w:hAnsi="arial" w:cs="arial"/>
          <w:color w:val="000000"/>
          <w:sz w:val="20"/>
          <w:lang w:val="en-US" w:eastAsia="en-US" w:bidi="ar-SA"/>
        </w:rPr>
        <w:t xml:space="preserve"> (1995), </w:t>
      </w:r>
      <w:hyperlink r:id="rId263" w:history="1">
        <w:r>
          <w:rPr>
            <w:rFonts w:ascii="arial" w:eastAsia="arial" w:hAnsi="arial" w:cs="arial"/>
            <w:i/>
            <w:color w:val="0077CC"/>
            <w:sz w:val="20"/>
            <w:u w:val="single"/>
            <w:shd w:val="clear" w:color="auto" w:fill="FFFFFF"/>
            <w:lang w:val="en-US" w:eastAsia="en-US" w:bidi="ar-SA"/>
          </w:rPr>
          <w:t>[1996] 2 F.C. 36</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192 N.R. 118</w:t>
        </w:r>
      </w:hyperlink>
      <w:r>
        <w:rPr>
          <w:rFonts w:ascii="arial" w:eastAsia="arial" w:hAnsi="arial" w:cs="arial"/>
          <w:color w:val="000000"/>
          <w:sz w:val="20"/>
          <w:lang w:val="en-US" w:eastAsia="en-US" w:bidi="ar-SA"/>
        </w:rPr>
        <w:t xml:space="preserve">] at paras. 12-14; </w:t>
      </w:r>
      <w:r>
        <w:rPr>
          <w:rFonts w:ascii="arial" w:eastAsia="arial" w:hAnsi="arial" w:cs="arial"/>
          <w:i/>
          <w:color w:val="000000"/>
          <w:sz w:val="20"/>
          <w:lang w:val="en-US" w:eastAsia="en-US" w:bidi="ar-SA"/>
        </w:rPr>
        <w:t>Plas-Tex Canada Ltd. v. Dow Chemical of Canada Ltd.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(2004), 245 D.L.R. (4th) 650</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[2005] 7 W.W.R. 419</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2004 ABCA 309</w:t>
        </w:r>
      </w:hyperlink>
      <w:r>
        <w:rPr>
          <w:rFonts w:ascii="arial" w:eastAsia="arial" w:hAnsi="arial" w:cs="arial"/>
          <w:color w:val="000000"/>
          <w:sz w:val="20"/>
          <w:lang w:val="en-US" w:eastAsia="en-US" w:bidi="ar-SA"/>
        </w:rPr>
        <w:t xml:space="preserve"> (Alta. C.A.) at para. 51). A party should not be allowed to commit a fundamental breach sure in the knowledge that no liability can attend to it and the court should not be used to enforce a bargain that a party has repudiated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at 509-510). </w:t>
      </w:r>
      <w:r>
        <w:rPr>
          <w:rFonts w:ascii="arial" w:eastAsia="arial" w:hAnsi="arial" w:cs="arial"/>
          <w:color w:val="000000"/>
          <w:sz w:val="20"/>
          <w:u w:val="single"/>
          <w:lang w:val="en-US" w:eastAsia="en-US" w:bidi="ar-SA"/>
        </w:rPr>
        <w:t>While unconscionability is usually considered in situations of unequal bargaining power, there can be situations of equal bargaining power that still give rise to an unconscionable result (</w:t>
      </w:r>
      <w:r>
        <w:rPr>
          <w:rFonts w:ascii="arial" w:eastAsia="arial" w:hAnsi="arial" w:cs="arial"/>
          <w:i/>
          <w:color w:val="000000"/>
          <w:sz w:val="20"/>
          <w:u w:val="single"/>
          <w:lang w:val="en-US" w:eastAsia="en-US" w:bidi="ar-SA"/>
        </w:rPr>
        <w:t>Hunter</w:t>
      </w:r>
      <w:r>
        <w:rPr>
          <w:rFonts w:ascii="arial" w:eastAsia="arial" w:hAnsi="arial" w:cs="arial"/>
          <w:color w:val="000000"/>
          <w:sz w:val="20"/>
          <w:u w:val="single"/>
          <w:lang w:val="en-US" w:eastAsia="en-US" w:bidi="ar-SA"/>
        </w:rPr>
        <w:t xml:space="preserve"> at 515-516).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a result, in the event that the Exclusion Clauses were found to apply to the services provided by Cullen Diesel, it is necessary to consider whether the result of the enforcement of the Exclusion Clauses would be unconscionable, unfair, or unreasonable. It emerges from the authorities that this may be assessed at the time of the breach and not just at the time the contract is concluded: see also </w:t>
      </w:r>
      <w:r>
        <w:rPr>
          <w:rFonts w:ascii="arial" w:eastAsia="arial" w:hAnsi="arial" w:cs="arial"/>
          <w:b/>
          <w:i/>
          <w:color w:val="000000"/>
          <w:sz w:val="20"/>
          <w:lang w:val="en-US" w:eastAsia="en-US" w:bidi="ar-SA"/>
        </w:rPr>
        <w:t>Romfo v. 1216393 Ontario Inc.</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2008 BCCA 179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Even in the context of a purely commercial relationship, in determining whether a party may be permitted to rely on its limitation of liability clause, the court may consider the circumstances and the nature of the alleged misperformance of the breaching party. For example, if Cullen Diesel did not inspect or test the components of the Engines, would it be unfair, unreasonable, or unconscionable to enforce the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record does not disclose what work Cullen Diesel performed during the course of the overhaul. In its reply to the notice to admit dated April 1, 2008, Cullen Diesel admitted certain steps it did not take in performing the overhaul but it has not produced any documents as to what work was performed on the Engines. Cullen Diesel's conduct subsequent to the formation of the Contract (including the nature of the acts or omissions alleged to be negligent or in breach of the Contract) may be relevant to the determination of whether it would be unfair, unreasonable, or unconscionable to enforce the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this stage, there has not been full discovery of documents nor examinations for discovery. I am not satisfied that the plaintiff has had an opportunity to uncover or develop all of the evidence that may be important regarding this issue, nor am I persuaded that the plaintiff should be deprived of such an opportunity. While the plaintiff did not take steps prior to the delivery of the 18A application in April 2008, in the intervening months Cullen Diesel took the position that further document production and an examination for discovery were not necessary pending a determination of this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Although the court rarely finds enforcement of an exclusion clause to be unfair, unreasonable, or unconscionable, the evidence on this application is insufficient to determine whether this is one of those rare cases. Therefore, it would be unjust to decide the issue on this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Interpretation of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considered whether I could make a finding on the applicability of the Exclusion Clauses and have declined to do so: firstly, because to do so may result in "litigating in slices"; and secondly, because I am not able to find the facts necessary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performance of the overhaul included the disassembling, inspecting, repairing, and testing of the various components of the Engines and the reassembling of the Engines. Cullen Diesel also replaced some engine parts with parts it supplied.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Whether Cullen Diesel's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in providing services is excluded by the Exclusion Clauses turns in part on the interpretation of the term "equipment" as it is used in the Contract. The applicable warranty and any potential exclusion for fundamental breach in para. 10 of the Contract refers back to the warranty for the "equipment ordered" in para. 9 of the Contract. Further, in the last line of para. 11 of the Contract, the exclusion for economic loss is restricted to loss of use of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B.C. Court of Appeal summarized the principles of contract interpretation in </w:t>
      </w:r>
      <w:r>
        <w:rPr>
          <w:rFonts w:ascii="arial" w:eastAsia="arial" w:hAnsi="arial" w:cs="arial"/>
          <w:b/>
          <w:i/>
          <w:color w:val="000000"/>
          <w:sz w:val="20"/>
          <w:lang w:val="en-US" w:eastAsia="en-US" w:bidi="ar-SA"/>
        </w:rPr>
        <w:t>Gilchrist v. Western Star Trucks Inc.</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2000 BCCA 70</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73 B.C.L.R. (3d) 102</w:t>
        </w:r>
      </w:hyperlink>
      <w:r>
        <w:rPr>
          <w:rFonts w:ascii="arial" w:eastAsia="arial" w:hAnsi="arial" w:cs="arial"/>
          <w:color w:val="000000"/>
          <w:sz w:val="20"/>
          <w:lang w:val="en-US" w:eastAsia="en-US" w:bidi="ar-SA"/>
        </w:rPr>
        <w:t xml:space="preserve"> at paras. 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goal in interpreting an agreement is to discover, objectively, the parties' intention at the time the contract was made. The most significant tool is the language of the agreement itself. This language must be read in the context of the surrounding circumstances prevalent at the time of contracting. Only when the words, viewed objectively, bear two or more reasonable interpretations, may the court consider other matters such as the post-contracting conduct of the parties: </w:t>
      </w:r>
      <w:r>
        <w:rPr>
          <w:rFonts w:ascii="arial" w:eastAsia="arial" w:hAnsi="arial" w:cs="arial"/>
          <w:b/>
          <w:i/>
          <w:color w:val="000000"/>
          <w:sz w:val="20"/>
          <w:lang w:val="en-US" w:eastAsia="en-US" w:bidi="ar-SA"/>
        </w:rPr>
        <w:t>Delisle v. Bulman Group Ltd.</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(1991), 54 B.C.L.R. (2d) 343</w:t>
        </w:r>
      </w:hyperlink>
      <w:r>
        <w:rPr>
          <w:rFonts w:ascii="arial" w:eastAsia="arial" w:hAnsi="arial" w:cs="arial"/>
          <w:color w:val="000000"/>
          <w:sz w:val="20"/>
          <w:lang w:val="en-US" w:eastAsia="en-US" w:bidi="ar-SA"/>
        </w:rPr>
        <w:t xml:space="preserve"> (S.C.), approved by Chief Justice McEachern in </w:t>
      </w:r>
      <w:r>
        <w:rPr>
          <w:rFonts w:ascii="arial" w:eastAsia="arial" w:hAnsi="arial" w:cs="arial"/>
          <w:b/>
          <w:i/>
          <w:color w:val="000000"/>
          <w:sz w:val="20"/>
          <w:lang w:val="en-US" w:eastAsia="en-US" w:bidi="ar-SA"/>
        </w:rPr>
        <w:t>Bramalea Ltd. v. Vancouver School Board No. 39</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(1992), 65 B.C.L.R. (2d) 334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Prenn v. Simmonds</w:t>
      </w:r>
      <w:r>
        <w:rPr>
          <w:rFonts w:ascii="arial" w:eastAsia="arial" w:hAnsi="arial" w:cs="arial"/>
          <w:color w:val="000000"/>
          <w:sz w:val="20"/>
          <w:lang w:val="en-US" w:eastAsia="en-US" w:bidi="ar-SA"/>
        </w:rPr>
        <w:t xml:space="preserve">, [1971] 3 All E.R. 237 (H.L.); </w:t>
      </w:r>
      <w:r>
        <w:rPr>
          <w:rFonts w:ascii="arial" w:eastAsia="arial" w:hAnsi="arial" w:cs="arial"/>
          <w:b/>
          <w:i/>
          <w:color w:val="000000"/>
          <w:sz w:val="20"/>
          <w:lang w:val="en-US" w:eastAsia="en-US" w:bidi="ar-SA"/>
        </w:rPr>
        <w:t>Eli Lilly and Co. v. Novopharm Ltd.</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(1998), 161 D.L.R. (4th) 1</w:t>
        </w:r>
      </w:hyperlink>
      <w:r>
        <w:rPr>
          <w:rFonts w:ascii="arial" w:eastAsia="arial" w:hAnsi="arial" w:cs="arial"/>
          <w:color w:val="000000"/>
          <w:sz w:val="20"/>
          <w:lang w:val="en-US" w:eastAsia="en-US" w:bidi="ar-SA"/>
        </w:rPr>
        <w:t>, (SCC).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first inquiry, then, is to determine whether there is only one reasonable meaning to the words in the contract, or more than one. In this search one must look to the surrounding circumstances and the whole of the contract. The words of the contract must be looked at in their ordinary and natural sense and cannot be distorted beyond their actual meaning: </w:t>
      </w:r>
      <w:r>
        <w:rPr>
          <w:rFonts w:ascii="arial" w:eastAsia="arial" w:hAnsi="arial" w:cs="arial"/>
          <w:b/>
          <w:i/>
          <w:color w:val="000000"/>
          <w:sz w:val="20"/>
          <w:lang w:val="en-US" w:eastAsia="en-US" w:bidi="ar-SA"/>
        </w:rPr>
        <w:t>MacMillan Bloedel Ltd. v. British Columbia Hydro &amp; Power Authority</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(1992), 72 B.C.L.R. (2d) 273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Melanesian Mission Trust Board v. Australian Mutual Provident Society</w:t>
      </w:r>
      <w:r>
        <w:rPr>
          <w:rFonts w:ascii="arial" w:eastAsia="arial" w:hAnsi="arial" w:cs="arial"/>
          <w:color w:val="000000"/>
          <w:sz w:val="20"/>
          <w:lang w:val="en-US" w:eastAsia="en-US" w:bidi="ar-SA"/>
        </w:rPr>
        <w:t>, [1997] 1 N.Z.L.R. 391 (P.C.).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Accordingly, the first step is to determine, by looking objectively at the surrounding circumstances and the whole of the Contract, whether there is only one reasonable meaning of the word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If "equipment" is properly construed as "the overhauled engines", Cullen Diesel contends that any liability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performing the overhaul is excluded by the Exclusion Clauses. On the other hand, if "equipment" is properly construed as the parts Cullen Diesel supplied in the course of overhauling the Engines, the court may determine that such liability is not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submits that the fundamental frailty with Cullen Diesel's submission lies in the attempt to employ wording designed for a contract of purchase and sale of goods to a contract for the purchase of services, such as those involved in providing an overhaul. It submits that when taken as a whole, the Standard Terms only make commercially reasonable sense in the context of a contract for purchase and sale of goods. Although this was not specifically addressed by the plaintiff, in the context of its submissions, "equipment" must be reasonably interpreted as the parts that Cullen Diesel supplied to NHLC during the overhaul. In other words, the Standard Terms, including the Exclusion Clauses, apply to the parts Cullen Diesel supplied but not to its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following clauses support an interpretation that "equipment" applies to the parts supplied: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Clause 1: The customer is defined as a "Purchaser" rather than a Customer.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Clause 2: This clause states that before </w:t>
      </w:r>
      <w:r>
        <w:rPr>
          <w:rFonts w:ascii="arial" w:eastAsia="arial" w:hAnsi="arial" w:cs="arial"/>
          <w:color w:val="000000"/>
          <w:sz w:val="20"/>
          <w:u w:val="single"/>
          <w:lang w:val="en-US" w:eastAsia="en-US" w:bidi="ar-SA"/>
        </w:rPr>
        <w:t>delivery of the equipment</w:t>
      </w:r>
      <w:r>
        <w:rPr>
          <w:rFonts w:ascii="arial" w:eastAsia="arial" w:hAnsi="arial" w:cs="arial"/>
          <w:color w:val="000000"/>
          <w:sz w:val="20"/>
          <w:lang w:val="en-US" w:eastAsia="en-US" w:bidi="ar-SA"/>
        </w:rPr>
        <w:t xml:space="preserve"> (rather than completion of services), the Purchaser will deliver any promissory notes, contracts, and securities as may be required by Cullen Diesel to evidence the transaction, and/or "to reserve title to the equipment" in Cullen Diesel "until the purchase price shall be paid in full". Cullen Diesel would not ordinarily have title over equipment that it is merely overhauling and therefore cannot "reserve title" although it would have title to equipment it is supplying.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Clause 3: This clause states that unless title in the </w:t>
      </w:r>
      <w:r>
        <w:rPr>
          <w:rFonts w:ascii="arial" w:eastAsia="arial" w:hAnsi="arial" w:cs="arial"/>
          <w:color w:val="000000"/>
          <w:sz w:val="20"/>
          <w:u w:val="single"/>
          <w:lang w:val="en-US" w:eastAsia="en-US" w:bidi="ar-SA"/>
        </w:rPr>
        <w:t>equipment</w:t>
      </w:r>
      <w:r>
        <w:rPr>
          <w:rFonts w:ascii="arial" w:eastAsia="arial" w:hAnsi="arial" w:cs="arial"/>
          <w:color w:val="000000"/>
          <w:sz w:val="20"/>
          <w:lang w:val="en-US" w:eastAsia="en-US" w:bidi="ar-SA"/>
        </w:rPr>
        <w:t xml:space="preserve"> is transferred by Cullen Diesel to the Purchaser, and Cullen Diesel takes back a chattel mortgage, property in, title to, and right to possession of the </w:t>
      </w:r>
      <w:r>
        <w:rPr>
          <w:rFonts w:ascii="arial" w:eastAsia="arial" w:hAnsi="arial" w:cs="arial"/>
          <w:color w:val="000000"/>
          <w:sz w:val="20"/>
          <w:u w:val="single"/>
          <w:lang w:val="en-US" w:eastAsia="en-US" w:bidi="ar-SA"/>
        </w:rPr>
        <w:t>equipment</w:t>
      </w:r>
      <w:r>
        <w:rPr>
          <w:rFonts w:ascii="arial" w:eastAsia="arial" w:hAnsi="arial" w:cs="arial"/>
          <w:color w:val="000000"/>
          <w:sz w:val="20"/>
          <w:lang w:val="en-US" w:eastAsia="en-US" w:bidi="ar-SA"/>
        </w:rPr>
        <w:t xml:space="preserve"> shall remain in Cullen Diesel until all indebtedness has been fully paid. Again, as with Clause 2, this suggests Cullen Diesel was supplying equipment it owned.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Clause 6: This clause states that the Purchaser is deemed to have "accepted" the equipment fifteen days after </w:t>
      </w:r>
      <w:r>
        <w:rPr>
          <w:rFonts w:ascii="arial" w:eastAsia="arial" w:hAnsi="arial" w:cs="arial"/>
          <w:color w:val="000000"/>
          <w:sz w:val="20"/>
          <w:u w:val="single"/>
          <w:lang w:val="en-US" w:eastAsia="en-US" w:bidi="ar-SA"/>
        </w:rPr>
        <w:t>delivery of the equipment</w:t>
      </w:r>
      <w:r>
        <w:rPr>
          <w:rFonts w:ascii="arial" w:eastAsia="arial" w:hAnsi="arial" w:cs="arial"/>
          <w:color w:val="000000"/>
          <w:sz w:val="20"/>
          <w:lang w:val="en-US" w:eastAsia="en-US" w:bidi="ar-SA"/>
        </w:rPr>
        <w:t>, unless Cullen Diesel is notified to the contrary in writing during that period. This clause is consistent with a contract of purchase and sale of goods, although it could also refer to the delivery of equipment that has received the benefit of Cullen Diesel's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Clause 7: This clause states that prices for equipment are subject to change without notice in accordance with increases in manufacturer's prices, adjustments in exchange rates, increases in freight duty or brokerage rates. The clause further states that the Purchaser agrees to pay the prices effective on the date of delivery to the Purchaser. This clause appears to relate to a contract of purchase and sale of goods.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Clause 9: This clause refers to the warranty applicable to the </w:t>
      </w:r>
      <w:r>
        <w:rPr>
          <w:rFonts w:ascii="arial" w:eastAsia="arial" w:hAnsi="arial" w:cs="arial"/>
          <w:color w:val="000000"/>
          <w:sz w:val="20"/>
          <w:u w:val="single"/>
          <w:lang w:val="en-US" w:eastAsia="en-US" w:bidi="ar-SA"/>
        </w:rPr>
        <w:t>equipment</w:t>
      </w:r>
      <w:r>
        <w:rPr>
          <w:rFonts w:ascii="arial" w:eastAsia="arial" w:hAnsi="arial" w:cs="arial"/>
          <w:color w:val="000000"/>
          <w:sz w:val="20"/>
          <w:lang w:val="en-US" w:eastAsia="en-US" w:bidi="ar-SA"/>
        </w:rPr>
        <w:t xml:space="preserve"> "ordered". The plaintiff submits that a customer does not "order" equipment in an overhaul contract;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Clause 10: This clause states that the applicable warranty is inconsistent with the provisions under the </w:t>
      </w:r>
      <w:r>
        <w:rPr>
          <w:rFonts w:ascii="arial" w:eastAsia="arial" w:hAnsi="arial" w:cs="arial"/>
          <w:color w:val="000000"/>
          <w:sz w:val="20"/>
          <w:u w:val="single"/>
          <w:lang w:val="en-US" w:eastAsia="en-US" w:bidi="ar-SA"/>
        </w:rPr>
        <w:t>Sale of Goods Act</w:t>
      </w:r>
      <w:r>
        <w:rPr>
          <w:rFonts w:ascii="arial" w:eastAsia="arial" w:hAnsi="arial" w:cs="arial"/>
          <w:color w:val="000000"/>
          <w:sz w:val="20"/>
          <w:lang w:val="en-US" w:eastAsia="en-US" w:bidi="ar-SA"/>
        </w:rPr>
        <w:t xml:space="preserve">. The </w:t>
      </w:r>
      <w:r>
        <w:rPr>
          <w:rFonts w:ascii="arial" w:eastAsia="arial" w:hAnsi="arial" w:cs="arial"/>
          <w:color w:val="000000"/>
          <w:sz w:val="20"/>
          <w:u w:val="single"/>
          <w:lang w:val="en-US" w:eastAsia="en-US" w:bidi="ar-SA"/>
        </w:rPr>
        <w:t>Sale of Goods Act</w:t>
      </w:r>
      <w:r>
        <w:rPr>
          <w:rFonts w:ascii="arial" w:eastAsia="arial" w:hAnsi="arial" w:cs="arial"/>
          <w:color w:val="000000"/>
          <w:sz w:val="20"/>
          <w:lang w:val="en-US" w:eastAsia="en-US" w:bidi="ar-SA"/>
        </w:rPr>
        <w:t xml:space="preserve"> applies to the sale of goods, not to the provision of services like those necessary to overhaul an engine.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Clause 11: In examining Clause 11, the words "defective parts", "repossession", and "latent" defect would suggest that the parties intended the equipment to mean the parts that were supplied by Cullen Diesel. In the context of an overhaul, there should be no "defective parts" since part of the overhaul is that Cullen Diesel would to test components to ensure that they were not defective. Similarly, there should be no "latent" defects. The term "repossession" makes no sense in the context of an overhaul because services cannot be "repossessed", but reasonably could be applicable in the context of a sale or lease contract where Cullen Diesel may need to repossess goods upon default of payment by the purchaser.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Clause 20: This clause states that if the contract is a lease or rental contract, the terms above shall be read with such amendments as may be applicable thereto and, in particular, title to the </w:t>
      </w:r>
      <w:r>
        <w:rPr>
          <w:rFonts w:ascii="arial" w:eastAsia="arial" w:hAnsi="arial" w:cs="arial"/>
          <w:color w:val="000000"/>
          <w:sz w:val="20"/>
          <w:u w:val="single"/>
          <w:lang w:val="en-US" w:eastAsia="en-US" w:bidi="ar-SA"/>
        </w:rPr>
        <w:t>equipment</w:t>
      </w:r>
      <w:r>
        <w:rPr>
          <w:rFonts w:ascii="arial" w:eastAsia="arial" w:hAnsi="arial" w:cs="arial"/>
          <w:color w:val="000000"/>
          <w:sz w:val="20"/>
          <w:lang w:val="en-US" w:eastAsia="en-US" w:bidi="ar-SA"/>
        </w:rPr>
        <w:t xml:space="preserve"> remains at all times with Cullen Diesel and the term "rental payments" is substituted for the word "price". In this context, it is difficult to contemplate a lease or rental of engines that Cullen Diesel is overhauling for a customer.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Cullen Diesel submits that the Contract was for the "sale" of goods and services, and that the word "equipment" is properly interpreted to mean the "overhauled engines". The evidence that supports this interpretation is as follows: The purchase order dated February 28, 2003, and the February Proposal that was accepted by Mr. Life on behalf of NHLC on March 4, 2003, both include the following reference: "If the </w:t>
      </w:r>
      <w:r>
        <w:rPr>
          <w:rFonts w:ascii="arial" w:eastAsia="arial" w:hAnsi="arial" w:cs="arial"/>
          <w:color w:val="000000"/>
          <w:sz w:val="20"/>
          <w:u w:val="single"/>
          <w:lang w:val="en-US" w:eastAsia="en-US" w:bidi="ar-SA"/>
        </w:rPr>
        <w:t>equipment</w:t>
      </w:r>
      <w:r>
        <w:rPr>
          <w:rFonts w:ascii="arial" w:eastAsia="arial" w:hAnsi="arial" w:cs="arial"/>
          <w:color w:val="000000"/>
          <w:sz w:val="20"/>
          <w:lang w:val="en-US" w:eastAsia="en-US" w:bidi="ar-SA"/>
        </w:rPr>
        <w:t xml:space="preserve"> is available to ship prior to draw date, the payment due will be the balance remaining"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parties did not make submissions focussing on the meaning of the word "equipment" in the Contract. However, on first blush, when viewed objectively and taking the written Contract as a whole, an ambiguity emerges because the word "equipment" is reasonably capable of more than one meaning; it is not plain and obvious what the word "equipment" means in the Contract. This term would make sense in the context of either a contract for providing solely goods or solely services, or a combination of the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Contract must be interpreted in the factual matrix at the time it was made. Evidence of the subjective intentions of the parties is not admissible. However, in order to assist in construing the Contract, the Court may consider certain extrinsic evidence such as the surrounding circumstances and factual background known to the parties at the time the Contract was made. Further, if "equipment" viewed objectively bears two reasonable interpretations or if an ambiguity emerges when it is sought to apply the language of the document to the circumstances under consideration, the Court may consider other matters, provided such matters are relevant to the ambiguity: </w:t>
      </w:r>
      <w:r>
        <w:rPr>
          <w:rFonts w:ascii="arial" w:eastAsia="arial" w:hAnsi="arial" w:cs="arial"/>
          <w:b/>
          <w:i/>
          <w:color w:val="000000"/>
          <w:sz w:val="20"/>
          <w:lang w:val="en-US" w:eastAsia="en-US" w:bidi="ar-SA"/>
        </w:rPr>
        <w:t>AhIuwalia v. Richmond Cabs Ltd.</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[1994] B.C.J. No. 1364</w:t>
        </w:r>
      </w:hyperlink>
      <w:r>
        <w:rPr>
          <w:rFonts w:ascii="arial" w:eastAsia="arial" w:hAnsi="arial" w:cs="arial"/>
          <w:color w:val="000000"/>
          <w:sz w:val="20"/>
          <w:lang w:val="en-US" w:eastAsia="en-US" w:bidi="ar-SA"/>
        </w:rPr>
        <w:t>, [1994] B.C.W.L.D. 1668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this case, evidence of the factual background known to the parties at or before the date of the Contract, including evidence that the word "equipment" has by custom or usage in the business a peculiar sense, may also be relevant: </w:t>
      </w:r>
      <w:r>
        <w:rPr>
          <w:rFonts w:ascii="arial" w:eastAsia="arial" w:hAnsi="arial" w:cs="arial"/>
          <w:b/>
          <w:i/>
          <w:color w:val="000000"/>
          <w:sz w:val="20"/>
          <w:lang w:val="en-US" w:eastAsia="en-US" w:bidi="ar-SA"/>
        </w:rPr>
        <w:t>Charbonneau v. Brawn</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2002 BCSC 738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record on this application did not include this evidence and I am not satisfied that I am able to find the facts necessary to interpret the word "equipment". In addition, there was no evidence adduced regarding the oral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As a result, it is not possible on this application to determine whether the Exclusion Clauses solely cover Cullen Diesel's potential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for providing services, or solely relate to providing parts,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considered asking counsel for further submissions on the proper interpretation of the word "equipment" but in light of my determination of the enforceability issue, it was not necessary to make any findings regarding the Exclusion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a result, it is not necessary to address the other issues raised on this application, including whether Cullen Diesel owed a separate and direct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the reasons set out above, the summary trial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 of Interlocutory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a result of the dismissal of the Rule 18A application, further pre-trial investigation is appropriate. The defendant must produce its supplemental list of documents and answer the interrogatories of July 17, 2008, within 30 days of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Examinations for discovery can proceed pursuant to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Unless either party delivers written submissions within 30 days, the usual rule will apply and the plaintiff will be entitled to its costs of this application on Scale B. In the event a party makes written submissions on costs, the other party shall deliver its submissions within a further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9"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Arbutus Environmental Services Ltd. v. Peace River (Regional District), [2000] B.C.J. No. 705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Owen-Flood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99-2788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705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358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M.P.L.R. (3d) 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1064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Arbutus Environmental Services Ltd., plaintiff, and Peace River Regional District, Moray Stewart and Joe Judge,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0"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2" w:name="Keywords_8"/>
      <w:bookmarkEnd w:id="72"/>
      <w:r>
        <w:rPr>
          <w:rFonts w:ascii="arial" w:eastAsia="arial" w:hAnsi="arial" w:cs="arial"/>
          <w:b/>
          <w:color w:val="000000"/>
          <w:sz w:val="20"/>
          <w:lang w:val="en-US" w:eastAsia="en-US" w:bidi="ar-SA"/>
        </w:rPr>
        <w:t xml:space="preserve">Practice — Parties — Striking out parties — Lack of cause of action — Pleadings — Particulars — Nature of particulars which must be supplied — Particulars in specific proceedings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Fraud and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3" w:name="Case Summary_8"/>
            <w:bookmarkEnd w:id="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two individual defendants, Judge and Stewart, to have their names struck as defendants from the action brought against them and Peace River Regional District. The plaintiff, Arbutus, commenced an action against the District for breach of an alleged five-year contract. Arbutus brought a motion to add Judge and Stewart as individual defendants claiming that they, as employees of the District, fraudulently misrepresented to Arbutus the length of its contract with the District. The motion was dismissed on the ground that the Municipal Act prohibited actions against Municipal employees unless the employee was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That action was discontinued by Arbutus and a new action was commenced against the District, Judge and Stewart for the same cause of action. In the second action Arbutus claimed that Judge and Stewart were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conduct when they misrepresented the length of the contract with the District. Judge and Stewart claimed that their names ought to be struck as defendants as the new claim was an abuse of process and there were insufficient particulars to support the claim against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4" w:name="Holdings of Court_8"/>
            <w:bookmarkEnd w:id="7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Arbutus was within its rights under Rule 36 to discontinue the original proceedings and commence the new proceedings. The pleadings, while not generous with particulars, were sufficient to support the claim under the Rule 19(23) and the pleadings met the test for individual liability enunciated in the Municipal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5" w:name="Legislation Cited_7"/>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1"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19(23), 19(24)(b), 19(24)(d), 24(1)(a),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s. 287.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6" w:name="Counsel_8"/>
      <w:bookmarkEnd w:id="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Campbell, for the plaintiff. R. Harding,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7" w:name="Judgment_8"/>
      <w:bookmarkEnd w:id="77"/>
      <w:r>
        <w:pict>
          <v:line id="_x0000_s1073" style="position:absolute;z-index:2518210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8" w:name="OWEN-FLOOD J. (orally)"/>
            <w:bookmarkEnd w:id="78"/>
            <w:r>
              <w:rPr>
                <w:rFonts w:ascii="arial" w:eastAsia="arial" w:hAnsi="arial" w:cs="arial"/>
                <w:b/>
                <w:color w:val="000000"/>
                <w:sz w:val="30"/>
                <w:lang w:val="en-US" w:eastAsia="en-US" w:bidi="ar-SA"/>
              </w:rPr>
              <w:t>OWEN-FLOOD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two individual defendants, namely, Joe Judge, the Mayor of Peace River Regional District and Chairman of that District, ex officio, and Moray Stewart, the Administrator of the District, to have their names struck as defendants from the action brought against the Peace River Regional District and themselves as individuals by Arbutus Environmental Services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that action the individual defendants and the Peace River Regional District are jointly and severally sued by the plaintiffs for breach of an alleged five year contract. In the case of all three defendants, the cause of action is for fraud, misrepresentation, deceit. In the case of the individual defendants it is additionally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Statement of Claim and Writ bearing action number 99-2788 is not the original one issued in this litigation. The first was issued on the 20th of April, 1999. An application was made to amend it, before Master McCallum in Chambers, and to add on as defendants the two individuals, namely Messrs. Judge and Stewart. They were not originally named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hearing for these amendments came on before the Master. He pronounced his decision declining to add the individual defendants on June the 14th, 1999. In support of its application to add on the defendants before the Master, the plaintiff filed the affidavit of Patricia Campbell, to which was attached a copy of a Resolution of the Board of Directors of the Regional District, of which the individual defendant at bar, Joe Judge, was the Chairman.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That Resolution was passed in the presence of Mr. Judge and the other individual defendant, Mr. Moray Stewart, the Administrator, on June the 26th, 1997. It authorized not the five year contract for which the plaintiff claims it tendered was accepted, but rather a two year contract for the Fort St. John landfill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her affidavit, Patricia Campbell further deposed that she had been informed by counsel for the plaintiff that the plaintiff had additional alternate viable claims as against the proposed defendants, Stewart and Judge, and through them vicariously as employees of the Regional District, as against the Regional District arising from the correspondence exhibited to her affidavit. These were pleaded in the proposed amended Writ of Summons and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her affidavit she attached correspondence from Mr. Joe Judge as Chairman of the Peace River Regional District to the plaintiff, dated July the 2nd, 1997, saying that it had been awarded the contract as tendered for a five year term. She also referred to a letter from Mr. Moray Stewart, dated December the 1st, 1998, to Mr. Bob Range, the principal of the plaintiff, referring, again, in respect of the landfill site in question, to a five year contractual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was also attached a letter purporting to be signed by Mr. Moray Stewart but signed in his absence on his behalf by another official from the Peace River Regional District, dated October the 7th, 1998, referring again to a five year term. The Resolution in question, a true copy of which was certified by Mr. Stewart, referred only to a two year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amendments counsel for the plaintiff sought before Master McCallum set out that the defendant, Moray Stewart, was a municipal administrator for Peace River Regional District; that the defendant, Joe Judge, was at all times the Chairman of the Board of Directors of the defendant Regional District; that each of the individual defendants, Stewart and Judge, represented to the plaintiff in writing at various diverse times that the contract was for a five year period; that, in the alternative, the plaintiff claims that the defendants, Stewart and Judge, negligently, or, in the further alternative, fraudulently, with intent to deceive, misrepresented the term of the contract to the plaintiff in writing, upon which misrepresentations the plaintiff has relied to its detriment. Further, the plaintiff further claimed against the defendant Regional District that it is vicariously liable for the misrepresentations of the defendants Stewart and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Master McCallum, in his Reasons permitting the amendments to the plaintiff if the plaintiff wished to proceed with them, but, more importantly, rejecting the plaintiff's application to have the individuals, Joe Judge and Moray Stewart, added as defendants, wrote: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This proceeding involves the construction of a contract and a claim for damages against the Regional District.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proposes to add two defendants and amend its claim. The amendments are really not in issue here. The plaintiff is entitled to amend if it wishes to without adding. The real issue is the question of whether the proposed defendants ought to be added as defendants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acknowledged that the two proposed defendants are both municipal officers as defined in the Municipal Act .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only fact pled with respect to the proposed defendants, Stewart and Judge, is set out in paragraph 3 (a). "Stewart and Judge represented to the plaintiff in writing that the contract was for a five year term." That is, the contract which is the subject of the litigation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Paragraph 12 (a) of the proposed Statement of Claim makes an alternative claim against the defendants without pleading any facts. It simply makes a claim in law that Stewart and Judge acted negligently or fraudulently in misrepresenting the terms of the contract. That can only relate to paragraph 3 (a) of the Statement of Claim, which says that each of them represented to the plaintiff that the contract was for a five year term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cause of action has to be construed in light of the Municipal Act, which specifically prohibits an action against these defendants for acts done in, generally speaking, the performance of their duty. There is no suggestion that this is anything but a claim in respect of acts done by them in the context of their duties as municipal public officers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for the plaintiff to plead and maintain a cause of action against these defendants, the Statement of Claim must allege that these officers have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malicious or wilful misconduct. That is simply not made out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not any evidence beyond the very thin allegations in the Statement of Claim upon which one could infer that either of the proposed defendants made a statement with respect to the terms of the contract other than the ambiguous correspondence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has not been made out ... The motion should simply be dismissed. As I said at the outset, the plaintiff has a right under the Rules to file an amended Statement of Claim. If the plaintiff wishes to amend the claim against the existing defendant to include the possibility of vicarious liability for acts, the plaintiff may file an amended Statement of claim. This motion should be dismissed. Stewart and Judge should not be added as defendants and the proposed amendments should not be allowed. That is without prejudice to the plaintiff to file an amended Statement of Claim setting out an amended claim against the existing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did not appeal that decision. Rather, on the next day, June the 15th, 1999, the plaintiff issued a brand new Writ of Summons and Statement of Claim, alleging basically the same cause of action, but this time including not just the Peace River Regional District as defendants but also Moray Stewart and Joe Judge. This new Statement of Claim was amended without leave pursuant to Rule 24(1)(a) on the 22nd day of December, 1999. It is action number 99-2788. It is the action presently before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this new Statement of Claim as amended the plaintiff pleads, amongst other things:</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June 30, 1999, the defendant Regional District unilaterally terminated the contract in respect of the Fort St. John landfill site, causing the plaintiff damage and loss resulting from the loss of three years of the contract.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October the 30th, 1999, the defendant Regional District unilaterally terminated the contract in respect of the Chetwynd and Dawson Creek landfill sites, causing the plaintiff damage and loss from the loss of the contract to June the 30th, 2002. In the alternative, in the event that the contract for the landfill sites was only of the two year duration, the plaintiff claims that the defendants Moray Stewart and Joe Judge misrepresented the term of the contract to the plaintiff in writing, upon which misrepresentations the plaintiff has relied to their detriment, the said misrepresentations constituting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conduct on the part of the said defendants.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particulars of the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conduct aforesaid are that the defendants Stewart and Judge knew on June the 26th, 1997 that the defendant Regional District had by resolution authorized the contract with the plaintiff for the operation of the Fort St. John landfill site for a term of only two years, and that the said defendants not only withheld that information from the plaintiff, but, in the case of Joe Judge, wrote a letter to the plaintiff dated July the 2nd, 1997, which letter the plaintiff claims forms part of the contract between the parties, which letter represents to the plaintiff that the Fort St. John contract is for a five year term, and, in the case of Moray Stewart, he was the author of correspondence dated December the 2nd, 1997 to the plaintiff and October the 7th, 1998 to the City of Calgary, copy to the plaintiff, representing that the term of the Fort St. John landfill management contract was for the term of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individual defendants in their application to be struck out as individual defendants from this new action rely on Rule 19(24)(b) and (d). Those provisions read: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 At any stage of a proceeding the court may order to be struck out or amended the whole or any part of an endorsement pleading... on the grounds that...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individual defendants in their application rely on the law, which I follow, set out by Baker, J., of this court, in Babavic v. Babowech, </w:t>
      </w:r>
      <w:hyperlink r:id="rId280"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Vancouver Registry C931968 (B.C.S.C.). In her Reasons Baker, J. wrote, at paragraphs 17-18: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19 (24) is a codification of the court's inherent jurisdiction to stay actions that are an abuse of process or that disclose no reasonable cause of action. Hunt v. Carey Canada Inc. </w:t>
      </w:r>
      <w:r>
        <w:rPr>
          <w:rFonts w:ascii="arial" w:eastAsia="arial" w:hAnsi="arial" w:cs="arial"/>
          <w:i/>
          <w:color w:val="000000"/>
          <w:sz w:val="20"/>
          <w:lang w:val="en-US" w:eastAsia="en-US" w:bidi="ar-SA"/>
        </w:rPr>
        <w:t>(1990), 74 D.L.R. (4th) 321</w:t>
      </w:r>
      <w:r>
        <w:rPr>
          <w:rFonts w:ascii="arial" w:eastAsia="arial" w:hAnsi="arial" w:cs="arial"/>
          <w:color w:val="000000"/>
          <w:sz w:val="20"/>
          <w:lang w:val="en-US" w:eastAsia="en-US" w:bidi="ar-SA"/>
        </w:rPr>
        <w:t xml:space="preserve"> at 327 (S.C.C.). The principle of abuse of process is somewhat amorphous. The discretion afforded courts to dismiss actions on the grounds of abuse of process extends to any circumstance in which the court process is used for an improper purpose. I.H. Jacob, in "The Inherent Jurisdiction of the Court", (1970) Current Legal Problems 23 at pp. 40-41 provides the following definition of this principle: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connotes that the process of the court must be used properly, honestly and in good faith, and must not be abused. It means that the court will not allow its function as a court of law to be misused, and it will summarily prevent its machinery from being used as a means of vexation or oppression in the process of litigation. Unless the court had power to intervene summarily to prevent the misuse of legal machinery, the nature and function of the court will be transformed from a court dispensing justice into an instrument of injustice.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follows that where an abuse of process has taken place, the intervention of the court by stay or even dismissal of proceedings may often be required by the very essence of justice to be done, and so to prevent parties being harassed and put to expense by frivolous, vexatious or groundless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categories of abuse of process are open. Abuse of process may be found where proceedings involved a deception on the court or constitute a mere sham; where the process of the court is not being fairly or honestly used, or is employed for some ulterior or improper purpose; proceedings which are without foundation or serve no useful purpose and multiple or successive proceedings which cause or are likely to cause vexation or oppression.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individual defendants attack the sparseness of the amended pleadings of the plaintiff. In their argument the individual defendants urge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pleadings of the second action are sparse with respect to the particulars alleged ... The nature of the alleged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obvious on the face of the pleadings. The pleadings only rely on the three letters as support for personal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individual defendants go on to argue that the evidence is clear that the individuals, and, in particular, Joe Judge, did not author the letters in question. They were simply prepared by somebody else either for their signature or to be signed on their behalf. They are signed, at any event, in an official capacity. None of the letters are actually authored by the individual defendants, even though signed by them or on their behalf in their names.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individual defendants urge that the plaintiff's allegations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and/or malicious misconduct are frivolous, as neither of the personal defendants ever authored the alleged dishonoured letters, and, at any event, contend the individual defendants, the plaintiff clearly knew it was only receiving a two year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digress to mention that the plaintiff, on its part, cites various documents and states that it was always, as far as was known, a five year term. Clearly on the issue of what the plaintiff knew as to the length of the term there is conflicting evidence, and, a triable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individual defendants contend that you cannot be dishonest, grossly negligent or malicious with someone when the other side has been told the truth. I digress to observe that whether or not the other side has been told the truth is, I am satisfied on the material filed, a triable issue. In any event, the individual defendants contend that the naming of them in this action as individuals is frivolous and vexatious; that it is a sham that is being perpetrated to deceive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in its submission contends that it was asked to tender for five years for the sites in question. The plaintiff was told it was the successful bidder in response to the request made by it for proposals.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in its submissions contends that on May the 29th, 1997, representatives of it and the defendant Regional District, and the defendant's consultants and officials, met and discussed, inter alia, the capacity of the Fort St. John landfill site and its ability to last for five years. It was, according to the plaintiff, agreed that a technical study of this issue would be carried out, and that, should the Fort St. John location not be able to function for the full five years, that all the volumes of waste which would have gone to Fort St. John would be diverted to the Dawson Creek and Chetwynd landfills to maintain the economics of the contract for the plaintiff's benefit. All that is deposed to by the principal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refers to the letters from the individual defendants already described. The plaintiff's principal deposes that he did not learn that the contract was not for five years, as represented to him, but, rather, for two years, until he was so informed on March the 12th, 1999, when he was told by letter that the Resolution passed by the Regional District had only authorized a two year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considering the arguments of the individual defendants, I bear in mind, where the argument of sparseness of the pleadings is concerned, the provisions of Rule 19(23):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sufficient to allege malice, fraudulent intention, knowledge or other condition of the mind of a person as a fact, without setting out the circumstances from which it is to be inferred.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am of the view that the pleadings as amended, while not exactly generous with particulars, sparse though they may be, are sufficient, in my view, within the meaning of the Rule. They come within the stipulations of the Municipal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Section 287 of that Act in its germane parts reads: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or may be instituted against a municipal public officer or former municipal public officer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anything said or done or admitted to be said or done by that person in the performance or intended performance of the person's duty or the exercise of the person's power, or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any alleged neglect or default in the performance or intended performance of that person's duty or exercise of that person's power.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municipal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am satisfied that the pleadings in the new action, as amended, meet that test for individual liability as set out in the Municipal Act. I further accept the law as enunciated in Guildford Industries Ltd. v. Hackinson Management Services Ltd. </w:t>
      </w:r>
      <w:hyperlink r:id="rId281" w:history="1">
        <w:r>
          <w:rPr>
            <w:rFonts w:ascii="arial" w:eastAsia="arial" w:hAnsi="arial" w:cs="arial"/>
            <w:i/>
            <w:color w:val="0077CC"/>
            <w:sz w:val="20"/>
            <w:u w:val="single"/>
            <w:shd w:val="clear" w:color="auto" w:fill="FFFFFF"/>
            <w:lang w:val="en-US" w:eastAsia="en-US" w:bidi="ar-SA"/>
          </w:rPr>
          <w:t>(1973), 40 D.L.R. (3d) 398</w:t>
        </w:r>
      </w:hyperlink>
      <w:r>
        <w:rPr>
          <w:rFonts w:ascii="arial" w:eastAsia="arial" w:hAnsi="arial" w:cs="arial"/>
          <w:color w:val="000000"/>
          <w:sz w:val="20"/>
          <w:lang w:val="en-US" w:eastAsia="en-US" w:bidi="ar-SA"/>
        </w:rPr>
        <w:t xml:space="preserve"> (B.C.S.C.). There Anderson, J. accepted Fleming's statement in Fleming on Torts holding: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elements of abuse of process are: first, a collateral and improper purpose, such as extortion, and secondly, a definite act or threat, in furtherance of A purpose not legitimate in the use of the process. Some such overt conduct is essential, because there is clearly no liability when the defendant merely employs regular legal process to its proper conclusion, albeit with bad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not find anything inconsistent in that quote from Fleming, the author, with the law as enunciated by Madam Justice Baker already cited in Babavic v. Babowech, (supra). The law of abuse of process is, as Madam Justice Baker said, a somewhat amorphous concept not given to an entirely permanent and precise definition by reason of its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also bear in mind Rule 36 on Discontinuance and Withdrawal. Rule 36 in its germane parts stipulates: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before an action is set down for trial, a plaintiff may discontinue it in whole or in part against a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(2), a person wholly discontinuing an action or wholly withdrawing his defence against a party shall pay the costs of that party to the date of delivery of the notice of discontinuance or withdrawal and if a plaintiff, liable for costs under this rule, subsequently brings a proceeding for the same or substantially the same claim before paying those costs, the court may order the proceeding to be stayed until the costs are paid...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otherwise ordered, the discontinuance of an action in whole or in part is not a defence to a subsequent proceeding for the same or substantially the same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Thus it is apparent that the Rules of Court themselves stipulate that precisely what Mr. Campbell, counsel for the plaintiff, did in this case may indeed be done. There is a downside to it in that the plaintiff becomes liable for the costs thrown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also note and accept the law enunciated by Satanove, J. in Saanich (District) v. McNutt Enterprises Ltd., </w:t>
      </w:r>
      <w:hyperlink r:id="rId282" w:history="1">
        <w:r>
          <w:rPr>
            <w:rFonts w:ascii="arial" w:eastAsia="arial" w:hAnsi="arial" w:cs="arial"/>
            <w:i/>
            <w:color w:val="0077CC"/>
            <w:sz w:val="20"/>
            <w:u w:val="single"/>
            <w:shd w:val="clear" w:color="auto" w:fill="FFFFFF"/>
            <w:lang w:val="en-US" w:eastAsia="en-US" w:bidi="ar-SA"/>
          </w:rPr>
          <w:t>[1997] B.C.J. No. 2122</w:t>
        </w:r>
      </w:hyperlink>
      <w:r>
        <w:rPr>
          <w:rFonts w:ascii="arial" w:eastAsia="arial" w:hAnsi="arial" w:cs="arial"/>
          <w:color w:val="000000"/>
          <w:sz w:val="20"/>
          <w:lang w:val="en-US" w:eastAsia="en-US" w:bidi="ar-SA"/>
        </w:rPr>
        <w:t xml:space="preserve"> (S.C.) (26 September 1997) Victoria Registry 961804, (B.C.S.C.) where she followed the decision in Hunter v. Chief Constable of West Midlands, [1981] 3 All E.R. 727, in which the House of Lords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abuse of process which the instant case exemplifies is the initiation of proceedings in a court of justice for the purpose of mounting a collateral attack on a final decision against the intending plaintiff which has been made by another court of competent jurisdiction in previous proceedings in which the intending plaintiff had a full opportunity of contesting the decision in the court by which it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reaching its decision the House of Lords quoted Lord Halsbury: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would be a scandal to the administration of justice, if the same question having been disposed of by one case, the litigant were permitted to change by changing form of proceedings to set up the same case again. (Reichel v. Magrath (1889), 14 App. Cas. 668).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accept the law enunciated by McEwan, J. in Strata Plan No. 36 v. Wilson, </w:t>
      </w:r>
      <w:hyperlink r:id="rId283" w:history="1">
        <w:r>
          <w:rPr>
            <w:rFonts w:ascii="arial" w:eastAsia="arial" w:hAnsi="arial" w:cs="arial"/>
            <w:i/>
            <w:color w:val="0077CC"/>
            <w:sz w:val="20"/>
            <w:u w:val="single"/>
            <w:shd w:val="clear" w:color="auto" w:fill="FFFFFF"/>
            <w:lang w:val="en-US" w:eastAsia="en-US" w:bidi="ar-SA"/>
          </w:rPr>
          <w:t>[1998] B.C.J. No. 308</w:t>
        </w:r>
      </w:hyperlink>
      <w:r>
        <w:rPr>
          <w:rFonts w:ascii="arial" w:eastAsia="arial" w:hAnsi="arial" w:cs="arial"/>
          <w:color w:val="000000"/>
          <w:sz w:val="20"/>
          <w:lang w:val="en-US" w:eastAsia="en-US" w:bidi="ar-SA"/>
        </w:rPr>
        <w:t xml:space="preserve"> (S.C.) (5 February 1998), Nelson Registry No. 6876 (B.C.S.C.) where, in paragraph 15,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doubt that it is within the inherent jurisdiction of this court in controlling its own process, to strike out a subsequent claim in circumstances where injustice would result if matters were to continue. This might be the case, for example, where exactly the same matter is revived but no suggestion that there is new evidence or that other relevant circumstances have changed since the first discontinuance.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Finally, I note what Wallace, J. observed in Flavelle Estate v. Mahood </w:t>
      </w:r>
      <w:hyperlink r:id="rId284" w:history="1">
        <w:r>
          <w:rPr>
            <w:rFonts w:ascii="arial" w:eastAsia="arial" w:hAnsi="arial" w:cs="arial"/>
            <w:i/>
            <w:color w:val="0077CC"/>
            <w:sz w:val="20"/>
            <w:u w:val="single"/>
            <w:shd w:val="clear" w:color="auto" w:fill="FFFFFF"/>
            <w:lang w:val="en-US" w:eastAsia="en-US" w:bidi="ar-SA"/>
          </w:rPr>
          <w:t>(1980), 25 B.C.L.R. 236</w:t>
        </w:r>
      </w:hyperlink>
      <w:r>
        <w:rPr>
          <w:rFonts w:ascii="arial" w:eastAsia="arial" w:hAnsi="arial" w:cs="arial"/>
          <w:color w:val="000000"/>
          <w:sz w:val="20"/>
          <w:lang w:val="en-US" w:eastAsia="en-US" w:bidi="ar-SA"/>
        </w:rPr>
        <w:t xml:space="preserve"> (B.C.S.C.) affirmed, </w:t>
      </w:r>
      <w:hyperlink r:id="rId285" w:history="1">
        <w:r>
          <w:rPr>
            <w:rFonts w:ascii="arial" w:eastAsia="arial" w:hAnsi="arial" w:cs="arial"/>
            <w:i/>
            <w:color w:val="0077CC"/>
            <w:sz w:val="20"/>
            <w:u w:val="single"/>
            <w:shd w:val="clear" w:color="auto" w:fill="FFFFFF"/>
            <w:lang w:val="en-US" w:eastAsia="en-US" w:bidi="ar-SA"/>
          </w:rPr>
          <w:t>[1981] B.C.J. No. 1192</w:t>
        </w:r>
      </w:hyperlink>
      <w:r>
        <w:rPr>
          <w:rFonts w:ascii="arial" w:eastAsia="arial" w:hAnsi="arial" w:cs="arial"/>
          <w:color w:val="000000"/>
          <w:sz w:val="20"/>
          <w:lang w:val="en-US" w:eastAsia="en-US" w:bidi="ar-SA"/>
        </w:rPr>
        <w:t xml:space="preserve"> (C.A.) where, in considering a discontinuance, he said at page 241: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issuing of a writ followed by a discontinuance to the action has no legal significance or effect upon the initiating and maintaining of a subsequent proceeding concerning the same subject matter. It will stand or fall on its own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that case Wallace, J. went on to reiterate what Reilly, J. stated in Fessor v. McKenzie, </w:t>
      </w:r>
      <w:hyperlink r:id="rId286" w:history="1">
        <w:r>
          <w:rPr>
            <w:rFonts w:ascii="arial" w:eastAsia="arial" w:hAnsi="arial" w:cs="arial"/>
            <w:i/>
            <w:color w:val="0077CC"/>
            <w:sz w:val="20"/>
            <w:u w:val="single"/>
            <w:shd w:val="clear" w:color="auto" w:fill="FFFFFF"/>
            <w:lang w:val="en-US" w:eastAsia="en-US" w:bidi="ar-SA"/>
          </w:rPr>
          <w:t>[1971] 1 W.W.R. 617</w:t>
        </w:r>
      </w:hyperlink>
      <w:r>
        <w:rPr>
          <w:rFonts w:ascii="arial" w:eastAsia="arial" w:hAnsi="arial" w:cs="arial"/>
          <w:color w:val="000000"/>
          <w:sz w:val="20"/>
          <w:lang w:val="en-US" w:eastAsia="en-US" w:bidi="ar-SA"/>
        </w:rPr>
        <w:t xml:space="preserve"> (A.S.C.) at 622-23, namely that the court should be sparing in its exercise of a power to strike out an action on the grounds that it is vexatious or frivolous. Such power, Reilly, J. held, must be carefully and sparingly exercised but if a court sees upon the material before it that the cause of action is vexatious and frivolous, then and then only a court will say the action ought to be summarily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this case I am not persuaded that this action is either vexatious or frivolous or otherwise comes within the class of action that the individual defendants impugn. I am of the view that the interests of justice are best served by letting this action proceed to trial. There are triable issues, including, but not limited to, by any means, the matter of knowledge of the plaintiff of the length of term of the contract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result I dismiss the individual defendants' applications. The plaintiff shall have its costs, at any event, on Scale 3.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OWEN-FLOOD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Bel Mar Developments Inc. v. North Shore Credit Union, [2001] B.C.J. No. 512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Collver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C940234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388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937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Bel Mar Developments Inc., Guiseppe Bellopede and Mariana Bellopede, plaintiffs, and North Shore Credit Union and Temple Management Limited,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5"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9" w:name="Keywords_9"/>
      <w:bookmarkEnd w:id="79"/>
      <w:r>
        <w:rPr>
          <w:rFonts w:ascii="arial" w:eastAsia="arial" w:hAnsi="arial" w:cs="arial"/>
          <w:b/>
          <w:color w:val="000000"/>
          <w:sz w:val="20"/>
          <w:lang w:val="en-US" w:eastAsia="en-US" w:bidi="ar-SA"/>
        </w:rPr>
        <w:t>Practice — Pleadings — Amendment of pleadings — Prejudice or presumed prejudice — Adding new cause of action — Prohibition against adding new action which is statute barred — At trial — Contracts — Breach — Company law — Status of principal to sue after company dissolved.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0" w:name="Case Summary_9"/>
            <w:bookmarkEnd w:id="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Bel Mar Developments and the Bellopedes, to amend their statement of claim. The Bellopedes, through their company, Bel Mar, borrowed money from North Shore Credit Union to finance the construction of an apartment building. The Bellopedes guaranteed the loan. When the construction costs escalated beyond the budgeted costs, the Credit Union called the loan. The Bellopedes argued that the management company recommended by the Credit Union did not adequately supervise the construction. They brought an action against the Credit Union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based on its failure to provide competent advice. They applied on the first day of trial, almost six years after the action was commenced, to amend the statement of claim to include breach of contract by the Credit Union. They argued that they pleaded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as a tactical choice which they wished to change. The Credit Union argued that the claim for breach of contract was barred by the limitation period and that Bel Mar did not have the capacity to bring an action as it was struck from the Company Act register.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1" w:name="Holdings of Court_9"/>
            <w:bookmarkEnd w:id="8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prejudice to the Credit Union caused by the delay in applying for the amendment, as the facts upon which the contract claim depended were also applicable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As guarantors of the original loan, the Bellopedes could advance the claim in contract notwithstanding the status of Bel Mar.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2" w:name="Legislation Cited_8"/>
      <w:bookmarkEnd w:id="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6"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24, 24(1), 65(5).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4(4).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3" w:name="Counsel_9"/>
      <w:bookmarkEnd w:id="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7"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Gordon G. Plottel, for the plaintiffs. Shayne P. Strukoff and Joanne Kuroyama,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4" w:name="Judgment_9"/>
      <w:bookmarkEnd w:id="84"/>
      <w:r>
        <w:pict>
          <v:line id="_x0000_s1078"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5" w:name="COLLVER J."/>
            <w:bookmarkEnd w:id="85"/>
            <w:r>
              <w:rPr>
                <w:rFonts w:ascii="arial" w:eastAsia="arial" w:hAnsi="arial" w:cs="arial"/>
                <w:b/>
                <w:color w:val="000000"/>
                <w:sz w:val="30"/>
                <w:lang w:val="en-US" w:eastAsia="en-US" w:bidi="ar-SA"/>
              </w:rPr>
              <w:t>COLLVER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the first day of a trial in which damages have been claimed for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plaintiffs apply to amend their Statement of Claim to also allege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May 10, 1991, the plaintiffs, Guiseppe and Mariana Bellopede, through their company, Bel Mar Developments Inc., borrowed $2,475,000 from North Shore Credit Union ("the Credit Union"). The money was required to finance construction of a 39-unit apartment complex in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construction costs escalated well beyond the budgeted cost, the loan was called, foreclosure proceedings were commenced, and a Receiver-Manager eventually supervised both the completion of construction and the conversion of the complex into condominium units. The condominiums have since been sold, leaving a substantial project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Bellopedes claim that Temple Management Limited ("Temple"), which they retained to manage the project on the recommendation (if not the insistence) of the Credit Union, did not adequately supervise or control construction. They further claim that the Credit Union breached its fiduciary duty by, among other things, failing to provide competent financial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After the Bellopedes commenced this action against the Credit Union and Temple Management Limited, the Credit Union also began foreclosure proceedings with respect to a mortgage the Bellopedes placed on their home in a unsuccessful effort to salvage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Bellopedes' application to amend their Statement of Claim is brought pursuant to Rules 24 and 65(5) of the Rules of Court. The defendants resist it on the following grounds:</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breach of contract pertains to a loan agreement dated April 16, 1991, and the six-year limitation period for commencing an action for breach of that agreement expired more than three years ago;</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corporate borrower, Bel Mar Developments Inc, was struck from the Company Act register in 1995 and has no capacity to bring or maintain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first objection requires consideration of s. 4(4) of the Limitation Act, </w:t>
      </w:r>
      <w:hyperlink r:id="rId29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ASM Capital Corp. v. Mercer International Inc., </w:t>
      </w:r>
      <w:hyperlink r:id="rId295" w:history="1">
        <w:r>
          <w:rPr>
            <w:rFonts w:ascii="arial" w:eastAsia="arial" w:hAnsi="arial" w:cs="arial"/>
            <w:i/>
            <w:color w:val="0077CC"/>
            <w:sz w:val="20"/>
            <w:u w:val="single"/>
            <w:shd w:val="clear" w:color="auto" w:fill="FFFFFF"/>
            <w:lang w:val="en-US" w:eastAsia="en-US" w:bidi="ar-SA"/>
          </w:rPr>
          <w:t>1999 BCCA 353</w:t>
        </w:r>
      </w:hyperlink>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[1999] B.C.J. No. 1276</w:t>
        </w:r>
      </w:hyperlink>
      <w:r>
        <w:rPr>
          <w:rFonts w:ascii="arial" w:eastAsia="arial" w:hAnsi="arial" w:cs="arial"/>
          <w:color w:val="000000"/>
          <w:sz w:val="20"/>
          <w:lang w:val="en-US" w:eastAsia="en-US" w:bidi="ar-SA"/>
        </w:rPr>
        <w:t>, Mr. Justice Cumming stated that in deciding whether to permit an amendment to pleadings where a cause of action has become statute-barred, a chambers judge must consider:</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prejudice to the parties;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delay in seeking the amendment;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explanation for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further consideration, Mr. Justice Cumming continued, is whether the proposed amendment alleges a cause of action that was not statute-barred as of the date that the original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Prejudice, in the context of the present application, means prejudice associated with the delay itself: Chiarelli v. Wiens, </w:t>
      </w:r>
      <w:hyperlink r:id="rId296" w:history="1">
        <w:r>
          <w:rPr>
            <w:rFonts w:ascii="arial" w:eastAsia="arial" w:hAnsi="arial" w:cs="arial"/>
            <w:i/>
            <w:color w:val="0077CC"/>
            <w:sz w:val="20"/>
            <w:u w:val="single"/>
            <w:shd w:val="clear" w:color="auto" w:fill="FFFFFF"/>
            <w:lang w:val="en-US" w:eastAsia="en-US" w:bidi="ar-SA"/>
          </w:rPr>
          <w:t>(2000) 43 CPC (4th) 19</w:t>
        </w:r>
      </w:hyperlink>
      <w:r>
        <w:rPr>
          <w:rFonts w:ascii="arial" w:eastAsia="arial" w:hAnsi="arial" w:cs="arial"/>
          <w:color w:val="000000"/>
          <w:sz w:val="20"/>
          <w:lang w:val="en-US" w:eastAsia="en-US" w:bidi="ar-SA"/>
        </w:rPr>
        <w:t xml:space="preserve"> (Ont. C.A.). In other words, that the opposing party is affected negatively by such an amendment does not mean that he is prejudiced. The prejudice must affect ability to respond to the amended claim, which hardly pertains here since the facts upon which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depends are also applicable to the claim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Of greater concern here is the length of the delay and the plaintiffs' explanation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the former, the action was commenced in 1994 and was scheduled to proceed to trial on three previous occasions. The considerable delay in bringing the application to amend would, of course, be significant if documentation to support the claim in contract was other than that which has been marshalled with respect to the action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explaining the delay, counsel for the plaintiffs conceded that pleading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was a tactical choice, not an oversight. That, of course, begs the question as to whether it is too late to change tactics.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Teal Cedar Products (1977) Ltd. v. Dale Intermediaries Ltd. </w:t>
      </w:r>
      <w:hyperlink r:id="rId297" w:history="1">
        <w:r>
          <w:rPr>
            <w:rFonts w:ascii="arial" w:eastAsia="arial" w:hAnsi="arial" w:cs="arial"/>
            <w:i/>
            <w:color w:val="0077CC"/>
            <w:sz w:val="20"/>
            <w:u w:val="single"/>
            <w:shd w:val="clear" w:color="auto" w:fill="FFFFFF"/>
            <w:lang w:val="en-US" w:eastAsia="en-US" w:bidi="ar-SA"/>
          </w:rPr>
          <w:t>(1996), 19 B.C.L.R.(3d) 282</w:t>
        </w:r>
      </w:hyperlink>
      <w:r>
        <w:rPr>
          <w:rFonts w:ascii="arial" w:eastAsia="arial" w:hAnsi="arial" w:cs="arial"/>
          <w:color w:val="000000"/>
          <w:sz w:val="20"/>
          <w:lang w:val="en-US" w:eastAsia="en-US" w:bidi="ar-SA"/>
        </w:rPr>
        <w:t xml:space="preserve"> (C.A.), Mr. Justice Finch stated that the discretion to permit amendments afforded by Rule 24(1) and by s. 4(4) of the Limitation Act was intended to be completely unfettered, subject to a proper consideration of the evidence adduced and the guidelines suggested by the case law. After emphasizing that no single factor is to be accorded overriding importance in the absence of a clear evidentiary basis for doing so, Mr. Justice Finch added that there is no requirement in the authorities nor as a matter of policy that leave to add a new cause of action should be refused solely on the basis that the plaintiff's conduct reflected a deliberate decision or was "voluntarily dilatory".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Here, having regard to both the circumstances in which the parties negotiated the loans and their later dealings with each other during the unsuccessful apartment venture, I cannot conclude that the defendants will be prejudiced by now allowing breach of contract to be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I agree with the position of counsel for the Bellopedes with respect to the corporate plaintiff's status. As guarantors of the original loan, the Bellopedes can advance their claim in contract notwithstanding that Bel Mar Developments Inc. is now defunct.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requested amendment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COLLVER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9"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Bhimji v. Graham, [2007] B.C.J. No. 1697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16 - 19 and May 28 - 31,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30,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M040910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1697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1145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160 A.C.W.S. (3d) 383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Ayasha Bhimji, Plaintiff, and Molly Maureen Graham and Elizabeth Ann Southam,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0"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6" w:name="Keywords_10"/>
      <w:bookmarkEnd w:id="8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Motor vehicles — Liability of driver — In this action for damages for injuries allegedly sustained in a motor vehicle accident, the issues of liability and damages were severed, and the defendant was found to have been solely liable for the accident — The defendant failed to prove the plaintiff's hesitation in the face of the threat was unreasonable and a breach of the standard of care expected of a driver.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7" w:name="Case Summary_10"/>
            <w:bookmarkEnd w:id="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sought damages for injuries sustained in a motor vehicle accident -- The defendant argued that the plaintiff was contributorily negligent, as she had seen the approaching vehicle begin to fishtail, but had not taken appropriate evasive action -- HELD: The defendant was liable for the accident, and the plaintiff was not contributorily negligent -- An order issued that the issue of the defendants' liability and the plaintiff's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be tried before the remaining issues in the action -- The defendant was prima facie liable for the accident -- The plaintiff admitted to perceiving the defendant Graham's vehicle to be a hazard before the collision -- Based on the speed estimates, the plaintiff did have sufficient time to stop on seeing the vehicle lose control -- The plaintiff had steered as far to the right as possible without leaving the pavement, but there was no evidence she had applied her brakes -- However, the defendant failed to prove that her hesitation, in the face of a changing hazard over the course of a few seconds, was unreasonable and a breach of the standard of care expected of a driver -- It was not proven that braking would have avoided or significantly reduced her injury.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8" w:name="Legislation Cited_9"/>
      <w:bookmarkEnd w:id="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1"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39(29)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9" w:name="Counsel_10"/>
      <w:bookmarkEnd w:id="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V.J. LeBlanc, T. Chandler.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E. Carruthers, L. Harris.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0"/>
      <w:bookmarkEnd w:id="90"/>
      <w:r>
        <w:pict>
          <v:line id="_x0000_s1083"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GARSON J."/>
            <w:bookmarkEnd w:id="91"/>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Ayasha Bhimji sues the defendants for personal injuries she sustained in a motor vehicle accident that occurred on August 8, 2002. The trial of this action began on April 16, 2007, and continued for four days, but then adjourned because Ms. Bhimji was involved in another motor vehicle accident while being driven home from court. As a consequence of that subsequent accident, she required medical treatment and was unable to continue attending the trial. A new action has been commenced arising from the subsequent motor vehicle accident and counsel are, at the moment, hopeful that the action arising from the subsequent motor vehicle accident will be ready to be tried with this action in September of this year. Counsel have requested that I not declare a mistrial (for the moment) in the hopes that they can avoid having to start the trial over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Counsel arranged the trial dates May 28 - 31, 2007, in order for me to hear the evidence relating only to liability issues in this action. With the consent of the parties, I order, pursuant to Rule 39(29)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that liability issues be heard and determined separately from the damage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am satisfied that it is in the best interests of the parties and in the interests of justice that such an order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have reached the conclusion that liability and the assessment of damages should be severed because:</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are exceptional;</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issue to be tried, namely liability, is simple;</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 to be tried separately is not interwoven with other issues in the action; and</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determination of the liability issue will not put an end to the action because the defendants argue only for an apportionment of liability, it will shorten the trial and may even assist the parties to complete the trial during the time the court has available in September,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b/>
          <w:i/>
          <w:color w:val="000000"/>
          <w:sz w:val="20"/>
          <w:lang w:val="en-US" w:eastAsia="en-US" w:bidi="ar-SA"/>
        </w:rPr>
        <w:t>King v. On-Stream Natural Gas Ltd.</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[1990] B.C.J. No. 1399</w:t>
        </w:r>
      </w:hyperlink>
      <w:r>
        <w:rPr>
          <w:rFonts w:ascii="arial" w:eastAsia="arial" w:hAnsi="arial" w:cs="arial"/>
          <w:color w:val="000000"/>
          <w:sz w:val="20"/>
          <w:lang w:val="en-US" w:eastAsia="en-US" w:bidi="ar-SA"/>
        </w:rPr>
        <w:t xml:space="preserve"> (18 June 1990), Vancouver No. C84711, following </w:t>
      </w:r>
      <w:r>
        <w:rPr>
          <w:rFonts w:ascii="arial" w:eastAsia="arial" w:hAnsi="arial" w:cs="arial"/>
          <w:b/>
          <w:i/>
          <w:color w:val="000000"/>
          <w:sz w:val="20"/>
          <w:lang w:val="en-US" w:eastAsia="en-US" w:bidi="ar-SA"/>
        </w:rPr>
        <w:t>Morrison-Knudsen v. B.C. Hydro &amp; Power Authority (No. 4)</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[1972] 2 W.W.R. 557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event it becomes necessary to declare a mistrial, the parties will have a final judgment on liability and will not have to recall the liability witnesses at a new trial. The possibility that it will be necessary for me to declare a mistrial will arise if the parties are unable to either have both this action and the action arising from the subsequent accident, ready for trial in September, 2007, or if the parties conclude that there is insufficient time to complete the trial in September, because the next available dates after September, convenient to the court and all parties, may be unacceptably delayed.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Accordingly, there will be an order, pursuant to Rule 39(29), that the issue of the defendants' liability and the plaintiff's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 tried before the remaining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August 8, 2002, accident occurred on a two-lane country highway. The defendant, Molly Graham, lost control of her vehicle and began to fishtail back and forth across a straight stretch of highway. Ms. Graham's fishtailing vehicle was visible to Ms. Bhimji (travelling in the opposite direction) for about four to five seconds. It is alleged by the defendants that Ms. Bhimji was contributorily negligent in failing to take evasive action to avoid the collision with Ms. Graham's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is the legal duty on an innocent driver to take evasive action to avoid an oncoming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Tucker (Guardian of) v. Asleson</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102 D.L.R. (4th) 518</w:t>
        </w:r>
      </w:hyperlink>
      <w:r>
        <w:rPr>
          <w:rFonts w:ascii="arial" w:eastAsia="arial" w:hAnsi="arial" w:cs="arial"/>
          <w:color w:val="000000"/>
          <w:sz w:val="20"/>
          <w:lang w:val="en-US" w:eastAsia="en-US" w:bidi="ar-SA"/>
        </w:rPr>
        <w:t xml:space="preserve"> (C.A.), Southin J.A. thoroughly reviewed the law on the question of the duty of care of an innocent driver confronted with an oncoming vehicle in its lane of travel. At paras. 15 and 16, she summarized the facts of that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what we have here is a driver of a tractor trailer on a clear winter's day with the temperature hovering around freezing who while himself driving at a lawful speed in his own proper place on the highway - the slow lane - sees two hundred yards away another vehicle sliding or driving into his line of travel. He moves first to his left, then sees that that vehicle is apparently moving back to its own side, moves himself to the right in an attempt to miss that vehicle, slowing his vehicle at the same time, but is in a collision because that vehicle slid back into the truck driver's slow 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50 miles per hour a vehicle travels 72 feet per second. At 30 miles per hour, it travels 44 feet per second. Mrs. Tucker, on her evidence, was going slightly more than 35 miles per hour when her vehicle started to go out of control. Mr. Asleson, when he first saw her, was going between 50 and 55 miles per hour. At that moment the two vehicles were approaching each other at a combined speed of 85-95 miles per hour or between 127 and 142 feet per second. Thus, if neither vehicle slowed, the two would collide in less than five seconds which is about the time it would take to read this sentence aloud.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At para. 34, she quoted from </w:t>
      </w:r>
      <w:r>
        <w:rPr>
          <w:rFonts w:ascii="arial" w:eastAsia="arial" w:hAnsi="arial" w:cs="arial"/>
          <w:b/>
          <w:i/>
          <w:color w:val="000000"/>
          <w:sz w:val="20"/>
          <w:lang w:val="en-US" w:eastAsia="en-US" w:bidi="ar-SA"/>
        </w:rPr>
        <w:t>Walker v. Brownlee and Harman</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p. 461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para. 36,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have been a number of cases in the Supreme Court of Canada since 1952 of collisions on one driver's "right" side of the highway. Circumstances in each do, of course, differ slightly but through them is, I think, a thread, namely, a driver confronted with a vehicle coming toward him on his side of the highway is not expected to have the driving skills of a Grand Prix contestant.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defendants rely on the case of </w:t>
      </w:r>
      <w:r>
        <w:rPr>
          <w:rFonts w:ascii="arial" w:eastAsia="arial" w:hAnsi="arial" w:cs="arial"/>
          <w:b/>
          <w:i/>
          <w:color w:val="000000"/>
          <w:sz w:val="20"/>
          <w:lang w:val="en-US" w:eastAsia="en-US" w:bidi="ar-SA"/>
        </w:rPr>
        <w:t>Gill Estate v. Greyhound Lines of Canada Ltd.</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(1987), 21 B.C.L.R. (2d) 324</w:t>
        </w:r>
      </w:hyperlink>
      <w:r>
        <w:rPr>
          <w:rFonts w:ascii="arial" w:eastAsia="arial" w:hAnsi="arial" w:cs="arial"/>
          <w:color w:val="000000"/>
          <w:sz w:val="20"/>
          <w:lang w:val="en-US" w:eastAsia="en-US" w:bidi="ar-SA"/>
        </w:rPr>
        <w:t xml:space="preserve"> (S.C.) aff'd. in </w:t>
      </w:r>
      <w:hyperlink r:id="rId310" w:history="1">
        <w:r>
          <w:rPr>
            <w:rFonts w:ascii="arial" w:eastAsia="arial" w:hAnsi="arial" w:cs="arial"/>
            <w:i/>
            <w:color w:val="0077CC"/>
            <w:sz w:val="20"/>
            <w:u w:val="single"/>
            <w:shd w:val="clear" w:color="auto" w:fill="FFFFFF"/>
            <w:lang w:val="en-US" w:eastAsia="en-US" w:bidi="ar-SA"/>
          </w:rPr>
          <w:t>(1989), 40 B.C.L.R. (2d) 73</w:t>
        </w:r>
      </w:hyperlink>
      <w:r>
        <w:rPr>
          <w:rFonts w:ascii="arial" w:eastAsia="arial" w:hAnsi="arial" w:cs="arial"/>
          <w:color w:val="000000"/>
          <w:sz w:val="20"/>
          <w:lang w:val="en-US" w:eastAsia="en-US" w:bidi="ar-SA"/>
        </w:rPr>
        <w:t xml:space="preserve"> (C.A.). In his judgment, Shaw J. described the circumstances of the accident at page 326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part way along a straight stretch of roadway, approximately 800 metres in length. At the point where the collision took place there was approximately a four and one-half per cent grade, uphill for the car driven by Mr. Gill and downhill for the Greyhound bus. As the bus crested a hill at the start of the downgrade, the driver saw the Gill vehicle completing a left-hand curve, about to enter the 800 metre straight stretch of highway. The bus driver observed the Gill vehicle in difficulty. He saw it fishtail "a couple of times". The bus continued at its speed which was approximately thirty-five to forty miles per hour. The driver watched the Gill vehicle carefully and concluded that its driver had regained control as it proceeded up the 800 metre stretch of highway. When the car and the bus were forty to fifty metres apart, the car again fishtailed, coming partially onto the side of the road that was occupied by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apportioned liability one-third to the defendant bus driver. In doing so, he found that driving conditions were treacherously icy, that the bus driver was familiar with that portion of the highway and knew that, in such conditions, it was a common occurrence for oncoming cars to fishtail out of control. He found that the bus driver could easily have slowed his vehicle and moved to the right and that, had he done so, the collision would have been avoided, or the severity of it would have been significantly reduced. He found that "it should have been reasonably apparent [to the bus driver] that there was a real possibility of the Gill vehicle fishtailing as it came up the hill" (</w:t>
      </w:r>
      <w:r>
        <w:rPr>
          <w:rFonts w:ascii="arial" w:eastAsia="arial" w:hAnsi="arial" w:cs="arial"/>
          <w:b/>
          <w:i/>
          <w:color w:val="000000"/>
          <w:sz w:val="20"/>
          <w:lang w:val="en-US" w:eastAsia="en-US" w:bidi="ar-SA"/>
        </w:rPr>
        <w:t>Gill Estate</w:t>
      </w:r>
      <w:r>
        <w:rPr>
          <w:rFonts w:ascii="arial" w:eastAsia="arial" w:hAnsi="arial" w:cs="arial"/>
          <w:color w:val="000000"/>
          <w:sz w:val="20"/>
          <w:lang w:val="en-US" w:eastAsia="en-US" w:bidi="ar-SA"/>
        </w:rPr>
        <w:t xml:space="preserve"> at 331 of S.C. decision). In brief reasons, the Court of Appeal affirmed the judgment. It is important to note that the bus driver had 800 metres at a slow speed in which to react.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Dennis v. Gairdner</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2002 BCSC 1289</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5 B.C.L.R. (4th) 275</w:t>
        </w:r>
      </w:hyperlink>
      <w:r>
        <w:rPr>
          <w:rFonts w:ascii="arial" w:eastAsia="arial" w:hAnsi="arial" w:cs="arial"/>
          <w:color w:val="000000"/>
          <w:sz w:val="20"/>
          <w:lang w:val="en-US" w:eastAsia="en-US" w:bidi="ar-SA"/>
        </w:rPr>
        <w:t xml:space="preserve"> (S.C.), Chamberlist J. declined to apportion any liability to the "innocent" driver, Capot-Blanc. He distinguished </w:t>
      </w:r>
      <w:r>
        <w:rPr>
          <w:rFonts w:ascii="arial" w:eastAsia="arial" w:hAnsi="arial" w:cs="arial"/>
          <w:b/>
          <w:i/>
          <w:color w:val="000000"/>
          <w:sz w:val="20"/>
          <w:lang w:val="en-US" w:eastAsia="en-US" w:bidi="ar-SA"/>
        </w:rPr>
        <w:t>Gill Estate</w:t>
      </w:r>
      <w:r>
        <w:rPr>
          <w:rFonts w:ascii="arial" w:eastAsia="arial" w:hAnsi="arial" w:cs="arial"/>
          <w:color w:val="000000"/>
          <w:sz w:val="20"/>
          <w:lang w:val="en-US" w:eastAsia="en-US" w:bidi="ar-SA"/>
        </w:rPr>
        <w:t xml:space="preserve">. The facts in </w:t>
      </w:r>
      <w:r>
        <w:rPr>
          <w:rFonts w:ascii="arial" w:eastAsia="arial" w:hAnsi="arial" w:cs="arial"/>
          <w:b/>
          <w:i/>
          <w:color w:val="000000"/>
          <w:sz w:val="20"/>
          <w:lang w:val="en-US" w:eastAsia="en-US" w:bidi="ar-SA"/>
        </w:rPr>
        <w:t>Dennis</w:t>
      </w:r>
      <w:r>
        <w:rPr>
          <w:rFonts w:ascii="arial" w:eastAsia="arial" w:hAnsi="arial" w:cs="arial"/>
          <w:color w:val="000000"/>
          <w:sz w:val="20"/>
          <w:lang w:val="en-US" w:eastAsia="en-US" w:bidi="ar-SA"/>
        </w:rPr>
        <w:t>were somewhat similar to the case at bar. Chamberlist J. accepted the defendant's evidence concerning the circumstances of the accident. The defendant described her first observation of the oncoming truck as operating normally. The truck came into a curve and began to fishtail on ice. Then the driver regained control. Capot-Blanc slowed down, then suddenly, "out-of-the-blue" the truck shot straight across the road and hit her in a T-bone fashion. At para. 34, Chamberlist J.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doubt that she had sufficient time to stop but, of course, the issue is whether or not it was required of her to take that type of evasive action when there is nothing to indicate the vehicle would again lose control after the driver regained control of the pickup truck after the first loss of control. In this case, as I have indicated, there is no requirement at law for her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And at para. 38, he applied </w:t>
      </w:r>
      <w:r>
        <w:rPr>
          <w:rFonts w:ascii="arial" w:eastAsia="arial" w:hAnsi="arial" w:cs="arial"/>
          <w:b/>
          <w:i/>
          <w:color w:val="000000"/>
          <w:sz w:val="20"/>
          <w:lang w:val="en-US" w:eastAsia="en-US" w:bidi="ar-SA"/>
        </w:rPr>
        <w:t>Asleson</w:t>
      </w:r>
      <w:r>
        <w:rPr>
          <w:rFonts w:ascii="arial" w:eastAsia="arial" w:hAnsi="arial" w:cs="arial"/>
          <w:color w:val="000000"/>
          <w:sz w:val="20"/>
          <w:lang w:val="en-US" w:eastAsia="en-US" w:bidi="ar-SA"/>
        </w:rPr>
        <w:t xml:space="preserve"> and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words of Southin, J.A., this court does not require that Ms. Capot-Blanc drive with the very highest skill possible in the circumstances. It is sufficient that she noted the exigencies and took the evasive action of slowing down so that to adopt the words of Shaw J. in </w:t>
      </w:r>
      <w:r>
        <w:rPr>
          <w:rFonts w:ascii="arial" w:eastAsia="arial" w:hAnsi="arial" w:cs="arial"/>
          <w:i/>
          <w:color w:val="000000"/>
          <w:sz w:val="20"/>
          <w:lang w:val="en-US" w:eastAsia="en-US" w:bidi="ar-SA"/>
        </w:rPr>
        <w:t>Gill, supra</w:t>
      </w:r>
      <w:r>
        <w:rPr>
          <w:rFonts w:ascii="arial" w:eastAsia="arial" w:hAnsi="arial" w:cs="arial"/>
          <w:color w:val="000000"/>
          <w:sz w:val="20"/>
          <w:lang w:val="en-US" w:eastAsia="en-US" w:bidi="ar-SA"/>
        </w:rPr>
        <w:t>, she had left herself with flexibility to react. Regretfully, what happened was completely unforeseeable. There was no time to react and, in my view, Ms. Capot-Blanc cannot be faulted for that. Nor, can it be said that if she had stopped or slowed to such a point where she did not enter the curve where the accident occurred, that for some reason she breached the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the case of </w:t>
      </w:r>
      <w:r>
        <w:rPr>
          <w:rFonts w:ascii="arial" w:eastAsia="arial" w:hAnsi="arial" w:cs="arial"/>
          <w:b/>
          <w:i/>
          <w:color w:val="000000"/>
          <w:sz w:val="20"/>
          <w:lang w:val="en-US" w:eastAsia="en-US" w:bidi="ar-SA"/>
        </w:rPr>
        <w:t>Taktikos v. Defreitas et al</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2005 BCSC 512</w:t>
        </w:r>
      </w:hyperlink>
      <w:r>
        <w:rPr>
          <w:rFonts w:ascii="arial" w:eastAsia="arial" w:hAnsi="arial" w:cs="arial"/>
          <w:color w:val="000000"/>
          <w:sz w:val="20"/>
          <w:lang w:val="en-US" w:eastAsia="en-US" w:bidi="ar-SA"/>
        </w:rPr>
        <w:t>, the defendant alleged that the plaintiff "over-reacted" to the hazard posed by an unidentified driver. Gill J. declined to apportion any blame to the plaintiff and held at paras.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referred to a number of authorities dealing with situations in which drivers have faced emergencies which required evasive action. In my view, this is one of those cases. It is clear that a driver in such circumstances is not expected to exercise nice judgment or to possess extraordinary skill, presence of mind, poise or self-control.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March v. March</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[1992] B.C.J. No. 1251</w:t>
        </w:r>
      </w:hyperlink>
      <w:r>
        <w:rPr>
          <w:rFonts w:ascii="arial" w:eastAsia="arial" w:hAnsi="arial" w:cs="arial"/>
          <w:color w:val="000000"/>
          <w:sz w:val="20"/>
          <w:lang w:val="en-US" w:eastAsia="en-US" w:bidi="ar-SA"/>
        </w:rPr>
        <w:t xml:space="preserve"> (B.C.S.C.) Houghten J.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is set out in </w:t>
      </w:r>
      <w:r>
        <w:rPr>
          <w:rFonts w:ascii="arial" w:eastAsia="arial" w:hAnsi="arial" w:cs="arial"/>
          <w:i/>
          <w:color w:val="000000"/>
          <w:sz w:val="20"/>
          <w:lang w:val="en-US" w:eastAsia="en-US" w:bidi="ar-SA"/>
        </w:rPr>
        <w:t>Kenneth Van Zanten v. Hans Peter Bruhs and Lidia Garpal Neves</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[1991] B.C.J. No. 1045</w:t>
        </w:r>
      </w:hyperlink>
      <w:r>
        <w:rPr>
          <w:rFonts w:ascii="arial" w:eastAsia="arial" w:hAnsi="arial" w:cs="arial"/>
          <w:color w:val="000000"/>
          <w:sz w:val="20"/>
          <w:lang w:val="en-US" w:eastAsia="en-US" w:bidi="ar-SA"/>
        </w:rPr>
        <w:t xml:space="preserve">, New Westminster Registry C891913 April 30th, 1991 and in </w:t>
      </w:r>
      <w:r>
        <w:rPr>
          <w:rFonts w:ascii="arial" w:eastAsia="arial" w:hAnsi="arial" w:cs="arial"/>
          <w:i/>
          <w:color w:val="000000"/>
          <w:sz w:val="20"/>
          <w:lang w:val="en-US" w:eastAsia="en-US" w:bidi="ar-SA"/>
        </w:rPr>
        <w:t>Neufeld et al. v. Landry</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(1974), 55 D.L.R. (3d) 296</w:t>
        </w:r>
      </w:hyperlink>
      <w:r>
        <w:rPr>
          <w:rFonts w:ascii="arial" w:eastAsia="arial" w:hAnsi="arial" w:cs="arial"/>
          <w:color w:val="000000"/>
          <w:sz w:val="20"/>
          <w:lang w:val="en-US" w:eastAsia="en-US" w:bidi="ar-SA"/>
        </w:rPr>
        <w:t>. In the latter case, Freedman C.J.M. said at p. 298: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conduct of the plaintiff driver must be assessed in the light of the crisis that was looming up before her. If in the "agony of the moment" the evasive action she took may not have been as good as some other course of action she might have taken -- a doubtful matter at best -- we would not characterize her conduct as amounting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was the defendant who created the emergency which led to the accident. It does not lie in his mouth to be minutely critical of the reactive conduct of the plaintiff whose safety he has imperiled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these cases I have cited, I conclude that in this case I must consider the following questions in applying the legal principles set out above, to the facts of this case: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 prima facie liable for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perceive the defendant Graham's vehicle to be a hazard before the collision?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have any opportunity to take evasive action to avoid the perceived hazard?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take evasive action prior to the collision to avoid the hazard?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plaintiff's reaction or lack of reaction reasonable in the circumstances?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her reaction was not reasonable, would appropriate evasive action have avoided, or significantly reduced, the consequences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accident occurred on River Road, a two-lane country roadway that runs predominantly in an east and west direction. The road at the accident area is level and straight. The width of the road is approximately 7 metres, each lane being about 3.5 metres wide. The east and west lanes are separated by a double solid yellow centerline. Adjacent to the north and south sides of the road surface are narrow gravel shoulders that range from 0.5 to 1 metre in width. North of the gravel shoulder on the north side of the road is a grass ditch of variable width and about 1.05 metres deep. The impact area is clearly visible from distances of 125 metres east and west of the impact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Bhimji testified that when she first saw the Graham vehicle, it was fishtailing into her lane about three feet. She believes it fishtailed about twice prior to impact. She estimated that about four to five seconds elapsed between the time she first saw it until the collision. In response to her observations of the other vehicle, she testified that she took her foot off the accelerator and pressed down slightly on the brake pedal and steered to the right as much as she could. She estimated her own speed at about 60 kilometres per hour. She recalls steering to the right as much as she could and then, about a second and-a-half later, the impact occurred. She recalls saying, "Oh my God" when she first saw the other vehicle fishtailing. Then she recalls repeating that, "Oh my God, we're going to die" just before impact. She initially hesitated for a period of time, waiting to see what was going to happen, assuming the truck would regain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Bhimji's brother, Kalil Bhimji was a rear-seat passenger in her vehicle. He testified that the Graham vehicle fishtailed three to four feet into their lane. At his examination for discovery, he recalled the Graham vehicle fishtailed about two feet into their lane. He recalled the Graham vehicle fishtailing about twice. He does not recall his sister swerving hard to the right. His recollection of his sister's exclamation was, "Oh, my God, what do I .....", the statement being interrupted by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Graham recalls that her vehicle fishtailed about five times, or possibly more, before impact with the Bhimji vehicle. She recalls that the amplitude of her vehicle's fishtailing increased with each swerve. (This evidence is consistent with the opinion of the engineer, Toor.) She estimates the time between the first swerve, to impact, at five to seven seconds. She says that the furthest she crossed into the Bhimji lane of travel was two to three feet. Her speed was between 55 and 65 kilometres per hour. She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And when did you first realize there was going to be a collision?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About ten metres before it happened.</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And why is it you didn't realize there was going to be a collision until about ten metres before it happened?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Because when you're fishtailing, it's easy enough to hit the car as it is to go right past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Both parties retained reconstruction engineers. The plaintiff retained Mr. Toor. The defendant retained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Graham testified that the other vehicle was visible for 12 to 15 seconds before impact. Mr. Brown testified that her estimate could not be accurate and also that her estimate was far too long. Ms. Graham did not observe any change in direction of the Bhimji vehicle prior to impact. She also testified that she did not see the other vehicle until it was 50 metres away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purpose of the engineering evidence was to provide expert opinions to the court on the question of whether the plaintiff could have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difficulty faced by the engineers was the lack of hard physical evidence. Neither of them were able to examine the vehicles and, consequently, they both worked from photographs of the vehicle damage. There were no skid marks. The police took no measurements at the scene. Both engineers attended the scene several years after the accident. They prepared scale diagrams of the accident scene, depicting the pertinent measurements, location of impact, final resting positions and other important landmarks. Another difficulty faced by the engineers was the fact that the angle of the collision was close to 180 degrees. That is almost a side swipe. This fact makes speed calculations somewhat unreliable, at least according to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Brown emphasized in his testimony that the only fixed point the engineers know with certainty was the resting point of the Graham vehicle, because it came to rest up against a telephone pole. All other locations are based on photographs of the scene, the vehicles, and speed and time estimates of the two drivers. He testified that the collision damage could be used as a check to see if the speed estimates were reasonable. Mr. Brown testified that because of the lack of physical evidence, he could not verify if Ms. Bhimji's four to five second estimate was accurate. Mr. Brown testified that time or distance estimates, given by drivers, "may be clouded" by their perception of the impending collision. In other words, those estimates must be considered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Both experts agree, with some minor variations, on the point of impact and the angle of impact. Mr. Brown testified that his diagram, illustrating the point of impact on the extreme right hand edge of the pavement, was an estimate only. Mr. Toor also showed the point of impact at the extreme right hand edge of the pavement. The engineers were able to identify the point of impact from a police photograph, depicting a fluid spill, which would have occurred on impact. The Bhimji vehicle would have moved a very short distance between the time of impact and the actual spill. That distance would have been in a forward direction but, also, possibly somewhat sideways. The relevance of this evidence is that it is supportive of Ms. Bhimji's evidence, that she did take some evasive action by steering to the right. Mr. Toor identified a scuff mark depicted in the photograph taken by the police adjacent to the fluid spill. He says this is evidence that Ms. Bhimji steered hard to the right just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agree with Mr. Brown that the photograph is not clear enough evidence from which any firm conclusions should be drawn. The fact that Mr. Brown placed the Bhimji vehicle at the extreme edge of the pavement in his sketch seems to me evidence that, at the time he prepared his report, he was of the view that the point of impact was close to the edge of the pavement, although he resiled somewhat from this position at trial, indicating that the position was approximate only. I note that he depicted the Bhimji vehicle in the middle of the roadway prior to the impact. There is no way of telling with absolute certainty, but I am satisfied that the fluid spill is evidence that the point of impact was probably close to, or on the edge of the pavement. I, therefore, conclude that Ms. Bhimji did steer her vehicle away from the oncoming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argues that Ms. Bhimji should have either braked to a stop, or driven into the ditch, to avoid the oncoming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Brown testified that there was insufficient physical evidence for him to calculate, with confidence, the elapsed time of Ms. Bhimji's observations of the Graham vehicle. His "Accident Avoidance Analysis" calculations are based on Ms. Bhimji's observation that she saw the Graham vehicle for four to five seconds. He also assumed a speed of 60 kilometres per hour for the Bhimji vehicle. His calculations are, therefore, based on assumptions of both, given to him by counsel. Based on the assumptions he made, Ms. Bhimji had ample time to brake to a full stop if she had perceived the hazard at the first observation of Ms. Graham fishtailing, reacted and effectively braked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calculated that if her speed was 60 kilometres per hour and Ms. Graham's assumed speed was 65 kilometres per hour, and assuming also that Ms. Bhimji observed the Graham vehicle for four - five seconds before impact, at the onset of observation the vehicles were separated by 135 to 173 metres. The two vehicles were closing in on each other. Ms. Bhimji's vehicle would travel 18.3 metres in the time it would take for Ms. Bhimji to perceive and react to the hazard. Ms. Bhimji would then have 49 - 65 metres left to take avoidance action. If she chose to brake hard, she could stop in 20 metres. If she chose to brake moderately, she could stop in 35 metres. In either case she had, according to Mr. Brown, sufficient time to bring her vehicle to a stop after she first observed the fishtailing, oncoming vehicle. Mr. Brown also made some calculations, that she could have chosen to steer into the ditch. I agree with Mr. Toor that such a manoeuvre is not hazard avoidance, but rather it is hazard replacement. Given the appearance of the ditch, such a manoeuvre would have been a perilous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Assuming Mr. Brown's calculations are correct, Ms. Bhimji's vehicle was travelling at about 18 metres per second before impact.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therefore, said to consist of her failure to take steps to avoid the hazard in the last approximately 29 to 45 metres, or in the last approximately two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engineers agree that driver response consists of four stages: detection, identification, decision and response. Taking the calculation of average driver response time at the 50th percentile, Mr. Brown calculated the stopping distance just mentioned. Mr. Toor testified that, because the hazard was changing, that is fishtailing and then going back into its own lane, the perception response time would be longer, that is that the changing conditions lengthen the reaction time. Mr. Brown did not agree. Mr. Brown opined that the perception reaction time measures the identification of the hazard and that, in a dynamic process, the driver takes one or more evasive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Toor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the collision scene evidence indicates that the Bhimji vehicle operator likely moved the Bhimji vehicle toward the right (northern) edge of the road surface prior to impact. At impact with the Graham vehicle, the right edge of the Bhimji vehicle was approximately in-line or over the right edge of the paved road surface. The Bhimji vehicle likely could not have moved further to the right without exiting the paved road surface. If the movement to the right was in response to the Graham vehicle, then it is likely the Bhimji vehicle completed a perception/response process and implemented an evasive manoeuvre. However, the physical evidence also indicates that the Graham vehicle deviated towards the westbound lane just before impact. This final approach of the Graham vehicle would not have been evident 4 to 5 seconds before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tire marks in the south-side shoulder were about 17 to 26 metres west of the point of impact. Based on the calculated impact speed of 84 km/h, it would have taken the Graham vehicle about 0.7 to 1.1 seconds to reach the point of impact from the location of the observed tire marks. Thus, about 1 second prior to impact, the Graham vehicle was likely near the southern edge of the eastbound lane.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it may not be possible for a vehicle operator to predict the most appropriate evasive manoeuvre for a given situation. However, once the operator has made the choice, there must be a second phase of perception response process to implement or change the initial choice. The choice made by Ms. Bhimji was to move her vehicle to the right; this would have been a correct choice until the Graham vehicle deviated towards the westbound lane. This would have required Ms. Bhimji to undergo a secondary perception/response process to initiate a secondary evasive manoeuvre. Given the speeds of the vehicles, the location of the Graham vehicle's deviation and the point of impact, it is unlikely that Ms. Bhimji could have successfully implemented and executed a secondary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Bhimji's testimony is more supportive of Mr. Toor's analysis. The Graham vehicle was at first fishtailing only two to three feet into the Bhimji lane of travel. Ms. Bhimji did testify that she hesitated, not certain if Ms. Graham would regain control. That hesitation may have left her without sufficient time to brake, although I do conclude, as noted already, that she steered to the edge of the pavement. The evidence of the Graham tire mark on the south gravel shoulder of the east bound lane is good evidence that, 17 to 26 metres before impact, the Graham vehicle was heading away from the Bhimji vehicle, and then fishtailed back into Bhimji's line of travel about one second before impact. I agree with Mr. Toor that the perception reaction time, while not starting over again with each separate movement of the Graham vehicle, must be lengthened from the statistical average time for a driver to react. Mr. Brown's testimony, that the course the Graham vehicle was travelling towards the Bhimji vehicle, was unpredictable to Ms. Bhimji, is also supportive of a more expanded perception reaction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Brown testified that, even if Ms. Bhimji had braked and come to a stop within the calculated 25 to 45 metres before impact, it could not be predicted with certainty if doing so would have avoided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Toor calculates the speed of the Graham vehicle at 84 kilometres per hour and the Bhimji vehicle at 63 kilometres per hour. These speeds are somewhat higher than those assumed, but are corroborated by his computer analysis. Mr. Brown took a more conservative approach to the speed calculations, because the angle of vehicle impact is so shallow, that the computer program warns the calculation may be unreliable. Even taking Mr. Brown's more conservative approach, Ms. Bhimji had just over one second to respond to the last fishtail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turn now to consider the questions I earlier posed.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Is the defendant prima facie liable for 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answer to this question is - Yes.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Did the plaintiff perceive the defendant Graham's vehicle to be a hazard before the collision?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admits she perceived the Graham vehicle fishtailing before the collision.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Did the plaintiff have any opportunity to take evasive action to avoid the perceived hazard?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Based on the speed estimates of both engineers, Ms. Bhimji did have sufficient time to brake to a stop if she had chosen to do so, as soon as she saw the first indication of Ms. Graham's loss of vehicle control.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Did the plaintiff take evasive action prior to the collision to avoid the hazard?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already noted, I conclude that she did steer as far to the right as she could without leaving the pavement. There is no physical evidence that she braked. Her speed at impact was at least 60 kilometres per hour. If she had braked, that would mean her speed prior to observing the Graham vehicle was considerably faster. Kalil Bhimji does not recall her braking. The plaintiff has not proven, on a balance of probabilities, that she applied the brakes in an effective way prior to the impact.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Was the plaintiff's reaction or lack of reaction reasonable in the circumstances?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was faced with a vehicle fishtailing about 2 - 3 feet into her lane. She says that it fishtailed only twice. I conclude that she did hesitate before taking evasive action. The tire marks on the south side of the east bound lane are clear evidence that, about one - two seconds before impact, the Graham vehicle was heading away from her and then veered back towards her. The four to five second estimate is the plaintiff's best estimate of how much time she had. I do not consider that the defendant has proven that her hesitation, in the face of a changing hazard over the course of a few seconds, was unreasonable and a breach of the standard of care expected of a driver. By comparison, the driver in the </w:t>
      </w:r>
      <w:r>
        <w:rPr>
          <w:rFonts w:ascii="arial" w:eastAsia="arial" w:hAnsi="arial" w:cs="arial"/>
          <w:b/>
          <w:i/>
          <w:color w:val="000000"/>
          <w:sz w:val="20"/>
          <w:lang w:val="en-US" w:eastAsia="en-US" w:bidi="ar-SA"/>
        </w:rPr>
        <w:t>Gill Estate</w:t>
      </w:r>
      <w:r>
        <w:rPr>
          <w:rFonts w:ascii="arial" w:eastAsia="arial" w:hAnsi="arial" w:cs="arial"/>
          <w:color w:val="000000"/>
          <w:sz w:val="20"/>
          <w:lang w:val="en-US" w:eastAsia="en-US" w:bidi="ar-SA"/>
        </w:rPr>
        <w:t xml:space="preserve"> case (discussed above) was faced with a road that was treacherous, the bus was travelling only 35 - 40 miles per hour, and the bus driver had ample opportunity to carefully watch and react to the hazard unfolding in front of him. I conclude that the defendant has not proven that Ms. Bhimji's failure to stop the vehicle was negligent.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If her reaction was not reasonable, would appropriate evasive action have avoided, or significantly reduced the consequences of, the collision?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Even if Ms. Bhimji could be said to be contributorily negligent, Mr. Brown testified that it was not possible to know if braking would have avoided the collision. There was no evidence as to the likely damage or injuries to the occupants of the car if they had been hit while stationary, although one could reasonably assume that the force of the impact would be less. I conclude that the defendant did not prove that Ms. Bhimji's braking would have avoided, or significantly reduced, 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Having concluded that the plaintiff was not contributorily negligent, I order that the defendants are liable to the plaintiff and for the plaintiff's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Costs may be spoken to at the conclusion of the damage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Bob v. Bellerose, [2002] B.C.J. No. 398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Lamperson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28364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B.C.L.R. (3d) 384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112 A.C.W.S. (3d) 1067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Bradley Gerald Bob, plaintiff, and Joseph Douglas Bellerose,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2" w:name="Keywords_11"/>
      <w:bookmarkEnd w:id="92"/>
      <w:r>
        <w:rPr>
          <w:rFonts w:ascii="arial" w:eastAsia="arial" w:hAnsi="arial" w:cs="arial"/>
          <w:b/>
          <w:color w:val="000000"/>
          <w:sz w:val="20"/>
          <w:lang w:val="en-US" w:eastAsia="en-US" w:bidi="ar-SA"/>
        </w:rPr>
        <w:t>Damages — Limits of compensatory damages — Aggravation — Aggravated damages, assault and battery.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3" w:name="Case Summary_11"/>
            <w:bookmarkEnd w:id="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plaintiff Bob for a ruling that the aggravated damages awarded were not subsumed in the upper limit for non- pecuniary damages, and for an order for increased costs. The plaintiff was injured when the defendant Bellerose hijacked his motor vehicle. The defendant admitted liability. The jury awarded $500,000 non-pecuniary damages for pain, suffering and loss of enjoyment of life, and $75,000 for aggravated damages. Counsel agreed that the non-pecuniary damages had to be reduced to comply with the cap imposed by the Supreme Court of Canada. The plaintiff sought increased costs because the defendant did not abandon his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timely manner.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4" w:name="Holdings of Court_10"/>
            <w:bookmarkEnd w:id="94"/>
            <w:r>
              <w:rPr>
                <w:rFonts w:ascii="arial" w:eastAsia="arial" w:hAnsi="arial" w:cs="arial"/>
                <w:color w:val="000000"/>
                <w:sz w:val="20"/>
                <w:lang w:val="en-US" w:eastAsia="en-US" w:bidi="ar-SA"/>
              </w:rPr>
              <w:t>HELD: Application regarding aggravated damages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Application regarding increased costs dismissed. The upper limit of non-pecuniary damages did not apply to the aggravated damages. The cap was imposed for policy reasons that were not meant to apply to all forms of damages. The aggravated damages flowed from the exceptional circumstances.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based on pre-trial information obtained by the defendant.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5" w:name="Counsel_11"/>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M.L. Sadden, for the plaintiff. James A. Horne, Q.C.,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6" w:name="Judgment_11"/>
      <w:bookmarkEnd w:id="96"/>
      <w:r>
        <w:pict>
          <v:line id="_x0000_s1087" style="position:absolute;z-index:2517729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7" w:name="LAMPERSON J."/>
            <w:bookmarkEnd w:id="97"/>
            <w:r>
              <w:rPr>
                <w:rFonts w:ascii="arial" w:eastAsia="arial" w:hAnsi="arial" w:cs="arial"/>
                <w:b/>
                <w:color w:val="000000"/>
                <w:sz w:val="30"/>
                <w:lang w:val="en-US" w:eastAsia="en-US" w:bidi="ar-SA"/>
              </w:rPr>
              <w:t>LAMPERSON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the following:</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ruling that aggravated damages are not subject to the rough upper limit for non-pecuniary damage awards established by the Supreme Court of Canada in what is known as the trilogy (Andrews v. Grand &amp; Toy Alberta Ltd., </w:t>
      </w:r>
      <w:hyperlink r:id="rId22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Thornton v. School Dist. No. 57 (Prince George), </w:t>
      </w:r>
      <w:hyperlink r:id="rId217"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Arnold v. Teno, </w:t>
      </w:r>
      <w:hyperlink r:id="rId323"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was badly injured due to being dragged under his van when the defendant highjacked it. Although liability was admitted, the defendant alleged that the plaintiff was contributorily negligent. At the conclusion of the evidence, but before counsel addressed the jury, I ruled that there was no evidentiary basis for leaving the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questions asked of the jury together with the answers are as follows:</w:t>
      </w:r>
      <w:r>
        <w:rPr>
          <w:rFonts w:ascii="arial" w:eastAsia="arial" w:hAnsi="arial" w:cs="arial"/>
          <w:sz w:val="20"/>
          <w:lang w:val="en-US" w:eastAsia="en-US" w:bidi="ar-SA"/>
        </w:rPr>
        <w:cr/>
      </w:r>
    </w:p>
    <w:p>
      <w:pPr>
        <w:spacing w:before="120" w:line="260" w:lineRule="atLeast"/>
        <w:ind w:left="360"/>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Non-Pecuniary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625"/>
        <w:gridCol w:w="7193"/>
        <w:gridCol w:w="1564"/>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Pain injury, suffering and loss of enjoyment of life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3"/>
        <w:gridCol w:w="730"/>
        <w:gridCol w:w="5004"/>
        <w:gridCol w:w="3649"/>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Aggravated Damages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$ 75,000</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6359"/>
        <w:gridCol w:w="3023"/>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2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Amount of Non-Pecuniary Loss.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$ 575,000</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625"/>
        <w:gridCol w:w="4691"/>
        <w:gridCol w:w="4066"/>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$13,183.17</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730"/>
        <w:gridCol w:w="7088"/>
        <w:gridCol w:w="1564"/>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696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 from April 18, 1999 until today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$130,000</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834"/>
        <w:gridCol w:w="5733"/>
        <w:gridCol w:w="2815"/>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$408,000</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730"/>
        <w:gridCol w:w="5733"/>
        <w:gridCol w:w="2919"/>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Reduction in Value of Pension</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$ 6,200</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625"/>
        <w:gridCol w:w="5838"/>
        <w:gridCol w:w="2919"/>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Health Benefits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$ 1,900</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3"/>
        <w:gridCol w:w="730"/>
        <w:gridCol w:w="5004"/>
        <w:gridCol w:w="3649"/>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$ 31,000</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5837"/>
        <w:gridCol w:w="3545"/>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Amount of Pecuniary Loss</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$ 590,283.17</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4"/>
        <w:gridCol w:w="7297"/>
        <w:gridCol w:w="2085"/>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 of (a) Non-Pecuniary Loss and (b) Pecuniary Loss)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$1,165,283.17</w:t>
            </w:r>
          </w:p>
        </w:tc>
        <w:tc>
          <w:tcPr>
            <w:tcW w:w="20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agree that the $500,000 jury award for pain, injury and suffering must be reduced to $281,000 in order for it to comply with the cap imposed by the trilogy. However, they do not agree on whether the $75,000 aggravated damage award is subsumed by the upper limit. The law in this regard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Supreme Court of Canada imposed the cap on non-pecuniary damage awards in personal injury cases for policy reasons on the basis that the plaintiff's proven losses and future care costs are covered by the various pecuniary damage awards. Hence non-pecuniary damages for personal injury are awarded only to provide plaintiffs reasonable solace for their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Hill v. Church of Scientology of Toronto </w:t>
      </w:r>
      <w:hyperlink r:id="rId150" w:history="1">
        <w:r>
          <w:rPr>
            <w:rFonts w:ascii="arial" w:eastAsia="arial" w:hAnsi="arial" w:cs="arial"/>
            <w:i/>
            <w:color w:val="0077CC"/>
            <w:sz w:val="20"/>
            <w:u w:val="single"/>
            <w:shd w:val="clear" w:color="auto" w:fill="FFFFFF"/>
            <w:lang w:val="en-US" w:eastAsia="en-US" w:bidi="ar-SA"/>
          </w:rPr>
          <w:t>(1995), 126 D.L.R. (4th) 129</w:t>
        </w:r>
      </w:hyperlink>
      <w:r>
        <w:rPr>
          <w:rFonts w:ascii="arial" w:eastAsia="arial" w:hAnsi="arial" w:cs="arial"/>
          <w:color w:val="000000"/>
          <w:sz w:val="20"/>
          <w:lang w:val="en-US" w:eastAsia="en-US" w:bidi="ar-SA"/>
        </w:rPr>
        <w:t xml:space="preserve"> the Supreme Court of Canada decided that the cap does not apply to defamation cases because there is no policy reason for a cap and because the bulk of the compensation for such a wrong flows from the non-pecuniary award. To use the words of Cory J. at p. 177: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 for pecuniary loss are rarely claimed and often exceedingly difficult to prove. Rather, the whole basis for recovery for loss of reputation usually lies in the general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Graves J. of the Manitoba Court of Queen's Bench in K.L.B. v. K.E.B. </w:t>
      </w:r>
      <w:hyperlink r:id="rId324" w:history="1">
        <w:r>
          <w:rPr>
            <w:rFonts w:ascii="arial" w:eastAsia="arial" w:hAnsi="arial" w:cs="arial"/>
            <w:i/>
            <w:color w:val="0077CC"/>
            <w:sz w:val="20"/>
            <w:u w:val="single"/>
            <w:shd w:val="clear" w:color="auto" w:fill="FFFFFF"/>
            <w:lang w:val="en-US" w:eastAsia="en-US" w:bidi="ar-SA"/>
          </w:rPr>
          <w:t>(1991), 71 Man R. (2d) 265</w:t>
        </w:r>
      </w:hyperlink>
      <w:r>
        <w:rPr>
          <w:rFonts w:ascii="arial" w:eastAsia="arial" w:hAnsi="arial" w:cs="arial"/>
          <w:color w:val="000000"/>
          <w:sz w:val="20"/>
          <w:lang w:val="en-US" w:eastAsia="en-US" w:bidi="ar-SA"/>
        </w:rPr>
        <w:t>, a sexual assault case, stated at p. 270: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Supreme Court in the "trilogy" did not specifically consider whether aggravated damages should be limited by the then cap. However, aggravated damages may be given for intangible injuries arising out of distress, insult or humiliation (Nolan v. Lestrat, supra, p. 10). I consider, having regard to the aggravated damages kinship to the concept of solatium, that they are in the nature of non-pecuniary damages and thus to be included in and not in addition to the trilogy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This view is not shared by the British Columbia Court of Appeal which in S.Y. v. F.G.C. </w:t>
      </w:r>
      <w:hyperlink r:id="rId325"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concluded that the rough upper limit on compensatory damages is not appropriate in claims for intentional torts of a quasi-criminal nature such as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None of the foregoing cases are directly on point since they do not pertain to motor vehicle accident cases. They do, however, demonstrate that a distinction should be drawn between simple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an intentional tort. In this case although the defendant may not have intended to drag the plaintiff under the van he did so while committing an intentional tort, namely highjacking the van. That no doubt was one of the reasons why the jury awarded the plaintiff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Aggravated damages although a species of non-pecuniary damages are generally only an issue where the defendants tortious conduct included some element that went beyond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that sense aggravated damages although not punitive are different from ordinary non-pecuniary damages that flow from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Aggravated damages are meant to give the plaintiff some extra measure of balm for the manner in which the harm was inflicted.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seems to be no logical reason why a plaintiff should be deprived of aggravated damages because his injuries resulted in a general damage award so high that it is capped by the trilogy. If two persons suffer catastrophic injuries, one as a result of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other because of some additional reprehensible conduct on the part of the defendant it seems unjust that their non-pecuniary damage awards should be identical because of the cap. The cap imposed by the trilogy was for policy reasons that were not meant to apply to all forms of damages flowing from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Andrews v. Grand &amp; Toy Alberta Ltd., supra, Dickson J. as he then was said at p. 265: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adopt as the appropriate award in the case of a young adult quadriplegic like Andrews the amount of $100,000. Save in exceptional circumstances this should be regarded as an upper limit of non-pecuniary loss in cases of this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opinion the aggravated damages here flowed from exceptional circumstances. Thus the upper limit of non-pecuniary damages should not apply. I find that the aggravated damages are in this case an add-on to the other non-pecuniary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seeks increased costs because the defendant failed to abandon 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a timely manner. According to the plaintiff countering this allegation consumed extra trial time and added substantially to the plaintiff's legal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Two requirements must be met before a court can award increased costs.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significant disparity between the normal court costs and 50% of the actual costs incurred.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some extraordinary factor that makes it unfair not to award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satisfies me that the first requirement has been met in that the costs incurred by the plaintiff far exceed the ordinary court costs that he is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With respect to the second requirement it must be said that this was a straightforward case. Although I found in the end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withdrawn from the jury, the allegation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based on pre-trial information that the defendant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Consequently, the plaintiff's application for increased costs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LAMPERSON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Braid Estate v. Whistler River Adventures Ltd., [2000] B.C.J. No. 2442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Dorgan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5 and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C986198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2442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1740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650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Jeffrey Thomas Braid, the Executor of the Estate of Marjorie Mae Braid, deceased, plaintiff, and Whistler River Adventures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8" w:name="Keywords_12"/>
      <w:bookmarkEnd w:id="98"/>
      <w:r>
        <w:rPr>
          <w:rFonts w:ascii="arial" w:eastAsia="arial" w:hAnsi="arial" w:cs="arial"/>
          <w:b/>
          <w:color w:val="000000"/>
          <w:sz w:val="20"/>
          <w:lang w:val="en-US" w:eastAsia="en-US" w:bidi="ar-SA"/>
        </w:rPr>
        <w:t>Practice — Dismissal of action — Application or motion for dismissal — Evidence — Pleadings — Amendment of pleadings - - Statement of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9" w:name="Case Summary_12"/>
            <w:bookmarkEnd w:id="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Whistler River Adventures for dismissal of the action. Application by the plaintiff Braid to amend the statement of claim to allege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Braid sued Whistler for damages arising from the death of his wife Marjorie while rafting. In June 1998, he and Marjorie went river rafting with Whistler. Prior to the adventure, each rafter signed a release agreement. They were given safety briefing, including a discussion of the risks of being thrown from the raft and the various hazards, including the danger of submerged logs. At one point, the raft approached a log and collided with it. Marjorie fell from the raft and drowned after being trapped beneath the log. Whistler assessed the river before each rafting season to locate any hazards. The log in question was resting on a gravel bar within the rafting course and took up part of the river's width. Whistler admitted that it allowed the log to protrude into the river and that it caused Marjorie's death. It did not view the log as a significant enough hazard to remove it from the gravel bed. Whistler had taken five trips past the log without incident.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0" w:name="Holdings of Court_11"/>
            <w:bookmarkEnd w:id="100"/>
            <w:r>
              <w:rPr>
                <w:rFonts w:ascii="arial" w:eastAsia="arial" w:hAnsi="arial" w:cs="arial"/>
                <w:color w:val="000000"/>
                <w:sz w:val="20"/>
                <w:lang w:val="en-US" w:eastAsia="en-US" w:bidi="ar-SA"/>
              </w:rPr>
              <w:t>HELD: Whistler's application dismissed and Braid's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could not be said that the proposed amendment to the statement of claim disclosed no reasonable cause of action or that the proposed pleading was clearly and obviously invalid. There was a conflict in the evidence obtained to date. It would be unjust to decide the matter summarily. Braid was entitled to proceed to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1" w:name="Legislation Cited_10"/>
      <w:bookmarkEnd w:id="1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0"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24(1),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333" w:history="1">
        <w:r>
          <w:rPr>
            <w:rFonts w:ascii="arial" w:eastAsia="arial" w:hAnsi="arial" w:cs="arial"/>
            <w:i/>
            <w:color w:val="0077CC"/>
            <w:sz w:val="20"/>
            <w:u w:val="single"/>
            <w:shd w:val="clear" w:color="auto" w:fill="FFFFFF"/>
            <w:lang w:val="en-US" w:eastAsia="en-US" w:bidi="ar-SA"/>
          </w:rPr>
          <w:t>R.S.B.C. 1996, c. 337, ss. 1</w:t>
        </w:r>
      </w:hyperlink>
      <w:r>
        <w:rPr>
          <w:rFonts w:ascii="arial" w:eastAsia="arial" w:hAnsi="arial" w:cs="arial"/>
          <w:color w:val="000000"/>
          <w:sz w:val="20"/>
          <w:lang w:val="en-US" w:eastAsia="en-US" w:bidi="ar-SA"/>
        </w:rPr>
        <w:t>, 1(b), 3(1), 4(1), 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2" w:name="Counsel_12"/>
      <w:bookmarkEnd w:id="1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Daniel Le Dressay, for the plaintiff. Robert B. Kennedy and Moira C. Wong,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2"/>
      <w:bookmarkEnd w:id="103"/>
      <w:r>
        <w:pict>
          <v:line id="_x0000_s1092"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DORGAN J."/>
            <w:bookmarkEnd w:id="104"/>
            <w:r>
              <w:rPr>
                <w:rFonts w:ascii="arial" w:eastAsia="arial" w:hAnsi="arial" w:cs="arial"/>
                <w:b/>
                <w:color w:val="000000"/>
                <w:sz w:val="30"/>
                <w:lang w:val="en-US" w:eastAsia="en-US" w:bidi="ar-SA"/>
              </w:rPr>
              <w:t>DORGAN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June 13, 1998, Jeffrey and Marjorie Braid went rafting on the Birkenhead River. The group river rafting day trip was organized by the defendant, Whistler River Adventures Ltd. Tragically, Ms. Braid died on the trip. Her husband, the plaintiff, as executor of her estate claims damages under the 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The following motions are before the court:</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motion dated May 17, 2000, for dismissal of the plaintiff's action pursuant to Rule 18A and Rule 57.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motion dated July 9, 2000, to amend the statement of claim pursuant to Rule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essence of the defendant's application is that the release signed by Ms. Braid prior to the trip is a complete defence to the action, so the plaintiff's claim could be dismissed. The essence of the plaintiff's application is that the defendant was grossly negligent, and that aggravated and punitive damages should follow. Further, the plaintiff asserts that the defendant was an "occupier" within the meaning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and that the defendant breached the duty of care owed under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taken out a jury notice and argues the action is unsuitable for a summary trial. The defendant opposes the substance of the amendments sought by the plaintiff, arguing that the defendant does not fall within the meaning of "occupier" under the Act, and that there is no evidentiary basis to support the "reckless and grossly negligent" assertion proposed, and the damage claims which flow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the applications were heard the trial was set for November 6, 2000. The parties subsequently adjourned the trial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Many of the facts are not in dispute. On June 11, 1998, Mr. and Ms. Braid attended a conference at Whistler, B.C. connected with the carpeting and floor-covering business Mr. Braid operates in Saskatoon, Saskatchewan. Recreational activities were arranged as part of the conference, one of which was white-water river rafting operated by the defendant. The defendant runs commercial rafting trips down several rivers in the Whistler area, including the Birkenhead.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Braid, a 47 year old physiotherapist, had previously gone on a white-water rafting trip in Jasper, Alberta, while attending there with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13, 1998, 22 conference attendees, including Mr. &amp; Ms. Braid went river rafting with the defendant. The raft the Braids travelled on collided with a log, Ms. Braid was thrown from the raft, was trapped beneath the log, and drowned.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company, formed in 1985, provides guided river rafting trips in the Whistler area. The defendant, along with other commercial rafting companies and private rafters, use the Birkenhead river. On June 13, 1998, Mr. Bunbury, a certified trip leader employed by the defendant, guided the raft on which the Braids and 5 other guests travelled. He had rafted the river approximately 250 times without significant incident before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1:15 p.m. on June 13, 1998, the defendant's employee, Larry Rothe, picked up the rafters to transport them to the river. Each was given a one-page release agreement. Signing the waiver was a pre-condition to participating in the tour and all were asked to read and sign it. Ms. Braid signed the waiver agreement but failed to initial it as required. The defendant's employee, Mr. Clark, gave Ms. Braid the form again and she initialled it. It is not disputed that Ms. Braid signed and initialled the form. At the top of the page is a box, highlighted in yellow and outlined in red, where Ms. Braid signed her initials. It reads: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 OF LIABILITY, WAIVER OF CLAIMS,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ASSUMPTION OF RISKS AND INDEMNITY AGREEMENT.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BY SIGNING THIS DOCUMENT YOU WILL WAIVE CERTAIN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LEGAL RIGHTS INCLUDING THE RIGHT TO SUE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PLEASE READ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agreement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aware that jet boating and river rafting involve many risks, dangers and hazards including, but not limited to: ... the overturning or upsetting of the boat or raft; ... falling from the boat or raft while on the river; impact or collision with rocks, trees, logs, deadfall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agreement contains another box, highlighted in yellow and outlined in red stating that the signor agrees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WAIVE ANY AND ALL CLAIMS that I have or may in the future have against THE OPERATORS ... AND TO RELEASE THE RELEASEES from any and all liability for any loss, damage, expense or injury including death that I may suffer, or that my next of kin may suffer as a result of my participation in the Activities, DUE TO ANY CAUSE WHATSOEVER,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the end of the form the agreement states: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Agreement shall be effective and binding upon my heirs, next of kin, executors, administrators, assigns and representatives, in the event of my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group was transported to the "put-in" location, that is, the place on the river where the rafts begin the trip. Mr. Rothe and Mr. Bunbury each gave the group a safety briefing, which included a discussion of the risks of being thrown from the raft and the various hazards including the danger of submerged logs. Ms. Braid was present for these briefings.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group then began the run down the river. As part of the adventure, the guests, as "crew", were required to paddle from time to time, on instructions from their guide. Mr. Bunbury deposes that he assessed the paddlers as strong and capable. When the raft approached the log in question, Mr. Bunbury instructed the paddlers to avoid it but he found that they did not respond as strongly and quickly as they had earlier in the trip. The raft collided with the log, Ms. Braid fell from the raft and drowned after being trapped beneath the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evidence is that since river rafting is an inherently hazardous activity, with fallen trees and fast-flowing waters being part of the challenge, it assesses the river before each rafting season to locate any hazards. Further, the evidence of the defendant is that it does ongoing assessments throughout the season. As part of that ongoing assessment, on June 9, 1998 the defendant became aware that two fallen trees had drifted onto a gravel bar, making navigation more difficult in the more technical section of the course. Ian Bunbury, the defendant's employee, reviewed the logs and decided that they were an unacceptable hazard. On June 10, 1998, he made cuts in the logs causing them to move down the river. One log moved beyond the "take-out" point, that is, the location on the river where the trip ends and the rafts are taken out of the river. The other came to rest on a gravel bar within the rafting course. This log took up between 1/4 and 1/3 of the river's width. The defendant acknowledged that it allowed the log to protrude into the Birkenhead, and that the log eventually caused Ms. Braid's death. The defendant also acknowledged that it did view the log as a hazard but that, in its opinion, the log was not a significant enough hazard to remove from the gravel bed. The defendant clearly considered whether or not to remove the log, and decided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Bunbury also gave evidence that it is not practical to remove every hazard from the course, that it would have been a "logging mission" and would have taken a significant amount of work to remove the log in question. According to Mr. Bunbury, it would have taken four of the defendant's employees half a day to remove the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log moved to this location and before the tragic accident on June 13, 1998, the defendant took 5 trips (a total of 15 rafts) down the river, past the log, without incident. Mr. Ridington, owner of another rafting company, rafted down the river past the log on June 10, 1998, and while he had to manoeuvre around the log, he stated that it was not difficult, and that it was a typical obstacle for this kind of rafting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following issues emerge: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plaintiff be permitted to amend its statement of claim to:</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 liability of the defendant under the Occupier's Liability Act;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allege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that the plaintiff is entitled to aggravated and punitive damages.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appropriate to resolve this action by a summary trial brought under Rule 18A?</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appropriate to resolve this action through a summary trial, what is the correct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While the applications were not argued in this order, I propose to deal with the application to amend first. I do so because, even if the release can be found in these circumstances to constitute a complete defence to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cannot be construed as such to the proposed claim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outcome of the proposed amendments impacts on the second and third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Should the plaintiff be permitted to amend its statement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McNaughton v. Baker </w:t>
      </w:r>
      <w:hyperlink r:id="rId334"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the Court of Appeal considered the issue of when a court should agree to accept a proposed amendment. McLachlin J.A. (as she then was) stated at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courts will strike out a pleading or refuse an amendment on the ground that it discloses no reasonable cause of action or defence the case must be perfectly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Citing Minnes v. Minnes (1962), 39 W.W.R. 112 (B.C.C.A.) McLachlin J.A. also stated at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power to strike out a pleading on the ground that it discloses no reasonable cause of action "should be exercised only where the case is absolutely beyond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Supreme Court of Canada in Pasco v. Canadian National Railway </w:t>
      </w:r>
      <w:hyperlink r:id="rId335" w:history="1">
        <w:r>
          <w:rPr>
            <w:rFonts w:ascii="arial" w:eastAsia="arial" w:hAnsi="arial" w:cs="arial"/>
            <w:i/>
            <w:color w:val="0077CC"/>
            <w:sz w:val="20"/>
            <w:u w:val="single"/>
            <w:shd w:val="clear" w:color="auto" w:fill="FFFFFF"/>
            <w:lang w:val="en-US" w:eastAsia="en-US" w:bidi="ar-SA"/>
          </w:rPr>
          <w:t>(1990), 68 D.L.R. (4th) 478</w:t>
        </w:r>
      </w:hyperlink>
      <w:r>
        <w:rPr>
          <w:rFonts w:ascii="arial" w:eastAsia="arial" w:hAnsi="arial" w:cs="arial"/>
          <w:color w:val="000000"/>
          <w:sz w:val="20"/>
          <w:lang w:val="en-US" w:eastAsia="en-US" w:bidi="ar-SA"/>
        </w:rPr>
        <w:t>, accepted McLachlin J.A.'s reasoning in McNaughton and at 479-480 held that pleadings should not be rejected unless "they are clearly and obviously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does not need to demonstrate the likely success of his argument. While the court can review the evidence to determine if there is any evidence to support the claim, the court need not review and weigh the evidence to determine the likely success or failure of the claim; see Wilkes v. Maung, </w:t>
      </w:r>
      <w:hyperlink r:id="rId336" w:history="1">
        <w:r>
          <w:rPr>
            <w:rFonts w:ascii="arial" w:eastAsia="arial" w:hAnsi="arial" w:cs="arial"/>
            <w:i/>
            <w:color w:val="0077CC"/>
            <w:sz w:val="20"/>
            <w:u w:val="single"/>
            <w:shd w:val="clear" w:color="auto" w:fill="FFFFFF"/>
            <w:lang w:val="en-US" w:eastAsia="en-US" w:bidi="ar-SA"/>
          </w:rPr>
          <w:t>[1999] B.C.J. No. 467</w:t>
        </w:r>
      </w:hyperlink>
      <w:r>
        <w:rPr>
          <w:rFonts w:ascii="arial" w:eastAsia="arial" w:hAnsi="arial" w:cs="arial"/>
          <w:color w:val="000000"/>
          <w:sz w:val="20"/>
          <w:lang w:val="en-US" w:eastAsia="en-US" w:bidi="ar-SA"/>
        </w:rPr>
        <w:t xml:space="preserve"> (B.C.S.C. Chambers); Victoria Grey Metro Trust Co. v. Fort Gary Trust Co. </w:t>
      </w:r>
      <w:hyperlink r:id="rId337" w:history="1">
        <w:r>
          <w:rPr>
            <w:rFonts w:ascii="arial" w:eastAsia="arial" w:hAnsi="arial" w:cs="arial"/>
            <w:i/>
            <w:color w:val="0077CC"/>
            <w:sz w:val="20"/>
            <w:u w:val="single"/>
            <w:shd w:val="clear" w:color="auto" w:fill="FFFFFF"/>
            <w:lang w:val="en-US" w:eastAsia="en-US" w:bidi="ar-SA"/>
          </w:rPr>
          <w:t>(1982), 30 B.C.L.R. (2d) 50</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consents to the proposed amendments that add three lines to paragraph 10 of the proposed amended statement of claim (which are not underlined), and to the addition of paragraphs 13(k) and 13(l) of the proposed amended statement of claim.</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proposed amendments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submits that the defendant is an "occupier" under the Occupiers Liability Act. Section 1 defines "occupier" as a person who:</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defendant is an occupier under the Act, it is bound by the duty set out in s.3(1):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 on the premises ...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the plain reading of section 1, I find that the defendant is not an "occupier" under the Act. The "premises" in this situation must be, or at least include, the Birkenhead River. The Act's definition of "premises" does not specifically include waterways. But, even assuming the Birkenhead River or the portion of it used by the defendant in its commercial ventures could be brought within that definition, the defendant clearly did not have physical possession of the river. Further, subsection (b) of section 1 requires all the elements listed for a person to be an occupier. The defendant only had control over some of the activities on the river and clearly could not control who used or entered the river, since its use was open to the general public. At most, the defendant had limited control over who it allowed to use the river. In any event, section 9 states the Act does not apply to:</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under a contract for the hire of ... any vehicle, vessel, aircraft or other means of transport.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Given that the defendant was under contract to transport the plaintiff in a vessel, I find that the Act does not apply as a result of the provisions of section 9. Having so found, there is no need to consider the applicability of section 4(1)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evidence before me, I am satisfied that it is perfectly clear the proposed pleading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application by the plaintiff to amend, to plead the Occupiers Liability Act, as contained in paragraph 17 of the proposed amended statement of claim, is dismissed.</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Allegation of gross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Walker v. Coates, </w:t>
      </w:r>
      <w:hyperlink r:id="rId338" w:history="1">
        <w:r>
          <w:rPr>
            <w:rFonts w:ascii="arial" w:eastAsia="arial" w:hAnsi="arial" w:cs="arial"/>
            <w:i/>
            <w:color w:val="0077CC"/>
            <w:sz w:val="20"/>
            <w:u w:val="single"/>
            <w:shd w:val="clear" w:color="auto" w:fill="FFFFFF"/>
            <w:lang w:val="en-US" w:eastAsia="en-US" w:bidi="ar-SA"/>
          </w:rPr>
          <w:t>[1968] S.C.R. 599</w:t>
        </w:r>
      </w:hyperlink>
      <w:r>
        <w:rPr>
          <w:rFonts w:ascii="arial" w:eastAsia="arial" w:hAnsi="arial" w:cs="arial"/>
          <w:color w:val="000000"/>
          <w:sz w:val="20"/>
          <w:lang w:val="en-US" w:eastAsia="en-US" w:bidi="ar-SA"/>
        </w:rPr>
        <w:t xml:space="preserve"> at 601, Ritchie J. cites the decision of McCulloch v. Murray, </w:t>
      </w:r>
      <w:hyperlink r:id="rId339" w:history="1">
        <w:r>
          <w:rPr>
            <w:rFonts w:ascii="arial" w:eastAsia="arial" w:hAnsi="arial" w:cs="arial"/>
            <w:i/>
            <w:color w:val="0077CC"/>
            <w:sz w:val="20"/>
            <w:u w:val="single"/>
            <w:shd w:val="clear" w:color="auto" w:fill="FFFFFF"/>
            <w:lang w:val="en-US" w:eastAsia="en-US" w:bidi="ar-SA"/>
          </w:rPr>
          <w:t>[1942] S.C.R. 141</w:t>
        </w:r>
      </w:hyperlink>
      <w:r>
        <w:rPr>
          <w:rFonts w:ascii="arial" w:eastAsia="arial" w:hAnsi="arial" w:cs="arial"/>
          <w:color w:val="000000"/>
          <w:sz w:val="20"/>
          <w:lang w:val="en-US" w:eastAsia="en-US" w:bidi="ar-SA"/>
        </w:rPr>
        <w:t xml:space="preserve">, where Duff C.J.C. defined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these phrases,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wilful misconduct, imply conduct in which, if there is not conscious wrongdoing, there is very marked departure from the standards by which responsible and competent people in charge of motor cars habitually govern themselves. [emphasis added by Ritchie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Doern v. Phillips Estate </w:t>
      </w:r>
      <w:hyperlink r:id="rId340"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(B.C.S.C.) affirmed </w:t>
      </w:r>
      <w:hyperlink r:id="rId341"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(B.C.C.A.), Kirkpatrick J. reiterated the test set out in Walker, and went on to state at 377: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these definitions, it is apparent that the definition is not rigid, but rather reflects the degree to which the conduct falls below the appropriate standard of care. Therefore, in situations where the standard of care is very high ... the standard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arguably anything less than ordinary care, whereas particularly egregious conduct may be required where the standard of care is low or the risks very minor.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Kirkpatrick J. cited the British Columbia Court of Appeal decision in Ogilvie v. Donkin, </w:t>
      </w:r>
      <w:hyperlink r:id="rId342" w:history="1">
        <w:r>
          <w:rPr>
            <w:rFonts w:ascii="arial" w:eastAsia="arial" w:hAnsi="arial" w:cs="arial"/>
            <w:i/>
            <w:color w:val="0077CC"/>
            <w:sz w:val="20"/>
            <w:u w:val="single"/>
            <w:shd w:val="clear" w:color="auto" w:fill="FFFFFF"/>
            <w:lang w:val="en-US" w:eastAsia="en-US" w:bidi="ar-SA"/>
          </w:rPr>
          <w:t>[1949] 1 W.W.R. 439</w:t>
        </w:r>
      </w:hyperlink>
      <w:r>
        <w:rPr>
          <w:rFonts w:ascii="arial" w:eastAsia="arial" w:hAnsi="arial" w:cs="arial"/>
          <w:color w:val="000000"/>
          <w:sz w:val="20"/>
          <w:lang w:val="en-US" w:eastAsia="en-US" w:bidi="ar-SA"/>
        </w:rPr>
        <w:t xml:space="preserve">. O'Halloran J.A. in Ogilvie found that where the risks involved are such that, "if more than ordinary care is not taken, a mishap is likely to occur in which loss of life, serious injury or grave damage is almost inevitable", failure to take ordinary care may amount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Opinion evidence as to the standard of care required of the defendant in these circumstances may be of some assistance to the trier of fact. The question of whether the defendant's conduct amounted to a marked departure arguably falls within the category of the "ultimate issue" to be decided and accordingly may or may not be considered to be within the purview of any expert called to give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To some extent the plaintiff relies on the evidence of Dr. Weiss and Mr. Findlay, to support its proposed amendment adding the allegation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counters by relying on the evidence of Mr. Lavalley. The defendant submits that neither Dr. Weiss nor Mr. Findlay are qualified to offer opinion evidence in this matter. The defendant submits that Mr. Findlay, while familiar with the Birkenhead River, has no experience or training that would render him an expert whose opinion would impact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gross or otherwise. Similarly, the defendant submits that, while Dr. Weiss has expertise in the medical field and treatment of injuries arising from outdoor activity, the mere fact he has apparently led rafting tours in the past does not qualify him as able to offer opinion evidence in this case. Further, the defendant submits that the qualifications and experience of Mr. Lavalley enable him to offer opinion evidence in respect of the defendant's actions on June 10, 1998 and on June 13,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Assuming, for the purpose of the proposed amendment, that Mr. Findlay is not an expert entitled to give opinion evidence, I consider the issue of expertise in respect of both Dr. Weiss and Mr. Lavalley to be less straightforward. The curriculum vitae of any proposed expert witness is certainly some evidence, but surely must be considered as only a starting point in determining whether a proposed witness is an expert entitled to offer opinion evidence and, if so, what weight should be given to it. Examination in chief and, particularly cross examination on qualifications, is often of great assistance to the court on both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Both Mr. Lavalley and Dr. Weiss have some experience that may be relevant to the proposed claim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Dr. Weiss was a river guide for 6 years, served as a trip leader and head guide, has been a consultant to professional rafting companies, and has published articles relating to whitewater safety and rescue. Dr. Weiss may be able to provide information about what standard of care was required of the defendant, and whether or not its actions amounted to a marked departure from that standard of care. Dr. Weiss' curriculum vitae provides enough information to suggest that he might be able to offer evidence about the appropriate standard of care the defendant had to meet. I find that I can neither dismiss nor rely on either the affidavit of Dr. Weiss or the affidavit of Mr. Lavalley.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Applying the principles espoused in McNaughton v. Baker, Minnes v. Minnes and Pasco v. Canadian National Railway, supra, I cannot say that it is perfectly clear that the proposed amendment to the statement of claim discloses no reasonable cause of action, nor can I say that the proposed pleading is clearly and obviously invalid. The test on an application to amend is far less stringent than the question of whether, on balance, the plaintiff has made out its case. To refuse the proposed amendment where there is some evidence to support the allegation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in my view, require the weighing of the merits of the plaintiff's case arising from the proposed amendment, which is not appropriate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application to amend the statement of claim to add paragraphs 18, 19, 20 and 21, and to amend to claim aggravated and punitive damages which flow from that amendment,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it appropriate to resolve this action through a summary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Having granted the amendment to allow the plaintiff to allege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nature of the plaintiff's action has changed considerably. Further evidence may now be obtained. There is conflict on the evidence obtained to date; certainly, between Dr. Weiss' opinion and that of Mr. Lavalley. The question of whether the waiver was valid and whether it was broad enough to cover the defendant's actions, in these circumstances, makes the disposition of the plaintiff's action through a summary trial procedure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the affidavits before the court, or by any other process authorized under Rule 18A, I am satisfied it would be unjust to decide the issues: see Inspiration Management Ltd. v. McDermid St. Lawrence Ltd. </w:t>
      </w:r>
      <w:hyperlink r:id="rId25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my view, on the pleadings as they now stand, the plaintiff is entitled to proceed to trial in the usual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application is therefore dismissed. Costs of the applications will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Cheung v. MacDonald, [2003] B.C.J. No. 1029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17 - 21,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M004111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1029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689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B.C.L.R. (4th) 366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M.V.R. (4th) 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122 A.C.W.S. (3d) 174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Ping Cheung, plaintiff, and Michael James MacDonald, David E. Armstrong, Patricia Triggs, Attorney General of Canada, and Attorney General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3"/>
      <w:bookmarkEnd w:id="10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 Police officers — Motor vehicle, standard of care of driver — Keeping a proper lookout — Emergency or police vehicles.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3"/>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Cheung against MacDonald, two police officers, and the provincial Crown for damages for injuries arising from a motor vehicle accident. At the time of the accident, the first police officer was pursuing MacDonald, who was driving a stolen vehicle. During the pursuit, MacDonald had never gone more than 20 kilometres above the speed limit. He suddenly changed lanes to avoid colliding with the second officer's police car, which was blocking the slow lane in order to put down a spike belt, and rammed into the rear of Cheung's vehicle. MacDonald was intoxicated due to his consumption of alcohol, cocaine and heroin at the time of the accident. The officers submitted that they had followed the police's hazardous pursuit policy.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2"/>
            <w:bookmarkEnd w:id="107"/>
            <w:r>
              <w:rPr>
                <w:rFonts w:ascii="arial" w:eastAsia="arial" w:hAnsi="arial" w:cs="arial"/>
                <w:color w:val="000000"/>
                <w:sz w:val="20"/>
                <w:lang w:val="en-US" w:eastAsia="en-US" w:bidi="ar-SA"/>
              </w:rPr>
              <w:t>HELD: Action allowed against MacDonald.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Action dismissed against the police and the Crown. In the circumstances, it was open to the first officer to initiate the pursuit of MacDonald. No liability arose from the second officer's decision to place her vehicle across the slow lane of the highway. It was reasonable for her to toss the spike belt. MacDonald caused the accident by not paying attention, changing lanes abruptly and colliding into the rear of Cheung's vehicle. MacDonald's failure to keep a proper lookout when he merged into the fast lane was the sole cause of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11"/>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5"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350" w:history="1">
        <w:r>
          <w:rPr>
            <w:rFonts w:ascii="arial" w:eastAsia="arial" w:hAnsi="arial" w:cs="arial"/>
            <w:i/>
            <w:color w:val="0077CC"/>
            <w:sz w:val="20"/>
            <w:u w:val="single"/>
            <w:shd w:val="clear" w:color="auto" w:fill="FFFFFF"/>
            <w:lang w:val="en-US" w:eastAsia="en-US" w:bidi="ar-SA"/>
          </w:rPr>
          <w:t>R.S.B.C. 1996, c. 318, ss. 122</w:t>
        </w:r>
      </w:hyperlink>
      <w:r>
        <w:rPr>
          <w:rFonts w:ascii="arial" w:eastAsia="arial" w:hAnsi="arial" w:cs="arial"/>
          <w:color w:val="000000"/>
          <w:sz w:val="20"/>
          <w:lang w:val="en-US" w:eastAsia="en-US" w:bidi="ar-SA"/>
        </w:rPr>
        <w:t>, 144(1)(a), 144(1)(b).</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Royal Canadian Mounted Police Act, R.S. 1985, c. R-10, s. 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3"/>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6"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 Cope, for the plaintiff. J.D. Baker, Q.C., for the defendant, MacDonald. H.J. Roberts and R.M. Yamanouchi, for the remaining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3"/>
      <w:bookmarkEnd w:id="110"/>
      <w:r>
        <w:pict>
          <v:line id="_x0000_s1097"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LOO J."/>
            <w:bookmarkEnd w:id="111"/>
            <w:r>
              <w:rPr>
                <w:rFonts w:ascii="arial" w:eastAsia="arial" w:hAnsi="arial" w:cs="arial"/>
                <w:b/>
                <w:color w:val="000000"/>
                <w:sz w:val="30"/>
                <w:lang w:val="en-US" w:eastAsia="en-US" w:bidi="ar-SA"/>
              </w:rPr>
              <w:t>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Saturday morning April 1, 2000, Dr. Donald Cheung was driving his Honda Civic from Burnaby along the Trans-Canada Highway to Abbotsford where he had a dental practice. Dr. Cheung recalls driving over the Port Mann Bridge and next recalls waking up in the hospital. He has no recollection of being violently rear-ended near the 264th Street exit by a stolen highway maintenance truck driven by Michael MacDonald. Mr. MacDonald was being pursued by the police when he suddenly changed lanes to avoid colliding with a police car blocking the slow lane and rammed into the rear of the Honda, demolishing it and injuring Dr. Cheung.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Dr. Cheung brings this action against Mr. MacDonald, police constables David Armstrong and Patricia Triggs, the Attorney General of Canada, and the Attorney General of British Columbia. At the opening of trial, counsel for Dr. Cheung stated that the statement of claim would be amended to allege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required in order to succeed against the Attorney General of Canada on the basis of vicarious liability. At the close of trial, the claim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abandoned. Thus, the plaintiff's claim is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MacDonald and the police officers in their personal capacity, and that the Attorney General of British Columbia is vicariously liable for the officers'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issue for determination is liability; damages will be assessed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MacDonald admits that the accident was partly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claims that police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also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parties rely on Doern v. Phillips Estate </w:t>
      </w:r>
      <w:hyperlink r:id="rId340"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(S.C.), aff'd </w:t>
      </w:r>
      <w:hyperlink r:id="rId341" w:history="1">
        <w:r>
          <w:rPr>
            <w:rFonts w:ascii="arial" w:eastAsia="arial" w:hAnsi="arial" w:cs="arial"/>
            <w:i/>
            <w:color w:val="0077CC"/>
            <w:sz w:val="20"/>
            <w:u w:val="single"/>
            <w:shd w:val="clear" w:color="auto" w:fill="FFFFFF"/>
            <w:lang w:val="en-US" w:eastAsia="en-US" w:bidi="ar-SA"/>
          </w:rPr>
          <w:t>(1997), 43 B.C.L.R. (3d) 53</w:t>
        </w:r>
      </w:hyperlink>
      <w:r>
        <w:rPr>
          <w:rFonts w:ascii="arial" w:eastAsia="arial" w:hAnsi="arial" w:cs="arial"/>
          <w:color w:val="000000"/>
          <w:sz w:val="20"/>
          <w:lang w:val="en-US" w:eastAsia="en-US" w:bidi="ar-SA"/>
        </w:rPr>
        <w:t xml:space="preserve"> (C.A.) where the standard of care required of a police officer is described at [paragraph]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 there is little doubt that the standard of care to which a police officer will be held is that of a reasonable police officer, acting reasonably and within the statutory powers imposed upon him or her, according to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that case, the Vancouver Police hazardous pursuit policy was an important factor in determining whether the standard of care had been met (at Doern (S.C.) [paragraph] 68, aff'd (C.A.) at [paragraph]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 In this case, it is necessary to consider whether the pursuit policy, which constituted a self-imposed standard of care, was followed. The police pursuit policy was obviously carefully and thoughtfully crafted. It was designed to assist officers in the conduct of the activity that put them at more risk of harm than any of their other duties. Although the policy does not, in itself, constitute the standard of care, compliance with the policy, in my view, is a very important factor to consider in determining whether the standard of care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case at bar, the officers' compliance with the RCMP hazardous pursuit policy will be a similarly important factor in determining whether the standard of care has been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MacDonald had been drinking and was "high" on cocaine and heroin when he saw the keys in a white highway maintenance pick-up truck at Commercial and 12th Avenue in Vancouver. He drove off in the truck with no particular destination in mind. On the roof of the cab were two large flashing orange emergency lights that were visible from 360 degrees. In the back of the truck, a large yellow left arrow indicator sign also flashed. The truck with all of its flashing lights was hard to 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Shortly after 7:30 a.m. Constables Canning and Russell were in an unmarked Vancouver Police Department ("VPD") vehicle when they were informed by the main dispatch centre, or "43 Vancouver", that the truck had last been seen travelling eastbound on 12th Avenue near Victoria Drive. Constable Canning drove eastbound along 12th Avenue; when he came to Slocan, he looked up towards Boundary Road and saw the truck with its flashing yellow left arrow sign go over the crest of the hill. When he came to Boundary Road -- the geographical limit for the VPD -- Constable Canning saw the truck head eastbound onto Highway No. 1 and asked 43 Vancouver to notify the RCMP. Constable Canning then maintained a distance of about one kilometre behind the truck, waiting for additional police units to arrive.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Constable Armstrong was the only officer on duty at the Port Mann Highway Patrol detachment in Burnaby when he was informed by 43 Vancouver that VPD officers were following a recently stolen traffic control truck that was about to enter the highway eastbound from the Grandview freeway entrance. He got into his police vehicle and headed for the nearby Gaglardi Way freeway entrance. At about that time, the transcript of 43 Vancouver's audiotape reveals that the high occupancy vehicle lane cameras showed the truck driving by the Kensington Avenue exit. As Constable Armstrong drove onto the freeway at Gaglardi Way, he saw the truck drive by, followed by the VPD about half a mile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Constable Armstrong activated his emergency lights and siren and initiated the police pursuit of the truck, becoming the primary pursuit vehicle in accordance with police policy. At some point between the North Road and the United Boulevard exits, Constable Armstrong radioed: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Driver is not stopping. We're not going all that fast. White male driver, beard, wearing a ball cap, black leather jacket, about uh, 30 years old. Could you see if Surrey or Langley can get somebody on the road here to see if we can get this guy stopped. We're not going that fast but he's not stopping and he knows I'm here, I pulled up beside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was daylight, the weather was cloudy but the roads were dry and visibility was good. Traffic over the Port Mann Bridge towards Surrey was heavy to moderate but shortly after the bridge, traffic conditions were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on the west span of the Port Mann bridge, Constable Armstrong radioed: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I'm going to see if I can sneak ahead of him here. Yeah, he's cut right in front of me here on the bridge. [pause] Check with either Surrey or Langley for a belt pack.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asking for a belt pack, Constable Armstrong was asking for a pursuit control device known as a stop stick. According to the manufacturer's video, each three-foot stop stick houses a steel spike tip-and-quill assembly that penetrates a vehicle's tire but allows the air to be released so that the vehicle comes to a stop in a safe and controlled manner. Stop sticks can be used individually or interlocked together. There are different methods of deploying a stop stick. The primary method is to place one or more stop sticks in a nylon sleeve with an attached cord on the opposite side of the road. When the target vehicle approaches, the cord and sleeve are pulled across the road. Another method of deploying the stop stick is to simply toss one or more stop sticks onto the road in front of the target vehicle. In that case it is not necessary to place the stop sticks in a nylon sleeve.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Constable Forcier of the Surrey RCMP detachment entered the freeway at 160th Street and saw the primary pursuit vehicle being driven by Constable Armstrong and the stolen truck with its flashing lights. With his emergency lights and siren activated, Constable Forcier caught up to Constable Armstrong's vehicle, and at one point passed him and moved in front of the truck in an unsuccessful attempt to box him in. Mr. MacDonald refused to slow down and failed to acknowledge Constable Forcier's presence when the officer drove beside him. In Constable Forcier's words, "the truck driver continued to look in front of him like he was in a daze". Constable Forcier then stayed behind Constable Armstrong's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Throughout the pursuit, Mr. MacDonald drove in a fairly safe manner, changing lanes from time to time and driving no more than 10 or 20 kilometres over the posted speed limit. Unbeknownst to the police at the time, Mr. MacDonald was stepping on the accelerator but the truck would not or could not travel any faster. It was apparent that other drivers on the road, seeing the flashing lights, moved over to allow the truck and the police car to go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7:53 Constable Fox of the Langley RCMP detachment was in a police vehicle with Constable Trimper when they were informed that the police pursuit needed a stop stick deployed at the eastbound 200th Street freeway exit. They attempted to reach that location, but were too late: as Constable Fox drove over the 200th St. overpass he could see the truck coming, and just as he pulled over, the truck drove under the overpass.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Constable Armstrong approached the 200th Street exit, he became aware that his supervisor Corporal Whidden was involved in the pursuit when his voice came through 43 Vancouver, as "Port Mann". From that point on, Corporal Whidden was in charge of the pursuit. Until then Constable Armstrong was his own acting supervisor, so to speak, because he had been the only officer on duty at Port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meantime, Constable Triggs of the Langley RCMP detachment was dispatched to deploy a stop stick at the 264th Street exit. She arrived there at 8:12 a.m. and positioned her police vehicle with its emergency lights activated, diagonally north-east across the slow lane so that traffic would be diverted to the remaining fast lane. Constable Triggs' vehicle had two stop sticks which she connected together. The Langley RCMP were in the process of acquiring nylon sleeves for the stop sticks and at the time only about one per cent of the vehicles were equipped with sleeves. Constable Triggs' vehicle had no sleeve.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Constable Triggs stood approximately 15 feet east of her vehicle and held the stop sticks, ready to toss. In the five minutes she stood waiting, approximately 12 vehicles slowed down and passed the parked police vehicle with its emergency lights on before she saw the stolen truck. By all accounts, what happened next occurred in a matter of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Constable Armstrong, who was following about 100 feet behind the truck, said that he saw the truck move to the right and thought that it was going to go around the shoulder side of Constable Triggs' vehicle. At the last moment, the truck made an abrupt turn left and crashed into Dr. Cheung's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MacDonald called no evidence but gave this evidence when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You're driving down the freeway, you've got police chasing you, you've got a vehicle that can't go too fast so you say. Where are you going at that point?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Nowhere in particular, I don't know.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I mean are you just going to keep going down that road until you run out of gas?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guess so,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you saw the police car at the right side of the road in and around the 264th Street overpass did you know that -- did you know or imagine that that car was there for spike belt purposes or is this something you learned after the collision?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that's just why I figured it would be stopped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Were -- were you caught by surprise seeing the police car off to the side of the road?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stopped there because it was going to do something to stop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didn't want to stop because you'd be charged with something?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one of those things would be driving without a licence and driving while prohibited?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in a stolen truck.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police didn't cause this accident?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they did what you expected, they followed you and then they tried to stop you with a spike belt?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Any attempt on your part to change lanes when you saw the distance between your truck or the Ford truck and the plaintiff's vehicle was closing?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tell me about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the distance was closing I tried to go around it but I was, you know, too slow reacting or something.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Mrs. Linda Gigliotti was a passenger in a pick-up truck driven by her husband. She saw the police vehicle blocking the slow lane and the police officer standing in front of the vehicle, holding what looked to Mrs. Gigliotti like a black baton. Her husband started driving along the shoulder of the fast lane, and Mrs. Gigliotti asked him why he was driving like that. Just as he was telling her that there was an emergency truck with flashing lights behind them, the Honda passed them and then the truck sped past on her right. Mrs. Gigliotti said the truck suddenly "slewed" between their truck and the parked police vehicle with barely enough room for the truck to pass. The baton was flung out and "almost simultaneously" there was a bang and the rear end of the Honda was gone. The front end was pushed ahead, spun around and landed up facing west towards the Gigliotti vehicle while the rear of the Honda ended up on the grassy sloped median. The truck driver did not slow down or apply his brakes as he made the sudden lane change. Mrs. Gigliotti recalls thinking that he was driving like an idiot.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Constable Triggs saw the Honda approaching in the fast lane and slow down. She also saw the stolen truck approaching in the slow lane. She was not sure whether the truck was going to change lanes to the fast lane, squeeze through the shoulder of the slow lane, or crash into the police vehicle. At the last minute, the truck switched to the fast lane. As soon as she saw the truck was moving over, Constable Triggs threw the stop stick. The right front wheel of the Honda ran over it and the truck smashed into the Honda. The impact caused the truck to run out of control down the median while the Honda was pushed 150 feet down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is consistent. I conclude that at the last minute, Mr. MacDonald changed from the slow lane to the fast lane and rear-ended Dr. Cheung's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Allegations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further amended statement of claim alleges that the collision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particulars of which are said to be: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MICHAEL JAMES MacDonald</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a proper lookout or any lookout at all;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driving without due care and attention or without reasonable consideration of other persons using a highway, contrary to section 144(1)(a) and 144(1)(b) of the Motor Vehicle Act </w:t>
      </w:r>
      <w:r>
        <w:rPr>
          <w:rFonts w:ascii="arial" w:eastAsia="arial" w:hAnsi="arial" w:cs="arial"/>
          <w:i/>
          <w:color w:val="000000"/>
          <w:sz w:val="20"/>
          <w:lang w:val="en-US" w:eastAsia="en-US" w:bidi="ar-SA"/>
        </w:rPr>
        <w:t>R.S.B.C. 1996, chapter 318</w:t>
      </w:r>
      <w:r>
        <w:rPr>
          <w:rFonts w:ascii="arial" w:eastAsia="arial" w:hAnsi="arial" w:cs="arial"/>
          <w:color w:val="000000"/>
          <w:sz w:val="20"/>
          <w:lang w:val="en-US" w:eastAsia="en-US" w:bidi="ar-SA"/>
        </w:rPr>
        <w:t xml:space="preserve"> and amendments thereto;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into the rear of the Plaintiff's motor vehicle;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DAVID E. ARMSTRONG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pursuing the Ford Truck at a time and in a manner where such activity was dangerous to other motorists; 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PATRICIA TRIGGS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blocking the flow of traffic on Highway #1 at a time and in a manner dangerous to law abiding motorists using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While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seem fairly straightforward, much of the trial was devoted to the use of the stop stick, including the manufacturer's video on the use of the stop stick.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by Mr. MacDonald include similar allegations, but also allege that the police were negligent when they failed to properly carry out the hazardous pursuit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RCMP Hazardous Pursuit Policies and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RCMP "E" Division hazardous pursuit policy which applies to the RCMP in British Columbia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44. Hazardous Pursuits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44. b. Definitions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"Pursuit" means the driving of an emergency vehicle by a peace officer while exercising the exemptions granted by Section 122(1) MVA for the purpose of apprehending another person who refuses to stop as directed by a peace officer and attempts to evade apprehension.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44. c. General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in a police vehicle may embark upon a vehicular pursuit when the suspect, whom the member believes on reasonable and probable grounds has committed, is committing or is about to commit an indictable offence, exhibits the intention to avoid apprehension through evasive or unlawful acts or, the suspect refuses to stop at the direction of the member.</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safety of the public, the member, and the suspect is the paramount consideration when a member is operating a police vehicle exercising the exemptions granted. (Sec. 122 MVA).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All members involved in, or supervising, a hazardous pursuit are accountable for the continuation of the pursuit when circumstances clearly indicate that it should have been discontinued.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44. d. Factors to Consider</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assessing whether to embark upon, to continue, or to terminate a police pursuit, or an attempt to close the distance, members shall assess the following factors and how they effect the need to apprehend a suspect and the risk to public safety:</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suspected or known offence;</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availability of other methods of apprehension;</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driver and/or occupants can be identified and apprehended later;</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manner in which the driver is operating the vehicle;</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an apprehension;</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 of the driver and/or occupants;</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time and/or distance involved in the pursuit;</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apparent condition of the vehicles involved in the pursuit;</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weather and road conditions;</w:t>
      </w:r>
    </w:p>
    <w:p>
      <w:pPr>
        <w:numPr>
          <w:numId w:val="1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and/or nature of pedestrian or vehicular traffic that is or might be reasonably expected to be in the area;</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consideration of the member's ability to operate the police vehicle;</w:t>
      </w:r>
    </w:p>
    <w:p>
      <w:pPr>
        <w:numPr>
          <w:numId w:val="1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vehicle speeds;</w:t>
      </w:r>
    </w:p>
    <w:p>
      <w:pPr>
        <w:numPr>
          <w:numId w:val="1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effectiveness of communications;</w:t>
      </w:r>
    </w:p>
    <w:p>
      <w:pPr>
        <w:numPr>
          <w:numId w:val="1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associated with the manner of driving of vehicles involved in the pursuit;</w:t>
      </w:r>
    </w:p>
    <w:p>
      <w:pPr>
        <w:numPr>
          <w:numId w:val="16"/>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familiarity with the area and the road, and</w:t>
      </w:r>
    </w:p>
    <w:p>
      <w:pPr>
        <w:numPr>
          <w:numId w:val="1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pertinent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44. e. Restrictions</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shall not initiate a pursuit for minor violations or for reasons of suspicion attributable only to the driver's failing to stop as requested.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pursuit shall involve only one primary (pursuing) police vehicle and one secondary (back up) police vehicle.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shall not pass another police vehicle involved in a pursuit unless requested, or it is considered reasonable to do so and shall maintain an adequate following distance.</w:t>
      </w:r>
    </w:p>
    <w:p>
      <w:pPr>
        <w:numPr>
          <w:numId w:val="2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driving an unmarked police vehicle shall relinquish the pursuit to a marked police vehicle as soon as practical.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44. g. Pursuit by Police</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Primary (pursuing) member shall:</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emergency equipment activated;</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reasonable grounds to believe;</w:t>
      </w:r>
    </w:p>
    <w:p>
      <w:pPr>
        <w:numPr>
          <w:numId w:val="23"/>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passenger in the vehicle being or to be pursued has committed, is committing, or is about to commit an indictable offence, and</w:t>
      </w:r>
    </w:p>
    <w:p>
      <w:pPr>
        <w:numPr>
          <w:numId w:val="24"/>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offence and the need for immediate apprehension outweigh the risk to the safety of the public that may be created by the pursuit,</w:t>
      </w:r>
    </w:p>
    <w:p>
      <w:pPr>
        <w:numPr>
          <w:numId w:val="2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into consideration the factors described in E.44.d.1.</w:t>
      </w:r>
    </w:p>
    <w:p>
      <w:pPr>
        <w:numPr>
          <w:numId w:val="2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 the need for immediate apprehension will be low if:</w:t>
      </w:r>
    </w:p>
    <w:p>
      <w:pPr>
        <w:numPr>
          <w:numId w:val="26"/>
        </w:numPr>
        <w:tabs>
          <w:tab w:val="clear" w:pos="1480"/>
          <w:tab w:val="num" w:pos="2920"/>
        </w:tabs>
        <w:spacing w:before="120" w:line="260" w:lineRule="atLeast"/>
        <w:ind w:left="29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or passenger in the vehicle pursued has not committed an indictable offence, or</w:t>
      </w:r>
    </w:p>
    <w:p>
      <w:pPr>
        <w:numPr>
          <w:numId w:val="2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identification or apprehension of the suspected offender may be achieved by other means at that or a later time;</w:t>
      </w:r>
    </w:p>
    <w:p>
      <w:pPr>
        <w:numPr>
          <w:numId w:val="2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into account that greater distance, speed or length of time required or likely to be required for the pursuit, increases the degree of risk to the safety of the public;</w:t>
      </w:r>
    </w:p>
    <w:p>
      <w:pPr>
        <w:numPr>
          <w:numId w:val="29"/>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into account that an attempt to evade apprehension is not a factor to be considered in determining the seriousness of the offence, or the need for immediate apprehension;</w:t>
      </w:r>
    </w:p>
    <w:p>
      <w:pPr>
        <w:numPr>
          <w:numId w:val="3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advise the OCC/Dispatch of the situation once it has been determined that a pursuit is underway;</w:t>
      </w:r>
    </w:p>
    <w:p>
      <w:pPr>
        <w:numPr>
          <w:numId w:val="3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 a supervisor assume control of the pursuit at the earliest available opportunity and maintain control until such time as a supervisor is identified;</w:t>
      </w:r>
    </w:p>
    <w:p>
      <w:pPr>
        <w:numPr>
          <w:numId w:val="32"/>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maintain frequent radio communications with OCC/Dispatch, updating pursuit status (e.g. location, direction, speed, traffic conditions, etc.);</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Supervisor shall:</w:t>
      </w:r>
    </w:p>
    <w:p>
      <w:pPr>
        <w:numPr>
          <w:numId w:val="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termination of the pursuit if circumstances warrant or if alternate tactics are available;</w:t>
      </w:r>
    </w:p>
    <w:p>
      <w:pPr>
        <w:numPr>
          <w:numId w:val="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all the conditions of E.44.g.1. are met;</w:t>
      </w:r>
    </w:p>
    <w:p>
      <w:pPr>
        <w:numPr>
          <w:numId w:val="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be prepared to assume command of a pursuit, even if it does not originate or occur within their duty location;</w:t>
      </w:r>
    </w:p>
    <w:p>
      <w:pPr>
        <w:numPr>
          <w:numId w:val="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assume control over and coordinate the pursuit related communications and ensure proper radio channels and procedures are in use;</w:t>
      </w:r>
    </w:p>
    <w:p>
      <w:pPr>
        <w:numPr>
          <w:numId w:val="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immediate broadcast to the Primary and Secondary Members that he/she has assumed control over the pursuit and shall receive acknowledgment, where possible, from those members of this notification;</w:t>
      </w:r>
    </w:p>
    <w:p>
      <w:pPr>
        <w:numPr>
          <w:numId w:val="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monitor the progress of the pursuit and order other pursuit support members as necessary;</w:t>
      </w:r>
    </w:p>
    <w:p>
      <w:pPr>
        <w:numPr>
          <w:numId w:val="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only the necessary number of members are involved in the pursuit;</w:t>
      </w:r>
    </w:p>
    <w:p>
      <w:pPr>
        <w:numPr>
          <w:numId w:val="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other agencies are notified should it become necessary;</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44. g. 7. ...</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Tire Deflation Devices</w:t>
      </w:r>
    </w:p>
    <w:p>
      <w:pPr>
        <w:numPr>
          <w:numId w:val="3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Tire Deflation devices such as the "Hollow Strip Spike", "Stinger" and "Stop Stick" can be useful for other incidents (e.g. hostage and barricaded person situations). Circumstances of each incident will dictate its use.</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the devices are deployed according to the manufacturers instructions.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Section 122 of the Motor Vehicle Act, R.S.B.C., c. 318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Exemption for emergency vehicles</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anything in this Part, but subject to subsections (2) and (4), a driver of an emergency vehicle may do the following:</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exceed the speed limit;</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 past a red traffic control signal or stop sign without stopping;</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disregard rules and traffic control devices governing direction of movement or turning in specified directions;</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stop or stand.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must not exercise the privileges granted by subsection (1) unless the driver is</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sounding an audible signal bell, siren or exhaust whistle and showing a flashing red light,</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in the immediate pursuit of an actual or suspected violator of the law, or</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peace officer engaged in a police duty of a nature that the sounding of a signal bell, siren or exhaust whistle would unduly hamper the performance of that duty, in which case he or she may exercise the privileges granted by subsection (1) by showing a red flashing light only.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an emergency vehicle exercising a privilege granted by subsection (1) must drive with due regard for safety, having regard to all the circumstances of the case, including the following:</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condition and use of the highway;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traffic that is on, or might reasonably be expected to be on, the highway;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use being made of the emergency vehicle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to the "E" Division hazardous pursuit policy, the Port Mann Highway Patrol detachment has an internal hazardous pursuits policy which provides: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HAZARDOUS PURSUITS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vehicle pursuit will normally be under the command of the NCO i/c this detachment, or in his absence, a Highway Patrol NCO.</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an NCO at this detachment, members will ensure that E Division O.C.C. (43), is advised immediately.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Inform E Division O.C.C. to advise that detachment or municipal police office ASAP in the jurisdiction the pursuit is taking place. </w:t>
      </w:r>
      <w:r>
        <w:rPr>
          <w:rFonts w:ascii="arial" w:eastAsia="arial" w:hAnsi="arial" w:cs="arial"/>
          <w:b/>
          <w:color w:val="000000"/>
          <w:sz w:val="20"/>
          <w:u w:val="single"/>
          <w:lang w:val="en-US" w:eastAsia="en-US" w:bidi="ar-SA"/>
        </w:rPr>
        <w:t>The watch commander at that police jurisdiction will assume control of the situation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pursuit will not be continued for minor traffic or Criminal Code violations (ie. Speeding, auto theft) unless it involves a life threatening situation (ie. Hostage)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Cheung contends that the hazardous pursuit policies are meant "to remove the thinking". I cannot accept this contention. In my view, the policies are intended to assist the thinking. A police officer who is involved in a pursuit and not thinking is not coming anywhere close to meeting the requisite standard of care. The policies are a guideline to assist in assessing whether to start, continue, or terminate a pursuit. Police involved in a pursuit must be constantly thinking and constantly assessing the situation in an effort to balance the need to apprehend a suspect and any unnecessary risk to public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It was argued that Constable Armstrong should not have initiated the pursuit for theft of an automobile, as suggested by the Port Mann Highway Patrol hazardous pursuit policy. However, the "E" Division policy states that pursuits are prohibited "for minor violations", and it cannot be said that theft and possession of a stolen vehicle are minor violations. More importantly, the policies are guidelines; they do not have the force of law. In the circumstances, I find it was open to Constable Armstrong to initiate the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also accept Constable Armstrong's evidence that he considered the various factors outlined in the guideline in deciding whether to continue or terminate the pursuit. He considered that:</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methods of apprehending the suspect were not available;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suspect could not be identified and apprehended at a later date because the truck was stolen;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suspect was operating the truck in a relatively safe manner;</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likelihood of apprehension was fairly good;</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suspect was not a young driver;</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vehicles involved in the pursuit were in good condition;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not raining, the roads were dry and visibility was good;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traffic conditions were light;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nothing affecting his, Constable Armstrong's, ability to drive;</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truck's speed was relatively low and never more than 10 or 20 kilometres over the speed limit;</w:t>
      </w:r>
    </w:p>
    <w:p>
      <w:pPr>
        <w:numPr>
          <w:numId w:val="6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low speeds and relatively safe manner of driving during the pursuit posed a lesser risk to the public; and</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Constable Armstrong was very familiar with that stretch of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Cheung contends that "the use of the stop sticks forced Constable Triggs to block the highway as she did", and that the police vehicle was not a control device, but a hazard. He argues that the actions of Constable Triggs left Mr. MacDonald with only three options: go through the police vehicle; travel to the right of the vehicle; or travel to the left of the vehicle. Dr. Cheung contends that Mr. MacDonald should not have been forced into choosing any of these options; he should have been allowed to "just go down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cannot accept Dr. Cheung's contention that the police ought to have continued to follow Mr. MacDonald until he decided to stop. The truck had two full tanks of gas, and Mr. MacDonald had no intention of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is also argued that the longer pursuits continue, the more dangerous they become, and therefore this pursuit ought to have been discontinued. Most police pursuits last closer to one minute. The longest pursuit Constable Armstrong had been involved in prior to this one was ten minutes. While this pursuit lasted almost twice as long, I accept Constable Armstrong's evidence that conditions for continuing the pursuit were close to optimal.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standard of care required of police officers is to act reasonably within the circumstances and within the statutory powers imposed on them. The standard is not one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duties of the police officers are set out in s. 18 of the Royal Canadian Mounted Police Act, R.S. 1985, c. R-10:</w:t>
      </w:r>
      <w:r>
        <w:rPr>
          <w:rFonts w:ascii="arial" w:eastAsia="arial" w:hAnsi="arial" w:cs="arial"/>
          <w:sz w:val="20"/>
          <w:lang w:val="en-US" w:eastAsia="en-US" w:bidi="ar-SA"/>
        </w:rPr>
        <w:cr/>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duty of members who are peace officers, subject to the orders of the Commissioner,</w:t>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perform all duties that are assigned to peace officers in relation to the preservation of the peace, the prevention of crime and of offences against the laws of Canada and the laws in force in any province in which they may be employed, and the apprehension of criminals and offenders and others who may be lawfully taken into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the Court of Appeal stated in Doern v. Phillips Estate at [paragraph]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Every one must recognize that the members of our police forces should not be unduly hampered in the discharge of their difficult and often dangerous work. The police vehicle pursuit policy is a guideline for officers which attempts to balance the public interest in the apprehension of suspected criminals, with the need to maintain reasonable levels of safety for the police and the public as the police discharge their duties. Whether particular police conduct departs so far from the guidelines and from the standard of care imposed by law, as to constitute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is a heavily fact dependent question. Even if I held a different view of the evidence to that of the trial judge, which I do not, it would not be open to us to substitute our judgment for hers in a case which is essentially one of fact.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Constable Triggs' uncontradicted evidence was that police are trained to block a lane of traffic in the manner that she did. It forces traffic to a smaller target area and increases the chances of throwing the stop stick or other spike belt in front of the target vehicle. Constable Triggs had frequently positioned her vehicle using the same method without incident. Consequently, no liability arises from her decision to place her vehicle across the slow lane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Similarly, I find that it was reasonable for Constable Triggs to toss the stop stick without a nylon sleeve. This was a method recommended by the manufacturer and one in which Constable Triggs had been 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also cannot find fault with the manner in which the pursuit was supervised. As the only officer on duty from his detachment at the time, it was necessary for Constable Armstrong to act as his own supervisor at the outset of the pursuit. Corporal Whidden assumed control as soon as he arrived at the detachment and came on duty, as required by the policy. Corporal Whidden could have called off the pursuit, but he did not. Neither he nor Constable Armstrong can be criticized.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Finally, Dr. Cheung alleges that Constable Triggs was negligent when she deployed the stop sticks in front of his vehicle, and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proximate cause of the accident. I do not agree, as the accident would have occurred in any event. It was caused by Mr. MacDonald not paying attention and changing lanes abruptly and colliding into the rear of Dr. Cheung's vehicle. It was incumbent upon Mr. MacDonald to keep a proper lookout when he merged into the fast lane to avoid colliding with Dr. Cheung's vehicle. His failure to do so was, in my view, the sole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conclusion, I find Mr. MacDonald fully liable for the accident, and the claim against the remaining defendants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8"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C.L.C. v. Lions Gate Hospital, [2001] B.C.J. No. 2285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4 - 6,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05851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2285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1505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B.C.L.R. (3d) 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461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1505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C.L.C., plaintiff, and Lions Gate Hospital,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9"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4"/>
      <w:bookmarkEnd w:id="11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Whether the defendant took reasonable care — Standard of care, particular persons and relationships — Hospitals — Causation — Foreseeability.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4"/>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CC alleging that Lions Gate Hospital was liable to 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While CC was recuperating at Lions Gate from back surgery, Hutchins was admitted after he collapsed at home. He was 85 and the attending physician diagnosed a cerebral vascular accident. Hutchins's wife was probably suffering from Alzheimer's disease and could not assist Lions Gate with a medical history of Hutchins. During the next few days, he was confused and restless. At one point, he wandered into CC's room and began undoing his pajama bottoms. Later, CC awoke to find Hutchins fondling her buttocks. She claimed at trial that he penetrated her anus with his finger, but there was no prior evidence to support the allegation. She alleged that Lions Gate was aware that Hutchins was a sexual predator and it breached its duty of care to protect her from such predators.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3"/>
            <w:bookmarkEnd w:id="11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that Hutchins was a sexual predator or violent. Neither was there evidence that Lions Gate knew or even suspected that he was dangerous in any way. His assault on CC was not foreseeable, and Lions Gate did not breach the applicable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Counsel_14"/>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Shawana, for the plaintiff. D. Goult,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14"/>
      <w:bookmarkEnd w:id="116"/>
      <w:r>
        <w:pict>
          <v:line id="_x0000_s1101" style="position:absolute;z-index:2517760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PARRETT J."/>
            <w:bookmarkEnd w:id="117"/>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action seeks general and punitive damages from the defendant hospital arising from an incident which occurred on October 30, 1996, while she was a patient at that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statement of claim is brief and does little to frame this matter in terms of causes of action but the trial was presented and the claim advanced on the basis that it was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heart of the matter is the plaintiff's allegation that while she was a patient in the care of the defendant hospital she was sexually assaulted by another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material portions of the statement of claim are found in paras. 7 to 10 of the document, which read:</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 . . states that the Defendant was aware and knew that the said Gordon Hutchins was a sexual predator and in the alternative a danger to other patients, and that there was a high probability he would offend other patients if measures were not taken to protect patients from him.</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the Defendant did not take measures to protect patients from other violent patients, like Gordon Hutchins, despite knowing the potential for the other patients to be violent.</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the Defendant owes to the Plaintiff a duty of care to ensure: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privacy while in the care of the Defendant;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physical safety while in the care of the Defendant;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are protected from sexual predators;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are provided with the medical care and attention they needed free from harm of sexual predators;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measures necessary for patients to convalesce free from the harm of other patients.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the Defendant breached their duty to the Plaintiff thereby causing the Plaintiff damage, including, but not limited to, damage from physical and sexual assault, emotional trauma, embarrassment, stress and such other damages, the particulars which will be provided on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deny that they were negligent in any way or in breach of any duty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October 27, 1996, Gordon Hutchins, an 85 year old man, was admitted to Lions Gate Hospital after collapsing at home. A cerebral vascular accident was suspected although no diagnosis could be made at the time of his admission. Mr. Hutchins arrived on the neurological ward of Lions Gate Hospital at 10:22 hours on October 27, 1996, and was assigned to room 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Over the course of the next 36 hours, Mr. Hutchins was moved twice; at 1:20 hours on October 28, 1996, he was moved to room 724, and at 19:30 hours he was moved back to room 720.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a 38 year old mother of three children. In 1994 she had fallen and injured her lower back. After continued difficulties, she was referred by her family physician to Dr. Padilla for surgical repair of a ruptured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admitted to Lions Gate Hospital on October 29, 1996, to undergo the surgery and, after admission to the neurology ward at 13:00 hours, she was assigned room 718, the room next door to that occupied by Mr. Hutchins.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course of the afternoon of October 29, 1996, Mr. Hutchins wandered into the plaintiff's room on at least two occasions. On those occasions he left either on his own or when directed to do so by a nurse. On none of these occasions did he appear agitated or act either aggressively or violently.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next morning, Mr. Hutchins again entered the plaintiff's room and stood between the end of her bed and the bathroom door approximately one foot from the door and began to tug at his pajama buttons. The plaintiff called for a nurse who took Mr. Hutchins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Hutchins did not in fact expose himself but when the plaintiff asked the nurse "Why would he try to expose himself?" she replied that "he probably thought he was in the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approximately 14:00 hours the same day, October 30, 1996, the plaintiff was awakened with Mr. Hutchins standing beside her bed with his hands under the sheets on her body in the area of her buttocks. At trial the plaintiff testified that his finger had penetrated her anus. This particular detail is absent from her description of events given at the time and frequently thereafter up until her evidence at trial. Her previous descriptions were that she awoke to find Mr. Hutchins "fondling her" or with his hands "inside my buttocks ah . . . caressing my . . . my bum and my back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this apparent discrepancy, at first blush, may seem significant, I have little doubt that Ms. C.L.C. was traumatized by this incident; her reaction at the time and over the balance of that day makes that abundantly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Her screams immediately brought nurses to the scene where Mr. Hutchins was restrained and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C.L.C. had undergone surgery and was recuperating in a hospital bed when she was awakened in this manner. I have little doubt that the incident traumatized her and that her recollection of the event has been affected by those emotions and the additional stress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as a whole supports the conclusion that, if penetration did in fact take place, it was not communicated by her to the nurses at the time; her sister who she telephoned the same day; her husband when she returned home; her family doctor when she spoke to him or the hospital itself when she telephoned to complain about the incident on November 4th,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true that she characterized the incident as a sexual assault and that on at least some occasions described Mr. Hutchins hand as being "inside" her buttocks. But, on the whole of the evidence, I am unable to find that penetration as she described at trial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clear, in my view, that no such allegation was communicated by the plaintiff to the nursing staff or the hospital at the time. No such entry is recorded in the hospital records and any such allegation would almost certainly have initiated a very different response and, in all likelihood, an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letter authored by the plaintiff's specialist, Dr. Padilla, on November 4, 1996, is also revealing, if somewhat confused. Dr. Padilla writes,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prompted me to write this was an assault that one of my patients suffered while on 7 East. Mrs. C.L.C. had just had a removal of a ruptured left L4/5 disc on October 29th, 1996 and one of our so-called "wandering demented patients" who are semi permanently living on 7 East, assaulted her in her room. To add insult to injury this happened with a different gentleman the following day. She and I found this extremely disturbing especially because she interpreted this as a sexual assault.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took me quite some time to calm her down, hopefully enough to avoid further repercussions but she was so afraid she went home a day or two earlier than she should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Dr. Padilla may have gotten some details wrong, it is difficult to conceive of his characterizing the event in this manner if he had been made aware of the allegation of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duty against the defendant hospital gives rise to three specific issues: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incident involving Mr. Hutchins and the plaintiff foreseeable and, as a result, within the scope of the duty of care owed by the hospital to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incident was foreseeable and therefore within the scope of the duty of care owed by the hospital to the plaintiff, did the hospital meet the requisite standard of care?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hospital did not meet the requisite standard of care, what is the appropriate measure of damages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important to recognize from the outset in approaching these issues that there is no claim advanced against the defendant hospital that they are directly liable for the actions of Hutchins. The claim advanced against the hospital is founded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in the statement of claim are that: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aware and knew that Gordon Hutchins was a sexual predator and, in the alternative, a danger to other patients, and that there was a high probability he would offend other patients if protective measures were not taken.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owed to the plaintiff a duty of care to ensure: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privacy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 physical safety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are protected from sexual predators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are free from harm from sexual predators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patients are kept free from harm at the hands of other patients.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breached these various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Any analysis of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begin with the landmark formulation of the principle pronounced by Lord Atkin in Donoghue v. Stevenson [1932] A.C. 562 at 580: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You must take reasonable care to avoid acts or omissions which you can reasonably foresee would be likely to injure your neighbour. Who, then, in law, is my neighbour? The answer seems to be - persons who are so closely and directly affected by my act that I ought reasonably to have them in contemplation as being so affected when I am directing my mind to the acts or omissions which are called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test for foreseeability was canvassed at some length by Macaulay, J., in Robertson v. Adigbite et al, </w:t>
      </w:r>
      <w:hyperlink r:id="rId358" w:history="1">
        <w:r>
          <w:rPr>
            <w:rFonts w:ascii="arial" w:eastAsia="arial" w:hAnsi="arial" w:cs="arial"/>
            <w:i/>
            <w:color w:val="0077CC"/>
            <w:sz w:val="20"/>
            <w:u w:val="single"/>
            <w:shd w:val="clear" w:color="auto" w:fill="FFFFFF"/>
            <w:lang w:val="en-US" w:eastAsia="en-US" w:bidi="ar-SA"/>
          </w:rPr>
          <w:t>[2000] B.C.J. No. 1192</w:t>
        </w:r>
      </w:hyperlink>
      <w:r>
        <w:rPr>
          <w:rFonts w:ascii="arial" w:eastAsia="arial" w:hAnsi="arial" w:cs="arial"/>
          <w:color w:val="000000"/>
          <w:sz w:val="20"/>
          <w:lang w:val="en-US" w:eastAsia="en-US" w:bidi="ar-SA"/>
        </w:rPr>
        <w:t>, where he concluded, at para. 58, that the test of reasonable foreseeability was that set out by Lord Reid in Home Office v. Dorset Yacht Co. Ltd. [1970] 1 All. E.R. 294 (H.L.). Lord Reid, at p. 297, writes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three officers knew or ought to have known that these trainees would probably try to escape during the night, would take some vessel to make good their escape and would probably cause damage to it or some other vessel. There were numerous vessels moored in the harbour, and the trainees could readily board one of them. So it was a likely consequence of their neglect of duty that the respondents' yacht would suffer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then concluded at p. 300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where human action forms one of the links between the original wrongdoing of the defendant and the loss suffered by the plaintiff, that action must at least have been something very likely to happen if it is not to be as novus actus interveniens breaking the chain of causation. I do not think that a mere foreseeable possibility is or should be sufficient, for then the intervening human action can more properly be regarded as new cause than as a consequence of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Wenden v. Trikha </w:t>
      </w:r>
      <w:hyperlink r:id="rId359" w:history="1">
        <w:r>
          <w:rPr>
            <w:rFonts w:ascii="arial" w:eastAsia="arial" w:hAnsi="arial" w:cs="arial"/>
            <w:i/>
            <w:color w:val="0077CC"/>
            <w:sz w:val="20"/>
            <w:u w:val="single"/>
            <w:shd w:val="clear" w:color="auto" w:fill="FFFFFF"/>
            <w:lang w:val="en-US" w:eastAsia="en-US" w:bidi="ar-SA"/>
          </w:rPr>
          <w:t>(1991) 8 C.C.L.T. (2d) 138</w:t>
        </w:r>
      </w:hyperlink>
      <w:r>
        <w:rPr>
          <w:rFonts w:ascii="arial" w:eastAsia="arial" w:hAnsi="arial" w:cs="arial"/>
          <w:color w:val="000000"/>
          <w:sz w:val="20"/>
          <w:lang w:val="en-US" w:eastAsia="en-US" w:bidi="ar-SA"/>
        </w:rPr>
        <w:t xml:space="preserve"> at p. 155, Murray, J., discussed the duty owed and foreseeability: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Hospitals and psychiatrists owe a duty to their patients to take such steps as are necessary to prevent their patients suffering loss or damage which they as reasonably prudent people operating a hospital or practising their profession ought to anticipate might result if they do something or omit to do something which is the cause of such loss or damage to the patient; see: Villemure v. Turcot (1972), </w:t>
      </w:r>
      <w:hyperlink r:id="rId360" w:history="1">
        <w:r>
          <w:rPr>
            <w:rFonts w:ascii="arial" w:eastAsia="arial" w:hAnsi="arial" w:cs="arial"/>
            <w:i/>
            <w:color w:val="0077CC"/>
            <w:sz w:val="20"/>
            <w:u w:val="single"/>
            <w:shd w:val="clear" w:color="auto" w:fill="FFFFFF"/>
            <w:lang w:val="en-US" w:eastAsia="en-US" w:bidi="ar-SA"/>
          </w:rPr>
          <w:t>[1973] S.C.R. 716</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31 D.L.R. (3d) 454</w:t>
        </w:r>
      </w:hyperlink>
      <w:r>
        <w:rPr>
          <w:rFonts w:ascii="arial" w:eastAsia="arial" w:hAnsi="arial" w:cs="arial"/>
          <w:color w:val="000000"/>
          <w:sz w:val="20"/>
          <w:lang w:val="en-US" w:eastAsia="en-US" w:bidi="ar-SA"/>
        </w:rPr>
        <w:t xml:space="preserve">, affirming Recueils de jurisprudence </w:t>
      </w:r>
      <w:hyperlink r:id="rId361" w:history="1">
        <w:r>
          <w:rPr>
            <w:rFonts w:ascii="arial" w:eastAsia="arial" w:hAnsi="arial" w:cs="arial"/>
            <w:i/>
            <w:color w:val="0077CC"/>
            <w:sz w:val="20"/>
            <w:u w:val="single"/>
            <w:shd w:val="clear" w:color="auto" w:fill="FFFFFF"/>
            <w:lang w:val="en-US" w:eastAsia="en-US" w:bidi="ar-SA"/>
          </w:rPr>
          <w:t>[1970] C.A. 538</w:t>
        </w:r>
      </w:hyperlink>
      <w:r>
        <w:rPr>
          <w:rFonts w:ascii="arial" w:eastAsia="arial" w:hAnsi="arial" w:cs="arial"/>
          <w:color w:val="000000"/>
          <w:sz w:val="20"/>
          <w:lang w:val="en-US" w:eastAsia="en-US" w:bidi="ar-SA"/>
        </w:rPr>
        <w:t xml:space="preserve">, and Jinks v. Cardwell </w:t>
      </w:r>
      <w:hyperlink r:id="rId362" w:history="1">
        <w:r>
          <w:rPr>
            <w:rFonts w:ascii="arial" w:eastAsia="arial" w:hAnsi="arial" w:cs="arial"/>
            <w:i/>
            <w:color w:val="0077CC"/>
            <w:sz w:val="20"/>
            <w:u w:val="single"/>
            <w:shd w:val="clear" w:color="auto" w:fill="FFFFFF"/>
            <w:lang w:val="en-US" w:eastAsia="en-US" w:bidi="ar-SA"/>
          </w:rPr>
          <w:t>(1987), 39 C.C.L.T. 168</w:t>
        </w:r>
      </w:hyperlink>
      <w:r>
        <w:rPr>
          <w:rFonts w:ascii="arial" w:eastAsia="arial" w:hAnsi="arial" w:cs="arial"/>
          <w:color w:val="000000"/>
          <w:sz w:val="20"/>
          <w:lang w:val="en-US" w:eastAsia="en-US" w:bidi="ar-SA"/>
        </w:rPr>
        <w:t xml:space="preserve"> (Ont. H.C.). A hospital also owes a duty to other patients in the hospital to exercise such control and supervision over mental ill patients that because of his or her conduct or behaviour, fellow patients do not come to harm; see: Stewart v. Extendicare Ltd., </w:t>
      </w:r>
      <w:hyperlink r:id="rId363" w:history="1">
        <w:r>
          <w:rPr>
            <w:rFonts w:ascii="arial" w:eastAsia="arial" w:hAnsi="arial" w:cs="arial"/>
            <w:i/>
            <w:color w:val="0077CC"/>
            <w:sz w:val="20"/>
            <w:u w:val="single"/>
            <w:shd w:val="clear" w:color="auto" w:fill="FFFFFF"/>
            <w:lang w:val="en-US" w:eastAsia="en-US" w:bidi="ar-SA"/>
          </w:rPr>
          <w:t>38 C.C.L.T. 67</w:t>
        </w:r>
      </w:hyperlink>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[1986] 4 W.W.R. 559</w:t>
        </w:r>
      </w:hyperlink>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48 Sask. R. 86</w:t>
        </w:r>
      </w:hyperlink>
      <w:r>
        <w:rPr>
          <w:rFonts w:ascii="arial" w:eastAsia="arial" w:hAnsi="arial" w:cs="arial"/>
          <w:color w:val="000000"/>
          <w:sz w:val="20"/>
          <w:lang w:val="en-US" w:eastAsia="en-US" w:bidi="ar-SA"/>
        </w:rPr>
        <w:t xml:space="preserve"> (Q.B.). It should follow that a psychiatrist owes a like duty to other out-patients he is treating while they are upon his office premises. These relationships also have a contractual component. It must be remembered that such a duty is confined to reasonable and foreseeable dangers. As stated by Hall J. speaking for the Supreme Court of Canada in the case of University Hospital Bd. v. Lepine, </w:t>
      </w:r>
      <w:hyperlink r:id="rId364" w:history="1">
        <w:r>
          <w:rPr>
            <w:rFonts w:ascii="arial" w:eastAsia="arial" w:hAnsi="arial" w:cs="arial"/>
            <w:i/>
            <w:color w:val="0077CC"/>
            <w:sz w:val="20"/>
            <w:u w:val="single"/>
            <w:shd w:val="clear" w:color="auto" w:fill="FFFFFF"/>
            <w:lang w:val="en-US" w:eastAsia="en-US" w:bidi="ar-SA"/>
          </w:rPr>
          <w:t>[1966] S.C.R. 561</w:t>
        </w:r>
      </w:hyperlink>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57 W.W.R. 5</w:t>
        </w:r>
      </w:hyperlink>
      <w:r>
        <w:rPr>
          <w:rFonts w:ascii="arial" w:eastAsia="arial" w:hAnsi="arial" w:cs="arial"/>
          <w:color w:val="000000"/>
          <w:sz w:val="20"/>
          <w:lang w:val="en-US" w:eastAsia="en-US" w:bidi="ar-SA"/>
        </w:rPr>
        <w:t xml:space="preserve">, (sub nom. Moncton v. Lepine) </w:t>
      </w:r>
      <w:hyperlink r:id="rId364" w:history="1">
        <w:r>
          <w:rPr>
            <w:rFonts w:ascii="arial" w:eastAsia="arial" w:hAnsi="arial" w:cs="arial"/>
            <w:i/>
            <w:color w:val="0077CC"/>
            <w:sz w:val="20"/>
            <w:u w:val="single"/>
            <w:shd w:val="clear" w:color="auto" w:fill="FFFFFF"/>
            <w:lang w:val="en-US" w:eastAsia="en-US" w:bidi="ar-SA"/>
          </w:rPr>
          <w:t>57 D.L.R. (2d) 701</w:t>
        </w:r>
      </w:hyperlink>
      <w:r>
        <w:rPr>
          <w:rFonts w:ascii="arial" w:eastAsia="arial" w:hAnsi="arial" w:cs="arial"/>
          <w:color w:val="000000"/>
          <w:sz w:val="20"/>
          <w:lang w:val="en-US" w:eastAsia="en-US" w:bidi="ar-SA"/>
        </w:rPr>
        <w:t>, at pp. 579-580 [S.C.R.]: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of whether there was or was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given situation has been dealt with in many judgments and by writers at great length. One principle emerges upon which there is universal agreement, namely, that whether or not an act or omission is negligent must be judged not by its consequences alone but also by considering whether a reasonable person should have anticipated that what happened might be a natural result of that act or omission. As was said by Lord Thankerton in Glasgow Corporation v. Muir, [1943] A.C. 448: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court must be careful to place itself in the position of the person charged with the duty to consider what he or she should have reasonably anticipated as a natural and probable consequence of neglect, and not to give undue weight to the fact that a distressing accident has happened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Hill v. Chief Constable of West Yorkshire, [1988] 2 All E.R. 238 (H.L.) at p. 241, Lord Keith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said almost too frequently to require repetition that foreseeability of likely harm is not in itself a sufficient test of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Some further ingredient is invariably needed to establish the requisite proximity of relationship between the plaintiff and defendant, and all the circumstances of the case must be carefully considered and analysed in order to ascertain whether such an ingredient is present. The nature of the ingredient will be found to vary in a number of different categories of decided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this background it is necessary to turn to an examination of what the hospital knew concerning Mr. Hutchins prior to the incident in question, and, whether that knowledge made the defendant aware that Mr. Hutchins' represented a serious danger to the well-being of other patients such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of some importance that a clear distinction be drawn between information the defendant had available to it prior to the incident and that of which it was aware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beginning this analysis it is necessary to say at the outset that not only was it not proven that Mr. Hutchins was a sexual predator, no evidence whatsoever was led in any attempt to suggest that he was. In the circumstances that pleading is regrettable to put it mildly.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Hutchins was an 85 year old man who was admitted to the hospital after collapsing and becoming unconscious. He was admitted at 2:24 hours on October 27,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Portions of the initial recorded history note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HISTORY OF PRESENT ILLNESS This man was brought in by EHS. He was found prone on the floor. We do not have any history. His wife is a poor historian, probably Alzheimer's as she is not oriented to date. We are not sure who phoned EHS, but it was probably the wife. We can get no history from the man and no history from the wife. The wife stated to the ambulance drivers that she gave amitriptyline to her husband but this is not clear. Initially with ambulance blood sugar was 9 and oximetry was 94%. The patient was moving all four limbs, had constricted pupils and good air entry and normal vitals.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COURSE IN EMERGENCY: He settled down with some reassurance. ECG did not show any arrhythmia. He appears to have a left bundle branch block pattern, borderline QRS duration in his ECG. His blood gases showed a PC02 of 46, pH of 7.43 and a PO2 of 287. CBC, electrolytes, enzymes showed some minor changes. Hemoglobin was down at 101, AST up at 66, CK was normal, ethanol was negative, creatinine slightly up at 120, glucose 5.6, potassium 4.2, sodium 138 and urea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October 27, 1996, the progress notes record the following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elderly married man has been living with his 2nd wife in W. Van for 4 years. They function only marginally given her Alzheimer's and his dementia (mild). He only takes zapiclone to sleep as he is often up &amp; around disturbing the neighbours at night.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Surprisingly &lt;Hutchins&gt; has been quite well except for a psychiatric adjustment reaction to his 1st wife's death where he became quite paranoid and depressed. Since then he's been the strength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progress notes for October 29, 1996, are found the following entries: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had 3 x 2mg ativan in 8 h for agitation and restlessness. I'm not sure about the amount that &lt;Hutchins&gt; drinks but I think it is a fair amount.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Agitation last night consistent with possible ETOH withdrawal. I spoke with daughter yesterday and step daughter today (in S. Carolina) everyone feels social situation is extremely tenuous and I promised we would not discharge until social worker &amp; Dr. Conley have had a chance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nurses' notes portion of the clinical records gives a slightly more expanded picture of Mr. Hutchins. It includes the following entries leading up to the incident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 OCT 96</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01:20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Pt. Quite confused, mumbling non-sensical conversation. Climbing out of bed &amp; attempting to walk to BR, completely ignoring IV line &amp; pump. Urinal provided. Voided. Returned to bed. Restraint jacket applied. Bed transferred to 724-4.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06:30 . . . Pt has been restless all night and seems not to have slept at all.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19:00 . . . Attempting to get out of bed at times. Taken to B.R. &amp; voided when restless &amp; resettled to bed. Safety vest on while in bed. Very unsteady on feet when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Pt. Remains restless &amp; unsettled. Transferred to 720-1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purposes of care. Care Aide remains in room with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pts. Wife encouraged to go home and has done so.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Pt appears to be settling.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Pt. Chatting to care aide. Not attempting to leave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 29 19:00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Drowsy but responsive to verbal stimuli. . . .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wandering in hall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Alert &amp; oriented to person place &amp; time but vague &amp;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inappropriate at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Pt. Sitting up in bed with light on talking to 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Writer settled pt &amp; informed pt it was 23:00. Pt. Was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surprised &amp; stated he thought it was morning. Settled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easily.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 30 01:00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Pt. Talking to self not sure if its day or night.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04:00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Pt. fussing about in bed. Talking out loud. Stated 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hungry why didn't he get dinner! Banana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04:00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Pt. Seeing his sister on the wall wanting to get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down with a ladder. Pt. Shown that it is a fan on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wall &amp; not his sister. Pt unable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latter entry was the last entry in the nursing notes prior to the incident in question. The next two entries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 30/96</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Oriented to person, place and year at this time. Pt seems to fluctuate on level of confusion. Up wandering hall independently. Entered female pt. Room and seemed to attempt to enter fellow pt's occupied bed. Pt moved to locked room. Loxapine administered appears to have settled in room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14:00 see incident report Pt. Entered 718-1 room lifted up her sheets, gown, Touched pt's buttocks.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clinical records also contain notes from interviews by the social worker assigned to the case. These notes include more detailed summaries of the circumstances of Mr. Hutchins. Within the notes are the following entries: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 28/96 . . . Recent HX of episode of confusion/hallucination/ yelling in the yard at 2 am 2 mos ago, which resulted in WVPD being called. Pts. Daughter says he was out of his Rx for Imovane at the time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wife's son . . . indicates that pt. And wife drink "at least" a bottle/wine/day. Pt is presently (evening 10-29-96) disoriented x 2 and mildly hallucinating that he went home last nite . . . From family sheet and hx in chart, it would seem that he has some degree of underlying dementia, but functions better than wife. I wonder if he is presently undergoing not only ETOH W/D but also Imovane W/D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OCT 30/96 . . . Family members indicate &lt;their&gt; time clocks are "off" they stay up until 2 or 3 am then sleep until early afternoon. . . . Considerable ETOH is said to be consumed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incident report prepared and signed by the nurses involved records the following description of the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Confused wandering pt. In a female room touching pt. In 7128-1. Heard pt. yelling "nurse". 2 nurses began approaching room where shout came from. Then heard pt screaming "Get out of here!" Found Mr. Hutchins standing at foot of bed. Pt. in 178-1 crying uncontrollably stating Hutchins was touching her back, her buttocks, had also wandered in early am and undid his pants. Pt in 718-2 witness to all of above.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wandering pt. (Mr. Hutchings) (sic) removed from room by 2-3 nurses. Pt. aggressive at first.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physically none - pt (718-1) very upset, crying, shaking ++, scared.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carefully reviewed the whole of the evidence placed before the court at this trial. There is, quite literally, no evidence to support the allegations that the patient Hutchins was "a sexual predator" or that he was a "violent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no evidence before the court from which one could possibly conclude that the defendant hospital knew, or even suspected, that Hutchins was dangerous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To be specific, at no time prior to the incident in question did the patient Hutchins appear to be dangerous to anyone, including himself. The overall picture of this patient was that of a confused elderly man with disrupted sleep patterns who found it difficult to settle down and wandered. There is no evidence to support the allegation that he was becoming increasingly agitated or violent or aggressive prior to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FORESEEABILITY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Robertson v. Adigibite et al, supra, Macaulay J. had before him a case in which the plaintiff was attacked and injured by a mentally disabled patient on an outing to a retail store with two careworkers and another resident of a group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Macaulay J., after reviewing the authorities, found, at para. 57,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mere foreseeable possibility of risk is insufficient to render a person liable to a third person for the acts of another person. Instead, the courts have adopted a test of reasonable foreseeability of a likely risk of harm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decision went on to cite, with approval, a passage from Wenden v. Trikha </w:t>
      </w:r>
      <w:hyperlink r:id="rId359" w:history="1">
        <w:r>
          <w:rPr>
            <w:rFonts w:ascii="arial" w:eastAsia="arial" w:hAnsi="arial" w:cs="arial"/>
            <w:i/>
            <w:color w:val="0077CC"/>
            <w:sz w:val="20"/>
            <w:u w:val="single"/>
            <w:shd w:val="clear" w:color="auto" w:fill="FFFFFF"/>
            <w:lang w:val="en-US" w:eastAsia="en-US" w:bidi="ar-SA"/>
          </w:rPr>
          <w:t>(1991), 8 C.C.L.T. (2d) 138</w:t>
        </w:r>
      </w:hyperlink>
      <w:r>
        <w:rPr>
          <w:rFonts w:ascii="arial" w:eastAsia="arial" w:hAnsi="arial" w:cs="arial"/>
          <w:color w:val="000000"/>
          <w:sz w:val="20"/>
          <w:lang w:val="en-US" w:eastAsia="en-US" w:bidi="ar-SA"/>
        </w:rPr>
        <w:t xml:space="preserve">, affirmed </w:t>
      </w:r>
      <w:hyperlink r:id="rId365" w:history="1">
        <w:r>
          <w:rPr>
            <w:rFonts w:ascii="arial" w:eastAsia="arial" w:hAnsi="arial" w:cs="arial"/>
            <w:i/>
            <w:color w:val="0077CC"/>
            <w:sz w:val="20"/>
            <w:u w:val="single"/>
            <w:shd w:val="clear" w:color="auto" w:fill="FFFFFF"/>
            <w:lang w:val="en-US" w:eastAsia="en-US" w:bidi="ar-SA"/>
          </w:rPr>
          <w:t>(1993) 14 C.C.L.T. (2d) 225</w:t>
        </w:r>
      </w:hyperlink>
      <w:r>
        <w:rPr>
          <w:rFonts w:ascii="arial" w:eastAsia="arial" w:hAnsi="arial" w:cs="arial"/>
          <w:color w:val="000000"/>
          <w:sz w:val="20"/>
          <w:lang w:val="en-US" w:eastAsia="en-US" w:bidi="ar-SA"/>
        </w:rPr>
        <w:t xml:space="preserve"> at p.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hospital treating mentally ill patients does owe a duty of care to a person or a class of person other than its staff or patients if it can be said that </w:t>
      </w:r>
      <w:r>
        <w:rPr>
          <w:rFonts w:ascii="arial" w:eastAsia="arial" w:hAnsi="arial" w:cs="arial"/>
          <w:color w:val="000000"/>
          <w:sz w:val="20"/>
          <w:u w:val="single"/>
          <w:lang w:val="en-US" w:eastAsia="en-US" w:bidi="ar-SA"/>
        </w:rPr>
        <w:t>it is foreseeable that harm will likely occur to such a person or persons as a result of the behaviour of a mentally ill patient</w:t>
      </w:r>
      <w:r>
        <w:rPr>
          <w:rFonts w:ascii="arial" w:eastAsia="arial" w:hAnsi="arial" w:cs="arial"/>
          <w:color w:val="000000"/>
          <w:sz w:val="20"/>
          <w:lang w:val="en-US" w:eastAsia="en-US" w:bidi="ar-SA"/>
        </w:rPr>
        <w:t xml:space="preserv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issue of foreseeability, Macaulay J. concluded, at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all that was known about Adigbite before December 11, 1994 there was no reason to foresee a likely risk that Adigbite would assault other shoppers at the Costco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These words, with the appropriate changes, are equally applicable in the present case. The evidence in this case discloses no basis for foreseeing a likely risk that Hutchins would assault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reaching this conclusion I am mindful of the passage in Stadel v. Albertson et al, </w:t>
      </w:r>
      <w:hyperlink r:id="rId366" w:history="1">
        <w:r>
          <w:rPr>
            <w:rFonts w:ascii="arial" w:eastAsia="arial" w:hAnsi="arial" w:cs="arial"/>
            <w:i/>
            <w:color w:val="0077CC"/>
            <w:sz w:val="20"/>
            <w:u w:val="single"/>
            <w:shd w:val="clear" w:color="auto" w:fill="FFFFFF"/>
            <w:lang w:val="en-US" w:eastAsia="en-US" w:bidi="ar-SA"/>
          </w:rPr>
          <w:t>[1954] 2 D.L.R. 328</w:t>
        </w:r>
      </w:hyperlink>
      <w:r>
        <w:rPr>
          <w:rFonts w:ascii="arial" w:eastAsia="arial" w:hAnsi="arial" w:cs="arial"/>
          <w:color w:val="000000"/>
          <w:sz w:val="20"/>
          <w:lang w:val="en-US" w:eastAsia="en-US" w:bidi="ar-SA"/>
        </w:rPr>
        <w:t xml:space="preserve"> at p. 335,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an action is negligent must be judged not by its consequences alone, but also by considering whether a reasonable person should have anticipated that what happened might be a natural result of that act or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reasoning in Wenden v. Trikha, supra, is equally applicable. In that case, a psychiatric patient left a psychiatric ward of a hospital and, under the influence of delusions, drove at high speed through a red light striking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p. 161, the court set out the test to be applied: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my mind, it is a logical application of the reasoning in the Dorset Yacht decision that it is only fair and reasonable that both a hospital and a psychiatrist who became aware that a patient presents a serious danger to the well-being of a third party or parties owe a duty to take reasonable steps to protect such a person or persons if the requisite proximity of relationship exists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goes on to note at p. 165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succeed, the plaintiffs must satisfy the court that Trikha, because of his mental condition, posed a danger to third parties of which the hospital staff or Dr. Yaltho knew or ought to have reasonably foreseen could result in harm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evidence before the court there is simply no basis for finding that such a risk was foreseeable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concluding on the first issue it is necessary to comment on the decision of the Ontario Court of Justice (General Division) in H. (M.) v. Bederman </w:t>
      </w:r>
      <w:hyperlink r:id="rId367" w:history="1">
        <w:r>
          <w:rPr>
            <w:rFonts w:ascii="arial" w:eastAsia="arial" w:hAnsi="arial" w:cs="arial"/>
            <w:i/>
            <w:color w:val="0077CC"/>
            <w:sz w:val="20"/>
            <w:u w:val="single"/>
            <w:shd w:val="clear" w:color="auto" w:fill="FFFFFF"/>
            <w:lang w:val="en-US" w:eastAsia="en-US" w:bidi="ar-SA"/>
          </w:rPr>
          <w:t>(1995), 27 C.C.L.T. (2d) 152</w:t>
        </w:r>
      </w:hyperlink>
      <w:r>
        <w:rPr>
          <w:rFonts w:ascii="arial" w:eastAsia="arial" w:hAnsi="arial" w:cs="arial"/>
          <w:color w:val="000000"/>
          <w:sz w:val="20"/>
          <w:lang w:val="en-US" w:eastAsia="en-US" w:bidi="ar-SA"/>
        </w:rPr>
        <w:t>, on which the plaintiff relies. At p. 155, Eberhard J. writes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Neither Dr. Bederman nor the medical witnesses expert in both clinic and hospital standards of care for plastic surgery had ever heard of a sexual assault by patients in a clinic setting. However, I am persuaded that the incident was foreseeable. Dr. Carlsen spoke with frustration of being unable to prevent patient intrusions on the privacy of other patients in the hospital setting. Another witness mentioned she had read of patient assaults in the newspapers. This testimony was nothing more than an expression of a general awareness in modern society of the potential for unpredictable and unwanted human misbehaviour in a variety of settings. No one, certainly not a physician, could claim ignorance of the prevalence of acts of sexual misconduct in modern society. In a way, the whole of society is on the alert because it is foreseeable that such acts will occur in the most unexpected circumstances. Therefore, irrespective of the particular individuals who are placed together, it cannot be said that some incident of misconduct is not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This passage and the approach taken in it to foreseeability has, to the best of my knowledge, never been applied either in Ontario or British Columbia in the six years since it was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wholly unable to accept this approach as being one that fits within the parameters of the principles and authorities referred to above. Instead, this approach elevates the principle of foreseeability to that of a guarantee against "unpredictable" and "unexpected" intrusions.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Absent compelling authority, I am unable to accept this as the appropriate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find that this unfortunate incident was not foreseeable and that, as a result, it falls outside the scope of the duty owed by the hospital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event I am in error in concluding that the events on which this action is based were not foreseeable, it is necessary to consider whether or not the defendant hospital departed from the standard of care expected of nurses and hospitals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concedes that in order to succeed she must adduce evidence that the standard of care expected of the hospital and its nurses in the treatment and management of wandering and/or aggressive patients and patients with cognitive impairment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authorities for this proposition are legion, including ter Neuzen v. Korn </w:t>
      </w:r>
      <w:hyperlink r:id="rId368"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 xml:space="preserve"> at p. 590; Tekand v. Lions Gate Hospital et al , </w:t>
      </w:r>
      <w:hyperlink r:id="rId369" w:history="1">
        <w:r>
          <w:rPr>
            <w:rFonts w:ascii="arial" w:eastAsia="arial" w:hAnsi="arial" w:cs="arial"/>
            <w:i/>
            <w:color w:val="0077CC"/>
            <w:sz w:val="20"/>
            <w:u w:val="single"/>
            <w:shd w:val="clear" w:color="auto" w:fill="FFFFFF"/>
            <w:lang w:val="en-US" w:eastAsia="en-US" w:bidi="ar-SA"/>
          </w:rPr>
          <w:t>[1999] B.C.J. No. 1763</w:t>
        </w:r>
      </w:hyperlink>
      <w:r>
        <w:rPr>
          <w:rFonts w:ascii="arial" w:eastAsia="arial" w:hAnsi="arial" w:cs="arial"/>
          <w:color w:val="000000"/>
          <w:sz w:val="20"/>
          <w:lang w:val="en-US" w:eastAsia="en-US" w:bidi="ar-SA"/>
        </w:rPr>
        <w:t xml:space="preserve">, 26 July 1999, Vancouver Registry No. C973422 at para. 109; Postnikoff v. White et al, </w:t>
      </w:r>
      <w:hyperlink r:id="rId370" w:history="1">
        <w:r>
          <w:rPr>
            <w:rFonts w:ascii="arial" w:eastAsia="arial" w:hAnsi="arial" w:cs="arial"/>
            <w:i/>
            <w:color w:val="0077CC"/>
            <w:sz w:val="20"/>
            <w:u w:val="single"/>
            <w:shd w:val="clear" w:color="auto" w:fill="FFFFFF"/>
            <w:lang w:val="en-US" w:eastAsia="en-US" w:bidi="ar-SA"/>
          </w:rPr>
          <w:t>[1998] B.C.J. No. 1032</w:t>
        </w:r>
      </w:hyperlink>
      <w:r>
        <w:rPr>
          <w:rFonts w:ascii="arial" w:eastAsia="arial" w:hAnsi="arial" w:cs="arial"/>
          <w:color w:val="000000"/>
          <w:sz w:val="20"/>
          <w:lang w:val="en-US" w:eastAsia="en-US" w:bidi="ar-SA"/>
        </w:rPr>
        <w:t xml:space="preserve">, 27 April 1998, Kelowna Registry No. 32506 at para. 34; and, Carnkovic v. Stockdill, </w:t>
      </w:r>
      <w:hyperlink r:id="rId371" w:history="1">
        <w:r>
          <w:rPr>
            <w:rFonts w:ascii="arial" w:eastAsia="arial" w:hAnsi="arial" w:cs="arial"/>
            <w:i/>
            <w:color w:val="0077CC"/>
            <w:sz w:val="20"/>
            <w:u w:val="single"/>
            <w:shd w:val="clear" w:color="auto" w:fill="FFFFFF"/>
            <w:lang w:val="en-US" w:eastAsia="en-US" w:bidi="ar-SA"/>
          </w:rPr>
          <w:t>[1998] B.C.J. No. 3187</w:t>
        </w:r>
      </w:hyperlink>
      <w:r>
        <w:rPr>
          <w:rFonts w:ascii="arial" w:eastAsia="arial" w:hAnsi="arial" w:cs="arial"/>
          <w:color w:val="000000"/>
          <w:sz w:val="20"/>
          <w:lang w:val="en-US" w:eastAsia="en-US" w:bidi="ar-SA"/>
        </w:rPr>
        <w:t>, 9 January 1998, New Westminster Registry No. S026054 at paras. 85-86.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at this trial, called three witnesses. Besides the plaintiff herself, her husband and her family doctor, Dr. Hugh Patterson,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defence in turn called four witnesses. These included Jeanne Marie Foley, a nurse with over 40 years experience, who was tendered and qualified as an expert in the standard of care expected of hospitals and nurses in the circumstances; two registered nurses on duty at the time, Desiree Bonner and Lucy Johnson; and, Lynette Best, who was the Chief Operating Officer of the defendant hospital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evidence as to the standard of care in this case came almost entirely from the evidence of the defence witnesses and, in particular, that of Ms. Foley.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Foley expressed the opinion that the defendant hospital and its nursing staff met the requisite standard of care in all aspects of treatment and management of both Ms. C.L.C. and Mr. Hutchins.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Foley, for the purpose of formulating her opinion, was provided with a statement of assumed facts which is attached to and forms a part of her report. In my view, each of the material facts set out in that statement was supported and established by the evidence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contrast, during the course of a lengthy cross-examination, Ms. Foley was asked by plaintiff's counsel to assume certain additional facts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 elderly male patient had been moved three times in 24 hours;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this patient was progressively losing orientation and becoming agitated, confused and demanding;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prior to his admission to hospital, the elderly male patient had taken all of his Imovone and drank alcohol heavily (1 bottle of wine per day plus a 26 ounce bottle of whiskey).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first difficulty with these additional assumptions is that none of them were established on the evidence. In particular, the evidence establishes the patient was moved twice - not three times. Secondly, the evidence does not support a finding that Mr. Hutchins was progressively losing orientation or that he was becoming more agitated, confused or demanding. Finally, the evidence is far less clear on Mr. Hutchins' alcohol consumption than that posed to Ms. Foley by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end, the plaintiff has failed to meet the burden on her to establish a breach of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unnecessary, in the circumstances, to go on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this case this regrettable incident was not foreseeable and, even if it was, there was no breach of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action is dismissed. If counsel are unable to agree on costs,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Erickson v. Morneau, [2001] B.C.J. No. 913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Salmon Arm,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Groves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Salmon Arm Registry No. 4299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913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583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223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Edward Erickson and Margaret Erickson, plaintiffs, and Paul Emile Morneau, Eugenie Alice Morneau, Lynn MacLeod, Esther Wallis and Marcella Peel, defendants, and Esther Wallis,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8" w:name="Keywords_15"/>
      <w:bookmarkEnd w:id="118"/>
      <w:r>
        <w:rPr>
          <w:rFonts w:ascii="arial" w:eastAsia="arial" w:hAnsi="arial" w:cs="arial"/>
          <w:b/>
          <w:color w:val="000000"/>
          <w:sz w:val="20"/>
          <w:lang w:val="en-US" w:eastAsia="en-US" w:bidi="ar-SA"/>
        </w:rPr>
        <w:t>Practice — Pleadings — Amendment of pleadings — Statement of claim, adding particulars or subsequent facts — Considerations governing granting of leave.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9" w:name="Case Summary_15"/>
            <w:bookmarkEnd w:id="1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Ericksons to amend their statement of claim to further particularize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to withdraw a claim of fraudulent misrepresentation against the defendant Wallis. Wallis took no position on the withdrawal of the claim of fraudulent misrepresentation, but raised concern about delay regarding the amendment to particularize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0" w:name="Holdings of Court_14"/>
            <w:bookmarkEnd w:id="12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amendment to particularize the existing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did not raise new issues and thus did not create a new cause of action. Thus, the argument about delay was not compelling.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1" w:name="Legislation Cited_12"/>
      <w:bookmarkEnd w:id="1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4"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24(1)(b).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2" w:name="Counsel_15"/>
      <w:bookmarkEnd w:id="1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5"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Jackson, for the plaintiffs. D.M. Rush, for the defendant, Esther Wallis.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5"/>
      <w:bookmarkEnd w:id="123"/>
      <w:r>
        <w:pict>
          <v:line id="_x0000_s1106" style="position:absolute;z-index:2518282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MASTER GROVES"/>
            <w:bookmarkEnd w:id="124"/>
            <w:r>
              <w:rPr>
                <w:rFonts w:ascii="arial" w:eastAsia="arial" w:hAnsi="arial" w:cs="arial"/>
                <w:b/>
                <w:color w:val="000000"/>
                <w:sz w:val="30"/>
                <w:lang w:val="en-US" w:eastAsia="en-US" w:bidi="ar-SA"/>
              </w:rPr>
              <w:t>MASTER GROVES</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against the various defendants relate to the purchase by the plaintiffs on the 29th of November 1993 of a condominium property in Armstrong, British Columbia. The one defendant concerned in this application, Esther Wallis, is a realtor who was the listing realtor of a condominium property which was purchased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litigation appears to have been ongoing for a substantial period of time. The writ of summons was filed on the 17th of October 1995. The matter has been set for trial on at least what appears to be at least two occasions. There have been applications and orders, apparently by consent, to adjourn the trial. There has been one application by the defendant Esther Wallis to have the entire matter stayed pending a decision in a B.C. Supreme Court action out of Vernon. I am advised that this Vernon action relates to a claim by this strata corporation against the developer and builder of the condominium which the plaintiffs purchased back in 1993. That litigation, the Vernon action, is still not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application that is before me is the application of the plaintiffs to amend the statement of claim to further particularize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Esther Wallis, and to withdraw the claim of fraudulent misrepresentation against the defendant Esther Wallis. No position is taken by the defendant in regards to the withdrawal of the claim of fraudulent misrepresentation and that order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amendments to the writ of summons and statement of claim contemplated, it is argued by the plaintiffs, merely flush out the original statement of claim and particularize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point out that the original statement of claim identifies Wallis as the listing realtor. It further states that Wallis and others made representations about the condominium eventually purchased by the plaintiffs, that the representations were false. As indicated, they made the claim that the representations were fraudulent, which is now withdrawn. The statement of claim points out that the plaintiffs relied on representation of the various defendants, including Wallis, and as a result of those representations the plaintiffs have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original statement of claim specifically states that the plaintiffs' claim is for "special and general damages against all the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14th of November 1995 the statement of defence was filed on behalf of the defendants Esther Wallis and Marcella Peel. By way of previous order, the action against Marcella Peel was dismissed. Paragraph three of that statement of defence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answer to the whole of the statement of claim, these defendants: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deny that they were deceitful or negligent or made fraudulent or negligent misrepresentations as alleged or at all;</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deny that they were in breach of any duty of care or to warn owed to the plaintiffs as alleged or at all;</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say that in all the dealings that they had with the subject property and with the plaintiffs, they conducted themselves in accordance with the prevailing standard of care of reasonably prudent real estate salespersons in the circumstances and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this issue I was referred by counsel for the plaintiffs to the decision of Nguyen v. Le </w:t>
      </w:r>
      <w:hyperlink r:id="rId379" w:history="1">
        <w:r>
          <w:rPr>
            <w:rFonts w:ascii="arial" w:eastAsia="arial" w:hAnsi="arial" w:cs="arial"/>
            <w:i/>
            <w:color w:val="0077CC"/>
            <w:sz w:val="20"/>
            <w:u w:val="single"/>
            <w:shd w:val="clear" w:color="auto" w:fill="FFFFFF"/>
            <w:lang w:val="en-US" w:eastAsia="en-US" w:bidi="ar-SA"/>
          </w:rPr>
          <w:t>[1997] B.C.J. No. 2246</w:t>
        </w:r>
      </w:hyperlink>
      <w:r>
        <w:rPr>
          <w:rFonts w:ascii="arial" w:eastAsia="arial" w:hAnsi="arial" w:cs="arial"/>
          <w:color w:val="000000"/>
          <w:sz w:val="20"/>
          <w:lang w:val="en-US" w:eastAsia="en-US" w:bidi="ar-SA"/>
        </w:rPr>
        <w:t xml:space="preserve">, a decision of Master Joyce, as he then was, and the decision of Madam Justice Dorgan in Dumphy v. Robertson </w:t>
      </w:r>
      <w:hyperlink r:id="rId380" w:history="1">
        <w:r>
          <w:rPr>
            <w:rFonts w:ascii="arial" w:eastAsia="arial" w:hAnsi="arial" w:cs="arial"/>
            <w:i/>
            <w:color w:val="0077CC"/>
            <w:sz w:val="20"/>
            <w:u w:val="single"/>
            <w:shd w:val="clear" w:color="auto" w:fill="FFFFFF"/>
            <w:lang w:val="en-US" w:eastAsia="en-US" w:bidi="ar-SA"/>
          </w:rPr>
          <w:t>[1998] B.C.J. No. 1249</w:t>
        </w:r>
      </w:hyperlink>
      <w:r>
        <w:rPr>
          <w:rFonts w:ascii="arial" w:eastAsia="arial" w:hAnsi="arial" w:cs="arial"/>
          <w:color w:val="000000"/>
          <w:sz w:val="20"/>
          <w:lang w:val="en-US" w:eastAsia="en-US" w:bidi="ar-SA"/>
        </w:rPr>
        <w:t xml:space="preserve">. As in those cases, I am satisfied that the amendments sought here by the plaintiffs are of particularization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in the existing statement of claim. As those decisions point out, in very similar circumstances, the amendments such as proposed here, which do not raise new issues but only particularize existing ones claimed, do not create new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Factually, it is clear that the defendant Esther Wallis has known all along that there was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acknowledgement is noted not only in the statement of defence filed on her behalf, but also by the conduct of the examinations for discoveries and the fact that issues related to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dealt with by her counsel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raises concern about the issue of delay. It is conceded that this application was before the court on approximately the 20th of October 2000 and was adjourned at that time by consent. However, the defendant argues that this litigation has "gone to sleep" for some time, and that prejudice arises as a result of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Having decided that allowing these amendments does not introduce a new cause of action, and in light of the fact that no trial date is imminent, the arguments about a delay are not compelling. Considering the general principle that amendments should be granted in order that all issues can be tried unless to do so would cause prejudice, and noting as I do that these amendments particularize existing claims, the timeliness argument raised by the defendant fails. There will be an order that the writ of summons and statement of claim is amended pursuant to Rule 24(1)(b) in the form attached to a praecipe filed the 27th of March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Each party will bear their own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GROVES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Freidooni v. Freidooni, [2010] B.C.J. No. 721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S.J. Shabbits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March 4,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23,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M084529</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721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553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188 A.C.W.S. (3d) 916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995</w:t>
      </w:r>
    </w:p>
    <w:p>
      <w:pPr>
        <w:spacing w:before="120" w:line="260" w:lineRule="atLeast"/>
        <w:rPr>
          <w:lang w:val="en-US" w:eastAsia="en-US" w:bidi="ar-SA"/>
        </w:rPr>
      </w:pPr>
      <w:r>
        <w:rPr>
          <w:rFonts w:ascii="arial" w:eastAsia="arial" w:hAnsi="arial" w:cs="arial"/>
          <w:color w:val="000000"/>
          <w:sz w:val="20"/>
          <w:lang w:val="en-US" w:eastAsia="en-US" w:bidi="ar-SA"/>
        </w:rPr>
        <w:t>Between Jennifer Freidooni, Plaintiff, and Vahid Freidooni and Honda Finance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8"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25" w:name="Keywords_16"/>
      <w:bookmarkEnd w:id="12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Freidooni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Freidooni was injured in a motor vehicle accident — Her husband was driving the vehicle when it hit a deer on the highway — Freidooni submitted that her husband's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caused the accident — The roadway was wide and the conditions were perfect — At the time of the accident, Freidooni's husband was drinking coffee and listening to music — The only reason he did not see the deer was because he was not paying attention — Therefore, he was negligent and liable for the accident.</w:t>
      </w:r>
    </w:p>
    <w:p>
      <w:pPr>
        <w:jc w:val="both"/>
        <w:rPr>
          <w:lang w:val="en-US" w:eastAsia="en-US" w:bidi="ar-SA"/>
        </w:rPr>
      </w:pPr>
      <w:bookmarkStart w:id="126" w:name="Legislation Cited_13"/>
      <w:bookmarkEnd w:id="12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09"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Rules of Court, Rule 18A</w:t>
      </w:r>
      <w:r>
        <w:rPr>
          <w:lang w:val="en-US" w:eastAsia="en-US" w:bidi="ar-SA"/>
        </w:rPr>
        <w:cr/>
      </w:r>
    </w:p>
    <w:p>
      <w:pPr>
        <w:keepNext/>
        <w:spacing w:before="240" w:line="340" w:lineRule="atLeast"/>
        <w:rPr>
          <w:lang w:val="en-US" w:eastAsia="en-US" w:bidi="ar-SA"/>
        </w:rPr>
      </w:pPr>
      <w:bookmarkStart w:id="127" w:name="Counsel_16"/>
      <w:bookmarkEnd w:id="12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10" style="position:absolute;z-index:2517780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W.D. Mussio.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 De Bai.</w:t>
      </w:r>
      <w:r>
        <w:rPr>
          <w:lang w:val="en-US" w:eastAsia="en-US" w:bidi="ar-SA"/>
        </w:rPr>
        <w:cr/>
      </w:r>
    </w:p>
    <w:p>
      <w:pPr>
        <w:spacing w:after="240"/>
        <w:rPr>
          <w:lang w:val="en-US" w:eastAsia="en-US" w:bidi="ar-SA"/>
        </w:rPr>
      </w:pPr>
      <w:bookmarkStart w:id="128" w:name="Judgment_16"/>
      <w:bookmarkEnd w:id="128"/>
      <w:r>
        <w:pict>
          <v:line id="_x0000_s1111" style="position:absolute;z-index:25182924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9" w:name="S.J. SHABBITS J."/>
            <w:bookmarkEnd w:id="129"/>
            <w:r>
              <w:rPr>
                <w:rFonts w:ascii="arial" w:eastAsia="arial" w:hAnsi="arial" w:cs="arial"/>
                <w:b/>
                <w:color w:val="000000"/>
                <w:sz w:val="30"/>
                <w:lang w:val="en-US" w:eastAsia="en-US" w:bidi="ar-SA"/>
              </w:rPr>
              <w:t>S.J. SHABBITS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was injured in Alberta in a motor vehicle accident that occurred on July 20, 2007. She was a passenger in a vehicle being operated by her husband, the defendant, Vahid Freidooni. She has brought this proceeding for damages, alleging that her husband's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collision giving rise to her injuries. I will sometimes refer to Mr. Freidooni as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and the defendant agree that the issue of the defendant's liability can and should be resolved at this Rule 18A summary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evidence includes the affidavit evidence of the plaintiff, a copy of the plaintiff's statement given by her to an insurance adjuster on August 3, 2007, the transcripts and portions of the evidence given by the plaintiff and the defendant at their examinations for discovery, and copies of a number of photographs of the motor vehicle involved in the accident. The accident involved the defendant's vehicle striking a deer on a highway. The defendant was driving the vehicle, and the plaintiff was a front seat passenger. The Freidooni's three children were in the back seats of the vehicle. There were no other witnesses to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on the application therefore includes the evidence of the only two adult persons who could give evidence as to what happened - those being the plaintiff and the defendant. Both parties accept the evidence advanced by the other. There are no issues of credibility. Neither party suggests that any further evidence could be elicited at a trial. I have concluded that the issue of liability should be determined at this summary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At the time of the accident, the plaintiff was wearing a lap and shoulder belt. She was intermittently speaking with her children. The pleadings raised an issue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there is no evidence that she was contributorily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am of the opinion that the plaintiff was not contributorily negligent. She is not responsible for her injuries or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occurred when the Freidooni family was en route from Millet, Alberta to Vancouver, British Columbia. They had left Millet at around 5:30 a.m. The accident happened at about 7:30 a.m. on Alberta Highway No. 16. Highway No. 16 has two westbound lanes of travel at the point where the accident occurred. The Freidooni vehicle was in the fast lane when it struck a deer. The speed limit was 110 kilometres per hour. The defendant was driving at 130 kilometres per hour. The vehicle was on cruise control. The defendant was listening to music and drinking coffee when he saw a shadow coming from the right of the vehicle. That was immediately followed with a "big impact". The defendant testified that he did not see the deer before the impact - he saw only its shadow. He was unable to take any evasive action. He neither applied the brakes, nor attempted to steer away from the deer.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impact was to the front of the vehicle. The photographs confirm that the point of impact was at the front centre of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Highway No. 16 has a divider between the eastbound and westbound lanes of travel. There are two eastbound lanes on Highway No. 16, as well as the two westbound lanes.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terrain to the right of the defendant's vehicle at the scene of the accident was an open field with no trees or shrubs that would preclude an individual from seeing animals next to the travelled portion of Highway No. 16. The area was wide open, without significant vegetation, signs, buildings or fences. The terrain was flat.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were no vehicles travelling westbound in front of the defendant's vehicle that limited the defendant's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vegetation on the divider area between the westbound and eastbound lanes of Highway No. 16 that could have impeded the defendant's view of deer in that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did not see the deer before the impact. Her evidence is that she was turned speaking with one of her children. Her recollection is that there was no steering or braking by the defendant before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says that he did not see the deer before impact. He neither slowed down nor applied the brakes of the vehicle before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Because neither the plaintiff nor the defendant saw the deer before impact, the defendant submits that it cannot be determined with any certainty as to whether the deer entered the westbound lanes of Highway No. 16 from the open area to the north, that being the open field to the defendant's right, or whether it emerged from the vegetation to the defendant's left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was examined for discovery on September 21, 2009. At discovery, he testified that he saw a shadow coming from his right just before impact. Although he did not see the deer, the defendant said he saw its shadow. The defendant said that the vehicle he was driving was on cruise control at 130 kilometres per hour. The speed limit was 110 kilometres per hour. The defendant said he was "just driving, listening to music."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discovery the defendant was asked: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Do you have any explanation as to why you didn't see this deer even though there wide open field on the right-hand side?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Mainly because it was first thing in the morning, and I thought it is a pretty quiet road, so just on the cruise control and I was pretty much straight and going my way.</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case for the plaintiff is based on the submission that the defendant was negligent in not paying attention to the roadway. It was bright and sunny out at the time of the accident. There was nothing to impede the defendant's view. There was no traffic in the immediate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submits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in failing to see what was there to be seen. In </w:t>
      </w:r>
      <w:r>
        <w:rPr>
          <w:rFonts w:ascii="arial" w:eastAsia="arial" w:hAnsi="arial" w:cs="arial"/>
          <w:i/>
          <w:color w:val="000000"/>
          <w:sz w:val="20"/>
          <w:lang w:val="en-US" w:eastAsia="en-US" w:bidi="ar-SA"/>
        </w:rPr>
        <w:t>White v. Webster</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2003 BCCA 118</w:t>
        </w:r>
      </w:hyperlink>
      <w:r>
        <w:rPr>
          <w:rFonts w:ascii="arial" w:eastAsia="arial" w:hAnsi="arial" w:cs="arial"/>
          <w:color w:val="000000"/>
          <w:sz w:val="20"/>
          <w:lang w:val="en-US" w:eastAsia="en-US" w:bidi="ar-SA"/>
        </w:rPr>
        <w:t>, Esson, J.A. delivers oral reasons for the Court of Appeal. He finds that there was serious fault on the part of the part of the owners of a cow that had escaped onto a highway. He says the operator of a truck that took evasive action to avoid the cow "had little reason to anticipate that a cow, or anything else, would show up in front of his truck." Esson, J.A. said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However, the question whether Mr. White's lack of care for his own safety comes down this. By his own evidence, he did not see the cow until he was so close to it that he decided that he had to take the violent avoiding action which he took, which led to the truck leaving the road. Having regard to those facts, it was, in my view, a virtually unavoidable inference that there was some absence of look out on the part of Mr. White.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Blaine v. Hopkins</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[1990] B.C.J. No. 2724</w:t>
        </w:r>
      </w:hyperlink>
      <w:r>
        <w:rPr>
          <w:rFonts w:ascii="arial" w:eastAsia="arial" w:hAnsi="arial" w:cs="arial"/>
          <w:color w:val="000000"/>
          <w:sz w:val="20"/>
          <w:lang w:val="en-US" w:eastAsia="en-US" w:bidi="ar-SA"/>
        </w:rPr>
        <w:t xml:space="preserve">, Mr. Justice Houghton, of this court, finds that the speed of a vehicle being operated at about 110 kilometres per hour in a 90 kilometre per hour zone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was a contributing factor to a collision with a moose. He finds that if the motor vehicle driver had reacted when he should have reacted, and if he had been travelling at or near the posted speed limit, he could have avoided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 submits that it has not been proven that the defendant had time to take effective evasive action "when the situation was recognizable as being dangerous," and refers to </w:t>
      </w:r>
      <w:r>
        <w:rPr>
          <w:rFonts w:ascii="arial" w:eastAsia="arial" w:hAnsi="arial" w:cs="arial"/>
          <w:i/>
          <w:color w:val="000000"/>
          <w:sz w:val="20"/>
          <w:lang w:val="en-US" w:eastAsia="en-US" w:bidi="ar-SA"/>
        </w:rPr>
        <w:t>Brewster v. Swain</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2007 BCCA 347</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Curre v. Fitt,</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[1996] B.C.J. No. 2882</w:t>
        </w:r>
      </w:hyperlink>
      <w:r>
        <w:rPr>
          <w:rFonts w:ascii="arial" w:eastAsia="arial" w:hAnsi="arial" w:cs="arial"/>
          <w:color w:val="000000"/>
          <w:sz w:val="20"/>
          <w:lang w:val="en-US" w:eastAsia="en-US" w:bidi="ar-SA"/>
        </w:rPr>
        <w:t xml:space="preserve">, Mr. Justice A.F. Wilson of this court exonerates a defendant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circumstances where the defendant was operating a motor vehicle at 50 kilometres per hour in a 30 kilometre per hour speed zone. Wilson J. concludes that even if the vehicle had been going 30, the accident would still have occurred. The collision was with a child who ran out onto the road in front of a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Fajardo v. Horianopoulos</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2006 BCSC 147</w:t>
        </w:r>
      </w:hyperlink>
      <w:r>
        <w:rPr>
          <w:rFonts w:ascii="arial" w:eastAsia="arial" w:hAnsi="arial" w:cs="arial"/>
          <w:color w:val="000000"/>
          <w:sz w:val="20"/>
          <w:lang w:val="en-US" w:eastAsia="en-US" w:bidi="ar-SA"/>
        </w:rPr>
        <w:t xml:space="preserve">, Madam Justice Ross dismisses an action against a motorist whose vehicle struck a deer. She finds that the collision was not caused by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want of care on the part of the motor vehicle operator. She finds that he was not driving at an excessive speed "given the conditions" and that he was not negligent in failing to see the moose earlier than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submits that it has not been shown that the deer did not emerge from cover in the median of the roadway, and that since neither the plaintiff nor the defendant saw the deer before the collision, it cannot be inferred that the defendant could have seen the deer in sufficient time to avoid the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however, is unequivocal in that the deer approached the defendant's vehicle from its right. Even if it had initially emerged from the median of the roadway, it must have crossed entirely over the lane in which the defendant was driving before turning and re-entering the defendant's lane of travel. Alternatively, the deer emerged from the open field to the right of the highway. I am of the opinion that in either case, the defendant's failure to see the deer was negligent. The only explanation as to why he did not see the deer is that he was not paying attention to the roadway. The defendant was on cruise control on a wide roadway in perfect conditions with no other traffic about. By his own account, he was drinking coffee and listening to music. In my opinion, the reason why he did not see the deer on the roadway was that he was not paying attention. He was not paying attention because he did not expect anything to be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accident occurred in an area where there is wildlife. The defendant knew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 v. Webster</w:t>
      </w:r>
      <w:r>
        <w:rPr>
          <w:rFonts w:ascii="arial" w:eastAsia="arial" w:hAnsi="arial" w:cs="arial"/>
          <w:color w:val="000000"/>
          <w:sz w:val="20"/>
          <w:lang w:val="en-US" w:eastAsia="en-US" w:bidi="ar-SA"/>
        </w:rPr>
        <w:t>, Esson J.A. says that the question comes down to this. He says it was a virtually unavoidable inference that there was some absence of look out on the part of the driver. I am of the same opinion in this case. The defendant was not paying attention. He did not see the deer when he should have seen it. He took no evasive action to avoid the impact when he should have been able to do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find that the defendant was negligent. He is liable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is entitled to judgment and costs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S.J. SHABBITS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Fullerton (Guardian ad litem of) v. Delair, [2005] B.C.J. No. 276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28 - 30, July 2, 5 - 9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12 - 16, and August 24 - 26,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from: Written submissions received from: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November 5 and 26,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Counsel for Dr. L. Delair: November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Counsel for Langley Memorial Hospital: November 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S006446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853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Benjamin Fullerton, an infant, by his mother and Guardian ad litem, Lori Lee Fullerton and the said Lori Lee Fullerton, plaintiffs, and Dr. Leonard Delair and Langley Memorial Hospital, defendants, and Langley Memorial Hospital and Dr. Leonard Delair,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3"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0" w:name="Keywords_17"/>
      <w:bookmarkEnd w:id="130"/>
      <w:r>
        <w:rPr>
          <w:rFonts w:ascii="arial" w:eastAsia="arial" w:hAnsi="arial" w:cs="arial"/>
          <w:b/>
          <w:color w:val="000000"/>
          <w:sz w:val="20"/>
          <w:lang w:val="en-US" w:eastAsia="en-US" w:bidi="ar-SA"/>
        </w:rPr>
        <w:t xml:space="preserve">Damages — For personal injuries — Considerations — Awareness of loss — Extent of incapacity — Calculation — Life expectancy — Contingencies — Cost of future care — Loss of earning capacity — Children — Special damages — Transportation costs — Home care — Rehabilitation costs — Assessment — Measure of damages — Deductions — Government benefits — Physical injuries — Degrees of impairment — Permanent total or partial disability — 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Particular professions — Doctors — Nurses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1" w:name="Case Summary_16"/>
            <w:bookmarkEnd w:id="1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Fullerton, against the defendant doctor, Delair, and the hospital, Langley Memorial Hospital, for damages arising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management of the labour. Delair performed a vaginal examination on the mother when she entered the hospital. The mother had an elevated temperature and was in active labour. The baby had an elevated heart rate. The nurse had the mother shower. The nurse failed to recognize that the baby's heart rate indicated distress and did not inform Delair. Later, she did inform Delair that a thick meconium was observed. Delair did not examine the mother. He informed the nurse that he was ending his shift. The nurse examined the mother again and realized that that the mother was about to deliver. She contacted Delair who had just left. Delair returned and delivered the baby who was flat. The baby suffered catastrophic brain damage from oxygen deprivation at birth. As a result, he was unable to walk on his own, stand or sit without support, use his hands, or speak. He also had a shortened lifespan.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2" w:name="Holdings of Court_15"/>
            <w:bookmarkEnd w:id="13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nurse breached the standard of care by not continuously monitoring the mother; by not administering fluids, providing oxygen or repositioning the mother at the appropriate time; and by failing to inform the doctor of the baby's deteriorating heart rate. The hospital was vicariously liable for the nurse's breaches. Delair should have examined the patient upon being informed of the thick meconium. These breaches materially contributed to the injury. The hospital was 65 per cent liable and Delair was 35 per cent liable for the damages. The baby's life expectancy was found to be an additional 20 years. He was awarded the upper limit in non-pecuniary damages, being $299,000. His loss of future earning capacity was determined by observing his parents' history and he was awarded $350,000. If the Fullertons received benefits from public programs, these were not duplicated in the award. A contingency allowance was made in case the programs were cancelled or changed. The Fullertons were not entitled to the cost of a new home or vehicles but were entitled the costs of needed improvements. There was an award for therapies and counselling. An in-trust award of $100,000 was provided to the mother because she had to stay home. Special damages were only awarded for therapies that were reasonably necessary to the baby's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3" w:name="Counsel_17"/>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N.H. Smith, Q.C. and L.K.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Dr. Leonard Delair: C.E. Hinkson, Q.C. and S.L. 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Langley Memorial Hospital: C.L. Woods and L. Wood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17"/>
      <w:bookmarkEnd w:id="134"/>
      <w:r>
        <w:pict>
          <v:line id="_x0000_s1115"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Paragraph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Number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w:t>
            </w:r>
          </w:p>
        </w:tc>
        <w:tc>
          <w:tcPr>
            <w:tcW w:w="481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3137"/>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Pre-Admission</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3451"/>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Admission</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3033"/>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Hospital Records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251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Foetal Monitor Strips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215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Evidence of Participants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973"/>
        <w:gridCol w:w="292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Charlton</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182"/>
        <w:gridCol w:w="271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Straathof</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4"/>
        <w:gridCol w:w="313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Delair</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251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Lori Fullerton</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w:t>
            </w:r>
          </w:p>
        </w:tc>
        <w:tc>
          <w:tcPr>
            <w:tcW w:w="215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David Fullerton</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928"/>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Evidence of Experts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[107]</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182"/>
        <w:gridCol w:w="271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Bradley Fritz</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[107]</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287"/>
        <w:gridCol w:w="2614"/>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Gerald Doersam</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705"/>
        <w:gridCol w:w="219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Beverley Buchinski</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496"/>
        <w:gridCol w:w="240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Duncan Farquharson</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251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Douglas McTaggart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287"/>
        <w:gridCol w:w="2614"/>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Stephen Hudson</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251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Nurse Caroline Porter</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869"/>
        <w:gridCol w:w="3032"/>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Glen Ward</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251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John E. Van Aerde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2614"/>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Position of the Parties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[159]</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705"/>
        <w:gridCol w:w="219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Position of the Plaintiff</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[159]</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496"/>
        <w:gridCol w:w="240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Position of Dr. Delair</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705"/>
        <w:gridCol w:w="219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Position of the Hospital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9"/>
        <w:gridCol w:w="355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w:t>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Discussion</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450"/>
        <w:gridCol w:w="345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Law</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914"/>
        <w:gridCol w:w="198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Findings on Disputed Evidence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705"/>
        <w:gridCol w:w="219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 of the Hospital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496"/>
        <w:gridCol w:w="240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 of Dr. Delair</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[203]</w:t>
            </w:r>
          </w:p>
        </w:tc>
        <w:tc>
          <w:tcPr>
            <w:tcW w:w="215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Apportionment of Fault</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w:t>
            </w:r>
          </w:p>
        </w:tc>
        <w:tc>
          <w:tcPr>
            <w:tcW w:w="512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3660"/>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3137"/>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Life Expectancy</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2718"/>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2091"/>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928"/>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60"/>
        <w:gridCol w:w="3241"/>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287"/>
        <w:gridCol w:w="2614"/>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Government Programs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[267]</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973"/>
        <w:gridCol w:w="292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Attendant Care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450"/>
        <w:gridCol w:w="345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Housing</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3"/>
        <w:gridCol w:w="4287"/>
        <w:gridCol w:w="2091"/>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Childhood Accommodation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3"/>
        <w:gridCol w:w="3973"/>
        <w:gridCol w:w="2405"/>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Adult Accommodation</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3"/>
        <w:gridCol w:w="177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Activities of Daily Living/Mobility/</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Positioning Equipment</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973"/>
        <w:gridCol w:w="292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Transportation</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60"/>
        <w:gridCol w:w="3241"/>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Therapies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3"/>
        <w:gridCol w:w="3346"/>
        <w:gridCol w:w="3033"/>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Overview</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2"/>
        <w:gridCol w:w="4183"/>
        <w:gridCol w:w="2196"/>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Occupational Therapy</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3"/>
        <w:gridCol w:w="3660"/>
        <w:gridCol w:w="2718"/>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3"/>
        <w:gridCol w:w="4496"/>
        <w:gridCol w:w="1882"/>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Speech and Language Therapy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23"/>
        <w:gridCol w:w="3764"/>
        <w:gridCol w:w="2614"/>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Case Management</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[329]</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705"/>
        <w:gridCol w:w="219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Educational Requirements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4809"/>
        <w:gridCol w:w="2091"/>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Psychological Consultation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4496"/>
        <w:gridCol w:w="2405"/>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Vocational Consultation</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314"/>
        <w:gridCol w:w="3764"/>
        <w:gridCol w:w="3137"/>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Memberships</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[336]</w:t>
            </w:r>
          </w:p>
        </w:tc>
        <w:tc>
          <w:tcPr>
            <w:tcW w:w="215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Contingency</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[337]</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3869"/>
        <w:gridCol w:w="3033"/>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Calculations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3241"/>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In-Trust Award</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3137"/>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647"/>
        <w:gridCol w:w="198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Management Fee Income Tax Gross-Up</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w:t>
            </w:r>
          </w:p>
        </w:tc>
        <w:tc>
          <w:tcPr>
            <w:tcW w:w="512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GOEPEL J."/>
            <w:bookmarkEnd w:id="135"/>
            <w:r>
              <w:rPr>
                <w:rFonts w:ascii="arial" w:eastAsia="arial" w:hAnsi="arial" w:cs="arial"/>
                <w:b/>
                <w:color w:val="000000"/>
                <w:sz w:val="30"/>
                <w:lang w:val="en-US" w:eastAsia="en-US" w:bidi="ar-SA"/>
              </w:rPr>
              <w:t>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Benjamin Fullerton should have been a healthy baby. As a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management of his mother's labour, he suffered catastrophic brain damage from oxygen deprivation at birth. He cannot walk on his own. He cannot stand or sit without support. He cannot use his hands. He cannot speak. He will have a shortened lifespan. With proper care, this all would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Benjamin now seeks damages from Dr. Delair and the Langley Memorial Hospital (the "Hospital"). The main issue for determination is which of the medical professionals was negligent. The doctor blames the nurses; the nurses blame the doctor. Both agree that someone was negligent. The Hospital is vicariously liable for the actions of the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conflicts in the evidence as to whether the nurses provided the doctor with certain critical information during Mrs. Fullerton's labour. These conflicts must be resolved in order to determine liability. Resolution will require a detailed review of the events leading up to Benjamin's birth, an examination of the nursing charts and a review of the evidence of certain experts. It is also necessary to determine if the failure to act on certain information contributed to Benjamin's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assessment of damages also raises a multitude of issues. Contentious matters include life expectancy, the cost of future care, Benjamin's loss of future earning capacity, the in-trust award for Mrs. Fullerton, and certain items of the special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Benjamin is the first child of Lori Fullerton and her husband, David. He was born at the Hospital shortly after 1:00 a.m. on October 5,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Benjamin's birth, Mrs. Fullerton was 30 years old. During her pregnancy, she was under the care of her family physician, Dr. Steven Hansen. Her pregnancy was largely uneventful.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Mrs. Fullerton's due date was September 26, 1998. As the pregnancy had gone well past the due date, Dr. Hansen had planned to induce labour on October 6, 1998.</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Sunday, October 4, 1998, Mrs. Fullerton began to experience regular contractions and some discharge of amniotic fluid. She thought she might be going into labour and, accompanied by her husband, went to the Hospital at about 18:20 h. She was formally admitted as an in-patient at 19:15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Delair was the on-call general practitioner handling deliveries for Dr. Hansen's practice that weekend. He had never met Mrs. Fullerton. On the evening of October 4th, Dr. Delair was already at the Hospital, working a shift in the Emergency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Mrs. Fullerton arrived, Nurse Jan Kaur performed an initial assessment. Nurse Kaur connected her to an electronic foetal heart monitor ("EFM"). She noted that Mrs. Fullerton had an elevated temperature and that the EFM strip showed tachycardia (a baseline foetal heart rate above 160 beats per minute), no accelerations, and possibly some shallow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Delair first became involved in Mrs. Fullerton's care when Nurse Kaur contacted him in the Emergency Department at approximately 18:58 h on October 4, 1998. Dr. Delair came upstairs from the Emergency Department and assessed Mrs. Fullerton with Nurse Kaur present. He performed a vaginal examination and recorded that Mrs. Fullerton was 3-4 cm. dilated and 100% effaced, that the head was at -1, that there was a positive test for nitrazine, and an elevated maternal temperature of 38.5[degrees]. He noted that the baby's heart rate was between 160 and 165 beats per minute with fair variability, and that Mrs. Fullerton was in early active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first labours tend to be longer, all concerned assumed that Mrs. Fullerton was still many hours from delivery. Dr. Delair did not share Nurse Kaur's concern about the EFM strip. Dr. Delair noted that antibiotics could be prescribed if Mrs. Fullerton's temperature remained elevated.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nursing shift change took place at 19:30 h. Tamara Straathof assumed the role of Charge Nurse from Nurse Kaur. Ann Charlton (then Ann McGillivray) became the primary nurse assigned to Mrs. Fullerton.</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Hospital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Once a maternity patient is admitted, the Hospital maintains numerous records to record events which take place subsequent to the patient's admission. The main record is the partogram maintained by the nursing staff. The nurses also record any orders given by the doctor and the doctor himself makes progress notes of his observations. Nurses also make notations on the EFM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All witnesses agreed that it is important that the charts be accurate and complete. The witnesses also agreed that significant events should be recorded and that if events are significant enough to be recorded, where possible, they should be recorded when they occur. Nurse Charlton agreed that significant events would include the identification of late decelerations on a foetal heart strip, the communication of that information to the doctor, and any response the doctor made to such information.</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Foetal Monitor Strips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EFM monitors both the foetal heart rate and the mother's contractions. Much of the expert evidence concerned the interpretation of the EFM strips. Three EFM strips were in evidence. Strip No. 1 ran from 18:25 to about 19:10 h. Strip No. 2 ran from 21:00 to 22:37 h, while Strip No. 3 ran from 22:38 to 01:00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interpretation of an EFM strip requires examination of the baseline heart rate, baseline variability and decelerations of the rate over time. The baseline rate is a running average of the foetal heart rate over several minutes. A normal baseline rate at term is 120 - 160 beats per minute. The baseline rate may be elevated by maternal fever, anxiety, pain, stimulant drugs, or by foetal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Variability refers to fluctuation in the instantaneous foetal heart rate, from one beat to the next. Variability forms the background against which other features of an electronic foetal heart record are interpreted. Normal variability is 10 to 15 beats per minute. Hypoxia (oxygen deficiency), narcotics and foetal sleep reduce baseline variability. Reduced variability is the main component of all patterns suggesting foetal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Foetal movement, maternal fever or anxiety, drugs and foetal hypoxia may provoke acceleration or deceleration of the foetal heart rate. Accelerations are a reliable sign of good foetal condition. Decelerations may connote foetal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the trial, witnesses referred to three types of decelerations, namely: variable; variable with a late component (or hybrid deceleration); and late. Variable decelerations can happen at any time compared with the contraction pattern. Variable decelerations with a late component imply a variable deceleration trying to become a late deceleration. This is more ominous and not reassuring. It is a strip abnormality that nurses are expected to recognize and bring to the attention of the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Late decelerations occur after the peak of the contraction. Late decelerations are in most cases likely due to hypoxia. Both variable and late decelerations can be signs of severe foetal compromise, although the causes are different. Obstetric nurses are expected to know the difference between late and variable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Evidence of Participants</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Charlton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Nurse Charlton received her Registered Nursing designation in 1974. She has done obstetric nursing at the Hospital since 1976 and has taken courses in electronic foetal heart monitoring and neonatal resuscitation. Nurse Charlton did post-basic obstetric training through the British Columbia Institute of Technology and received her Perinatal Certificate in early 1998. She continues to work as an obstetric nurse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October 4, 1998, Nurse Charlton's shift started at 19:30 h. The Hospital provided obstetric patients with one-on-one nursing care. Mrs. Fullerton was Nurse Charlton's only patient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Nurse Charlton commenced her shift, she received a report from Nurse Straathof concerning Mrs. Fullerton. She was advised that Mrs. Fullerton was in early labour, was 3 cm. dilated, had an elevated temperature, and was having foetal tachycardia. Nurse Charlton was told that Dr. Delair had seen the patient and would assess her again in two hours to determine if her temperature remained elevated. Nurse Charlton understood that Dr. Delair would be returning in person to do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Nurse Charlton first assessed Mrs. Fullerton shortly after 20:00 h. She checked the foetal heartbeat with an external transducer and noticed it was still tachycardic. Nurse Charlton observed normal variability in the heartbeat.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Nurse Charlton had Mrs. Fullerton take a shower. She thought the shower might help Mrs. Fullerton relax and this might, in turn, reduce the foetal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Mrs. Fullerton showered for approximately 40 minutes. When she returned from the shower, Nurse Charlton re-attached the foetal heart monitor. The foetal heart rate had come down to 140 beats per minute and there was good variability. Nurse Charlton observed some variable decelerations. She was not concerned about the decelerations and considered the EFM strip to be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Nurse Charlton's assessment at 21:15 h showed a foetal heart rate around 130 beats per minute with normal variability. There were some variable decelerations. Mrs. Fullerton's temperature had come down to 38.1[degrees]. Nurse Charlton did not think it necessary at that time to contact Dr. Delair. Nurse Charlton continued to believe that Dr. Delair would be attending personally to see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approximately 21:50 h, Dr. Delair telephoned the maternity ward to enquire about Mrs. Fullerton's labour. He spoke to Nurse Charlton, who advised him that although Mrs. Fullerton's temperature had come down somewhat, it was still mildly elevated at 38.1[degrees]. Dr. Delair ordered antibiotics. After the antibiotics were administered, Mrs. Fullerton's temperature came down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Nurse Charlton testified that during the 21:50 h telephone call she told Dr. Delair not only Mrs. Fullerton's temperature, but also that there were late decelerations on the EFM strip although variability was good. At the time of this call, Nurse Charlton was not concerned about the condition of the foetus.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the 21:50 h telephone conversation, Nurse Charlton did not ask Dr. Delair when he would be coming to attend the patient. She continued to assume that he would attend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Nurse Charlton did not contemporaneously chart the 21:50 h telephone conversation with Dr. Delair. Some hours after Benjamin's birth, she made a late entry on the partogram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21:50 Dr. Delair phoned to enquire about patient, informed of monitor strip - variable decelerations and some late decelerations; and temperature.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Just after 22:00 h, Nurse Charlton noted on the partogram the letters "V" and "L" on the line for decelerations. She said the letters represented decelerations in the foetal heart rate occurring prior to 22:00 h. At trial, she testified that the letters stood for both variable and late decelerations. At her examination for discovery, she had given different evidence, saying the letters indicated variable decelerations with a late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22:15 h, Nurse Charlton charted another assessment, noting that the foetal heart rate was 150 beats per minute and that there was normal variability with variable and late decelerations. Mrs. Fullerton's temperature had come down to 36.9[degrees]. She was having five contractions per 10 minutes, with each contraction lasting 30 to 45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Nurse Charlton continued to monitor the EFM strip, noting that there continued to be variable decelerations in the foetal heart rate, but she believed the variability itself was good and she found the strip to be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23:00 h, Nurse Charlton observed that variability had decreased and there were now some late decelerations. The reduced variability lasted for about 15 minutes and by 23:15 h had picked up again. Nurse Charlton considered this to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23:40 h, Nurse Charlton believed the patient was getting more distressed and believed Mrs. Fullerton should take something to ease the pain. Before giving pain medication to a person in labour, it is necessary to check the dilation. Nurse Charlton did so at approximately 23:55 h and noted on the chart that Mrs. Fullerton was 5-6 cm. dilated.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During the course of this examination, Mrs. Fullerton's membranes ruptured and thick meconium was observed. Nurse Charlton wrote on the partogram: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778"/>
        <w:gridCol w:w="627"/>
        <w:gridCol w:w="74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SRM-meconium</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2355</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Delair notified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Nurse Charlton says that subsequent to the examination, at approximately 23:55 h, she telephoned Dr. Delair seeking Demerol for Mrs. Fullerton. Only doctors can prescribe medication. Dr. Delair authorized the administration of Demerol. Nurse Charlton recorded on the partogram that the Demerol was administered at 00:05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the "Doctor's Orders" page of the nursing chart, Nurse Charlton recorded that Dr. Delair gave the order for Demerol at 23:50 h, some five minutes earlier than the time she had recorded for the vaginal examination. When questioned about the discrepancy, Nurse Charlton explained that the clocks in the Hospital are not synchronized. She adamantly denied that she had discovered the meconium at some time after the order for Demerol had been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Nurse Charlton also made notations on the EFM strip. Between 23:50 h and 00:00 h she wrote the following on the EFM strip: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SRM-meconium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 5-6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 00:00 h and 00:10 h she wrote on the EFM strip: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Demerol &amp; Gravol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Nurse Charlton says she made the 23:55 h telephone call to Dr. Delair from the nursing station in the presence of Nurse Straathof. She says she told Dr. Delair that Mrs. Fullerton was 5-6 cm. dilated and that there had been thick meconium when her membranes ruptured. Nurse Charlton says she also told Dr. Delair that the EFM strip was showing variable and late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Nurse Charlton says that Dr. Delair advised her during this telephone conversation that his shift in the Emergency Department was ending at midnight and that Dr. Zucarro would be assuming control of Mrs. Fullerton's labour. Dr. Zucarro was Dr. Hansen's locum. On her examination for discovery, Nurse Charlton testified that after this conversation she assumed that Dr. Delair would not be coming to assess the patient and that she must have communicated that information to her Charge Nurse. At trial, she confirmed those answers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a notation on the partogram that Dr. Delair was notified of meconium. There is no note in the nursing records that Dr. Delair was told during the 23:55 h discussion about late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approximately 00:15 h, Mrs. Fullerton began to feel the urge to push. Nurse Charlton did a further vaginal examination and discovered, much to her surprise, that Mrs. Fullerton was now 9 1/2 cm. dilated. She realized that the baby would likely be delivered soon. She contacted Nurse Straathof and asked her to page Dr. Delair, who she believed might still be in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Between 00:20 h and 00:30 h, Nurse Charlton wrote on the EFM strip: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Urge to push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 at 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00:38 h, there was a large deceleration in the foetal heart rate. It went down to 80 beats per minute and about 60 seconds passed before it came back up. Expert evidence suggests that Benjamin's brain injury started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response to the large deceleration, Nurse Charlton gave Mrs. Fullerton oxygen and turned her on her left side. Mrs. Fullerton kept the oxygen mask on until delivery. Prior to 00:38 h, Nurse Charlton had not re-positioned Mrs. Fullerton, given her oxygen, or administered her fluids.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approximately 00:50 h, Nurse Charlton did a further vaginal examination. Mrs. Fullerton was fully dilated. About this time, Dr. Delair arrived in the labour room. Mrs. Fullerton began pushing and Benjamin was born at 01:04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Benjamin was born flat. There was no heartbeat. Dr. Delair inserted an endotracheal tube and suctioned meconium. Nurse Charlton started cardiac compressions. Dr. Delair intubated the baby and resuscitation efforts were undertaken. Ultimately, Dr. Ward, a paediatrician, arrived and took over Benjamin's care.</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Straathof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Nurse Straathof received her Registered Nursing designation in 1985. By October 1998, she had worked as a perinatal nurse for 13 years. In 1987, she obtained an Advanced Certificate in Maternal Foetal Cardio Cartography. She was a foetal health surveillance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October 4, 1998, Nurse Straathof was the Charge Nurse in the maternity ward at the Hospital. The Charge Nurse receives reports from the day shift, assigns nurses to patients, and checks all emergency equipment. The Charge Nurse attends all deliveries and is also responsible for assessing all individuals who come through the maternity unit. The position of Charge Nurse is shared by senior nurses, including Nurse Charlton.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When Nurse Straathof came on shift at about 19:30 h, she received a report from Nurse Kaur concerning Mrs. Fullerton. She was told that Mrs. Fullerton had an elevated temperature and foetal tachycardia. She was advised that Dr. Delair had assessed Mrs. Fullerton and that he would be returning in two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Nurse Straathof assigned Mrs. Fullerton to Nurse Charlton. She repeated to Nurse Charlton the information she had received from Nurse Kaur.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approximately 20:40 h, Nurse Straathof asked Nurse Charlton about the EFM strip. Nurse Charlton told her that Mrs. Fullerton was not presently being monitored as she was just getting out of the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Nurse Straathof next had contact with Nurse Charlton at about 22:00 h. Nurse Charlton told Nurse Straathof that she had just had a conversation with Dr. Delair and that he had ordered antibiotics. Nurse Charlton told Nurse Straathof that she had informed Dr. Delair that there were some variable and late decelerations on the EFM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next contact between Nurse Straathof and Nurse Charlton was shortly before midnight. Nurse Charlton came to the nursing station and told Nurse Straathof that she had just examined Mrs. Fullerton, whose cervix was 5-6 cm. dilated. Nurse Charlton told her that Mrs. Fullerton's membranes had ruptured and there was thick meconium. She also told Nurse Straathof that there continued to be late and variable decelerations on the EFM strip. Nurse Straathof says she told Nurse Charlton to call Dr. Delair.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Nurse Straathof was present when the telephone call was placed. She heard Nurse Charlton say to Dr. Delair that the patient's membranes had just ruptured and there was thick meconium, that she was 5-6 cm. dilated, and that there continued to be variable and late decelerations on the strip. Nurse Charlton also advised Dr. Delair that Mrs. Fullerton wanted something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Nurse Straathof did not hear Nurse Charlton specifically ask Dr. Delair to come and assess the patient, but when Nurse Charlton hung up the telephone, Nurse Straathof asked her if he said he was coming and Nurse Charlton said he was. Nurse Straathof says that if she had been told that Dr. Delair was not going to be attending on Mrs. Fullerton, she would have taken steps to ensure that another doctor came and examined Mrs. Fullerton.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Nurse Straathof's next involvement was at 00:15 h when Nurse Charlton pushed the call bell and told her that Mrs. Fullerton was almost fully dilated and to call Dr. Delair for delivery. Nurse Straathof used the phone at the desk to page him. She says when she reached Dr. Delair he told her that he was in his car heading home. She says she was amazed that he had left the Hospital without coming to assess the patient. She says she told Dr. Delair that he needed to come back for the delivery. Nurse Straathof did not chart her telephone conversation with Dr. Delair.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Nurse Straathof says that Dr. Delair arrived on the maternity ward at approximately 00:30 h. He immediately went into Mrs. Fullerton's room. Subsequently, Nurse Straathof answered the emergency buzzer that called her in for the delivery at 00:50 h. At that time, Dr. Delair was at the foot of the bed and Mrs. Fullerton was pushing. Benjamin was born soon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the resuscitation efforts, Nurse Straathof suctioned the baby's mouth and nose for thick meconium. She used the stethoscope to listen for a heart rate, but did not hear one. Nurse Charlton then started cardiac compressions, while Nurse Straathof reached into a drawer for epinephrine to administer to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Nurse Straathof says that Dr. Delair was panicky and flustered during the resuscitation. Benjamin's initial response to resuscitation was good and the heart rate soon climbed to 60 and, ultimately, to 120 beats per minute. Dr. Delair inserted a second endotracheal tube at 01:15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Benjamin was then transported to the nursery from the labour room. The baby's colour remained dusky. Dr. Ward arrived at approximately 01:30 h and took over the resuscitation efforts. Dr. Ward discovered that the intubation tube was in the oesophagus instead of the trachea. He pulled it out and reinserted it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During the course of the evening, Nurse Straathof had not observed the EFM strip. When shown the strip at trial, Nurse Straathof agreed that there were late decelerations in the foetal heart rate beginning on the strip after 21:20 h. She also observed other late decelerations beginning at 22:50 h. Nurse Straathof agreed that the EFM strip was worrisome because the decelerations were persisting. She further agreed that if she had been aware of the decelerations, she would have wanted a doctor to examine the strip.</w:t>
      </w:r>
      <w:r>
        <w:rPr>
          <w:rFonts w:ascii="arial" w:eastAsia="arial" w:hAnsi="arial" w:cs="arial"/>
          <w:sz w:val="20"/>
          <w:lang w:val="en-US" w:eastAsia="en-US" w:bidi="ar-SA"/>
        </w:rPr>
        <w:cr/>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Delair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Delair obtained his medical degree in 1992. He engaged in a period of family practice training from 1992 until mid-1994 at Dalhousie University. In 1994, he was licensed in British Columbia and commenced a general practice in Langley. He performed his first delivery in practice in January 1995. By October 1998, he had delivered approximately 100 babies. His practice is primarily low-risk obstetrics.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Mrs. Fullerton was not a patient in his practice. On the evening of October 4, 1998, Dr. Delair was doing call coverage for a group of obstetric physicians. Each of the physicians covered their own patients during the week and on the weekends each doctor would cover other members of the group one weekend out of five. Dr. Hansen was Mrs. Fullerton's physician and was one of the members of the call coverage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Delair also did regular Emergency Room shifts at the Hospital. He was working in the Emergency Department when he was called to attend upon Mrs. Fullerton.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Delair's first contact with Mrs. Fullerton came at about 19:00 h when he saw her in an assessment room. Dr. Delair reviewed the prenatal records that had been completed by Dr. Hansen during Mrs. Fullerton's prenatal care. The records suggested that she had had a generally uncomplicated pregnancy. He reviewed with Mrs. Fullerton her pregnancy and the records Dr. Hansen had provided to make sure there were not any other outstanding issues of which he was unaware. They discussed how she was coping with her labour and whether she had any concerns. As previously mentioned, he also conducted a vaginal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Delair had some concern about Mrs. Fullerton's mildly elevated maternal temperature. He was also concerned that the baby's heart rate was slightly elevated. He noted that Mrs. Fullerton's cervix was fully effaced and that she was 3 cm. dilated.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Delair determined that Mrs. Fullerton was in active labour and should be admitted. He was going to re-assess her condition in two hours to determine whether antibiotics should be administered. He does not recall if he said that he would re-attend in person or just check in with the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Delair did not expect that Mrs. Fullerton would deliver her baby for several hours. After his initial assessment, he called Dr. Zucarro and they agreed that Dr. Delair would manage Mrs. Fullerton's obstetric care until his Emergency Room shift ended, and that Dr. Zucarro would assume her care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Delair expected that the nurses would monitor Mrs. Fullerton and that he would be contacted if her temperature remained elevated. Having not heard from the nurses, Dr. Delair called the maternity ward at around 21:50 h to check on Mrs. Fullerton's condition. He believes he spoke to Nurse Charlton, who told him that Mrs. Fullerton's temperature had come down, but at 38.1[degrees] it was still mildly elevated. He ordered an antibiotic to reduce the temperature. Dr. Delair does not recall the nurse expressing any additional concerns or advising him of any worrisome signs in regard to the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Delair believed the information he received was reassuring. He has no recollection of being told during the 21:50 h telephone conversation or at any point that evening that there were signs of variable or late decelerations in the foetal heart rate. Dr. Delair says that if he had been told there were variable or late decelerations, he would have immediately attended to assess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After the telephone call, Dr. Delair continued his shift in Emergency. He had worked with Nurse Charlton previously and knew that she was a very experienced maternity nurse. He believed that if there was any concern at any point, either in regard to maternal well-being or how the baby was tolerating labour, Nurse Charlton would contact him. His obligations in Emergency did not impede his ability to treat Mrs. Fullerton.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Delair had no further contact with the maternity ward until Nurse Charlton called him just before midnight. During this telephone conversation the primary topic of discussion was Nurse Charlton's request for Demerol for Mrs. Fullerton. Although Dr. Delair says he does not recall the exact specifics of the conversation, he says they would have discussed how well Mrs. Fullerton and the baby were tolerating labour. Dr. Delair says he was not told of meconium or that the baby was having late decelerations. He says that if he had been told that meconium was present and that the baby was having late decelerations, he would not have ordered an intramuscular dose of a potent narcotic analgesic and would have immediately attended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Delair is quite certain he was told that Mrs. Fullerton was 5 cm. dilated. He says nothing was said to him that suggested there was any need for him to attend on Mrs. Fullerton before leaving the Hospital. Given that she was still just 5 cm. dilated, he believed Mrs. Fullerton remained a number of hours away from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Delair says he advised Nurse Charlton that he would soon be leaving the Hospital and that Dr. Zucarro would be assuming responsibility for the care of Mrs. Fullerton. When their conversation ended, Dr. Delair believed he was finished with Mrs. Fullerton's labour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trial, Dr. Delair testified that he was absolutely positive that Nurse Charlton did not tell him about the meconium. In discovery, he was less certain,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you in fact contacted around midnight and told there was meconium?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 is just before the conversation when I gave the order for Demerol and Gravol, so I spoke to the nurse at that time, but I don't recall whether or not she told me there was meconium.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course of explaining his evidence at discovery, Dr. Delair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 I can say that I absolutely know I was not told about thick meconium is that, given that information, I absolutely know what I would have done with that information. I absolutely would have attended the patient. There is no doubt in my mind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then put to Dr. Delair the following evidence from his examination for discovery, which he acknowledged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would your response have been if you were told there was meconium?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again, it depends on whether the meconium was just staining the fluid or whether there was thick or particulate meconium.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again, I don't recall the specifics of the conversation, but nothing was told to me that would make me worry that there was significant foetal distress.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let's assume for the moment that you were told there was meconium. What would your response - - what would your response be in that circumstance?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Again, if the meconium was just staining in the fluid and there was no other suggestion of foetal distress, then again, it is just one of those indicators that we are aware of that we - - you know, that we just follow.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Delair says he was paged shortly before 01:00 h to come and attend Mrs. Fullerton because delivery was imminent. He says that when he received the page he was in his car, pulling out of the doctors' parking lot. Dr. Delair says he turned around and "somewhat grudgingly" came back to the Hospital to attend to the delivery. He denies that he was paged shortly after 00:15 h, or that he had already left the parking lot and was driving home when he was paged.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Delair attended the maternity ward and went into Mrs. Fullerton's room while still in his street clothes. He determined that he had time to get changed, went and got his "greens" on, and then returned to Mrs. Fullerton's room. A family video shows Dr. Delair returning to the delivery room at approximately 00:50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Delair's recollection is that the baby was delivered very quickly after his return. He believes that the entire second stage of labour lasted no more than 14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Delair says that when he attended for the delivery the nurses did not advise him of any concerns. He says if he had been so advised, he would have been more prepared for a baby who was going to potentially struggle. He does not recall examining the EFM strip prior to birth. He says he would have assumed that if there were concerns about the strip, they would have been brought to his attention earlier. He says the delivery was happening so quickly upon his arrival that his attention was concentrated on the imminent birth, as opposed to the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Delair says he was completely surprised by Benjamin's condition at birth. He was in no way prepared for a baby to be delivered absolutely flat. He says he had no prior knowledge that meconium was present. Dr. Delair says if he had known of the meconium, he would have arranged for a paediatrician to be present for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Delair says Benjamin had no spontaneous movement or respiratory efforts. The initial step in resuscitation was to suction meconium to prevent the baby from aspirating, or breathing meconium into his lungs. CPR compressions were then initiated. The baby was intubated and a millilitre of epinephrine was given in the endotracheal tube. Narcan was administered both intramuscularly and by the endotracheal tube.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initial drugs inserted in the tube appeared to have the desired effect; Benjamin's heart rate quickly moved above 100 beats per minute. At 01:15 h, the endotracheal tube was suctioned and removed and a second tube inserted. More Narcan was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At 01:30 h, the baby was transferred from the delivery room to the nursery by isolette, accompanied by the medical personnel involved in the resuscitation effort. The intubation tube was, however, not secured. Almost immediately upon delivery of the baby to the nursery, Dr. Ward arrived and took control of Benjamin's care.</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Mrs. Lori Fullerton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Mrs. Fullerton has limited recollections of the events leading up to Benjamin's birth. Benjamin was her first child. Prior to her admission to the Hospital her pregnancy was uneventful.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On the evening of October 4, 1998, Mrs. Fullerton went to the Hospital because she was experiencing contractions and some discharge of amniotic fluid. Dr. Delair attended on her in the assessment room and performed an internal examination. He told Mrs. Fullerton he was going back to the Emergency Department, but would be in to check on her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Shortly thereafter, she met Nurse Charlton, who told her that Dr. Delair would be coming back to re-assess her at about 21:00 h. Nurse Charlton encouraged Mrs. Fullerton to have a shower. When she returned to bed, the foetal monitoring machine was re-attached. She felt nauseous.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Nurse Charlton checked on her from time to time. At some point in the evening, an IV was inserted. Mrs. Fullerton does not recall being told that it was on Dr. Delair's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Between 22:00 and 00:00 h, Nurse Charlton offered Mrs. Fullerton Demerol to ease her pain. Mrs. Fullerton initially refused because she first wanted to see Dr. Delair. Subsequently, she told Nurse Charlton that she wanted the Demerol. Mrs. Fullerton believes there were at least 30 minutes between these two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some time Nurse Charlton told Mrs. Fullerton that there had been a significant discharge of fluid. Mrs. Fullerton did not, herself, realize that the discharge had occurred. Mrs. Fullerton says there was no mention of meconium.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Mrs. Fullerton recalls having an urge to push and being told to wait for the doctor. She is not sure how long she waited before his arrival. Mrs. Fullerton remembers Dr. Delair telling her to go ahead and push, and that it only took three or four pushes before Benjamin was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Mrs. Fullerton says that throughout her labour Nurse Charlton never expressed any concerns. After Benjamin's birth, Mrs. Fullerton was not initially aware of any problems.</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Mr. David Fullerton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Fullerton was present throughout the evening. He met Dr. Delair at about 19:00 h, when he initially examined Mrs. Fullerton. Dr. Delair told the nurse he was going to Emergency and would be back in an hour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After Mrs. Fullerton had showered and the foetal monitor was re-attached, Mr. Fullerton says he and his wife asked Nurse Charlton when Dr. Delair would be returning. They were told they could expect him in an hour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Fullerton says that after 22:00 h he became somewhat agitated and asked Nurse Charlton to get the doctor. He was told that he was being overly concerned and that everything was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About 23:00 h, Mrs. Fullerton refused Demerol. She wanted to see Dr. Delair first. Around 23:45 h, Nurse Charlton asked Mrs. Fullerton to rate her contractions and pain on a scale of 1 to 10: Mrs. Fullerton said 7. Shortly before midnight, Nurse Charlton came back with Demerol and Gravol. Mr. Fullerton cannot recall a vaginal examination before the administration of Demerol.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At 00:15 h, Mr. Fullerton again asked about the doctor. He says Nurse Charlton responded in a frustrated voice, "I don't know - I'm not going to wait for him any longer." Nurse Charlton then did a vaginal examination. Upon completion, Mr. Fullerton says Nurse Charlton looked white and whispered, "Oh my God."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00:40 h, Mr. Fullerton again left the labour room to ask for a doctor. He was told that Dr. Delair was on his way back to the Hospital. He says that he saw Dr. Delair come in and go to the nurses' station. Dr. Delair was still in his street clothes and was laughing and joking with the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Delair then came in and saw Mrs. Fullerton before leaving to get into his scrubs. Before he left, someone said that Mrs. Fullerton was 9-10 cm. dilated. Dr. Delair returned and Benjamin was born shortly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Fullerton testified that when Benjamin was born, Dr. Delair said, "What the hell is this?" Alarms went off and more nurses attended. One nurse was listening for a heartbeat, while Dr. Delair attempted to insert a tube in Benjamin's throat.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Fullerton can only recall two vaginal examinations. He says the vaginal examination at 00:15 h took place some time after the Demerol had been administered. Mr. Fullerton does not recall an examination at 23:55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 Evidence of Experts</w:t>
      </w:r>
      <w:r>
        <w:rPr>
          <w:rFonts w:ascii="arial" w:eastAsia="arial" w:hAnsi="arial" w:cs="arial"/>
          <w:sz w:val="20"/>
          <w:lang w:val="en-US" w:eastAsia="en-US" w:bidi="ar-SA"/>
        </w:rPr>
        <w:cr/>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Bradley Fritz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plaintiffs called Dr. Fritz. He was qualified as an expert in family medicine. From 1976 until 2000 his practice included providing comprehensive obstetric care for his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Fritz testified that Dr. Delair should have regularly returned to the labour floor to re-assess Mrs. Fullerton during the course of her labour. It is his view that a complete evaluation of the clinical circumstances of a woman in labour can only be done by assessing all of the information available, and that such an evaluation can only be done properly at the bedside. Reliance on second-hand information via the telephone is not sufficient to allow a doctor to adequately assess the exact state of maternal and foetal well-being. In his opinion, regardless of whether Dr. Delair was informed by Nurse Charlton as to the presence of abnormalities on the foetal heart tracing, Dr. Delair should have personally attended Mrs. Fullerton at least every two hours during the first stage of labour, especially as he was available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Fritz agreed that if a doctor has indicated to nursing staff that he would be re-assessing a patient in two hours, a nurse would be entitled to expect that the re-assessment would be conducted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Fritz believes Dr. Delair should have commenced antibiotics to combat Mrs. Fullerton's temperature following his initial examination. It is his further opinion that Dr. Delair should have been much more concerned with the initial foetal heart tracing he saw at 19:00 h, especially in the presence of maternal fever and the evidence of leaking if not outright ruptured membranes.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Fritz believes that the initial EFM strip was not reassuring. He testified that Mrs. Fullerton's fever made this a high risk labour and delivery. He says it was incumbent upon Dr. Delair to attend regularly to review what was going on and to supplement reports he received from the nurses. Dr. Fritz disagreed with the proposition that the nurses could be left to observe the patient and that, absent any specific nursing concerns expressed, the doctor would not be expected to attend until the patient was almost fully dilated.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Fritz testified that prior to passing the care of Mrs. Fullerton to a doctor who was not present in the Hospital, it would have been prudent for Dr. Delair to assess her prior to leaving for home. This would especially be so given the clinical circumstances of the case and the fact that he had not seen her for five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Fritz agreed that if late and variable decelerations and/or the presence of meconium are reported to a physician, the physician would be expected to attend on the patient on his own initiative. He agreed that if Dr. Delair was told of late decelerations and thick meconium, it would be completely outside any acceptable standard of practice for Dr. Delair not to attend on the patient.</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Gerald Doersam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plaintiffs called Dr. Doersam. He was qualified as an expert in obstetrics and gynaecology.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Doersam testified that the initial heart tracing at admission was reassuring. There were no features suggesting foetal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When the tracing resumed at 20:55 h, it showed a pattern of decelerations occurring consistently with every uterine contraction. The deceleration pattern between 21:00 and 21:50 h remained variable and between 21:50 and 22:30 h the associated baseline variability was normal. After 22:30 h, a sharp deceleration occurred, and from 22:50 h the deceleration pattern became consistently late and marked by reduced baseline variability.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Dr. Doersam's opinion that by 23:00 h the decision to deliver should have been made because of the non-reassuring foetal heart tracing, with delivery anticipated within 30 minutes; that is, by 23:30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If delivery had not occurred by the time thick meconium was found at 23:55 h, a reasonable obstetrician would have ensured that personnel skilled in assessment and resuscitation of a compromised newborn were present at delivery. A reasonable obstetrician, faced with fresh meconium, a non-reassuring tracing and a cervix 5 cm. dilated would not have given a narcotic, but instead would have effected delivery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his report, Dr. Doersam stated that repeated re-positioning to relieve umbilical cord compression, along with maternal hydration and oxygenation, might have avoided foetal hypoxia and prevented all of the subsequent adverse events and injury. In his opinion, recognition of the gravity of the persistent decelerations and reduced baseline variability, and close assessment of the foetal state, would have minimized hypoxial exposure and might have prevented any in utero hypoxial injury. Obstetric assessment or delivery at the time the late decelerations were recorded as having been reported to the physician would have avoided two to three hours of repeated umbilical cord compression and would have substantially reduced the likelihood of hypoxial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Doersam testified that once an event signals the beginning of foetal hypoxia, the rate of deterioration of the foetus depends on the precise evolution of events in utero. While it is not possible to quantify precisely how much deterioration takes place in the neonate's condition per minute or hour that delivery is delayed, the sooner delivery occurs the shorter the hypoxial exposure and the less severe the neonatal consequences are apt to be. While it was not possible to quantify the degree to which Benjamin's condition may have been improved, delivery at an earlier stage could only have lessened the hypoxic injury that the foetus had suffered by the time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Doersam testified that the nurse's role is to understand and report problems, including late and variable decelerations in the foetal heart rate. He would expect a trained nurse to accurately read the EFM strips and to advise if the strip was abnormal. He testified that doctors must rely on nurses to bring symptoms to their attention. Dr. Doersam said that he expects nurses to tell doctors, repeatedly if necessary, that there are troubling signs where the doctors do not appear to be responding. He believes, in this case, that the EFM strips were such that the doctor should have been called early into the second tracing.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Doersam would not be critical of Dr. Delair's failure to attend the patient if he was not told of the problems with the EFM strip and the presence of meconium. If Dr. Delair had been told about the meconium and late decelerations, he should have immediately attended upon his patient.</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Beverley Buchinski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called Nurse Buchinski, who was qualified as an expert in obstetric nursing.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Nurse Buchinski's report was critical of Nurse Charlton. She believes that a reasonable and competent nurse would have identified the foetus as being at risk. Nurse Buchinski says that Nurse Charlton's decision to have Mrs. Fullerton take a shower for 45 minutes was of no benefit. She says that a review of the foetal heart rate tracings starting at 21:00 h was non-reassuring. Nurse Buchinski says that a competent obstetric nurse would have requested that Dr. Delair come and physically assess Mrs. Fullerton because of the non-reassuring EFM strip. She says that if Dr. Delair did not attend, further action should have been taken to secure a physician to come and assess the clinical situation. If the doctor did not attend when told about meconium, he should have been called again.</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Duncan Farquharson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Delair called Dr. Farquharson. He was qualified as an expert in obstetrics and gynaecology.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Farquharson disagreed with Dr. Fritz that it was necessary to start antibiotics immediately. Dr. Farquharson testified that there could be many reasons why fever was present and it was not wrong to initially observe the patient for a period of time before starting an antibiotic.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Accepting Dr. Delair's evidence that he was not notified of any particular concerns on the part of the nursing staff, Dr. Farquharson believes there was no need for Dr. Delair to re-attend and assess the patient. He noted that during the conduct of normal labour and birth, physicians rely on accurate nursing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Farquharson further testified that Dr. Delair's analgesic order of Demerol was also appropriate, assuming that he had not been informed of any worrisome foetal assessments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cross-examination, Dr. Farquharson agreed that if Dr. Delair had been told of late decelerations as per the late entry on the partogram, he should have attended the patient. Similarly, if told about the meconium at 23:55 h, Dr. Delair should have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Farquharson says that if Dr. Delair ignored the request of the nurses to attend, the nurses should have taken further steps to get a doctor involved. He also agreed that if Dr. Delair had been advised of late decelerations and meconium, he should have made arrangements to have a paediatrician present at birth. Further, if Dr. Delair was aware of the late decelerations and meconium, he should not have ordered Demerol as it would not be appropriate to give such medication if it was possible the baby was in distress.</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Douglas McTaggart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Delair called Dr. McTaggart. He was qualified as an expert in family medicine. He has delivered approximately 800 babies.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McTaggart assumed that Dr. Delair's recollection of the events relating to the labour, delivery and resuscitation was accurate. He also assumed that where Dr. Delair's recollections conflicted with the evidence of the nurses, the nurses' recollections were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Based on those assumptions, Dr. McTaggart was of the opinion that Dr. Delair met the standard of a competent general obstetric practitioner in the care he provided to Mrs. Fullerton during her labour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McTaggart did not agree with Dr. Fritz that an antibiotic should have been started immediately. Dr. McTaggart testified that fevers can be transient and it was not wrong to wait at the outset of labour to monitor the fever.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 does not agree with Dr. Fritz that Dr. Delair had any obligation to personally re-assess the patient. Dr. McTaggart says that Dr. Delair was entitled to rely on verbal information given to him by the nursing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McTaggart testified that it is customary for routine assessments to be done by telephone. He noted that physicians are often not even at the hospital. He noted that labour can go on several hours without any need for the doctor to see the patient. Absent any problems being brought to his attention, Dr. McTaggart was of the opinion that Dr. Delair was not medically required to examine Mrs. Fullerton before going off shift, given that he understood the labour was going normally and delivery was still some hours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McTaggart agreed, on cross-examination, that if Dr. Delair had been told of late decelerations or meconium, he should have attended on Mrs. Fullerton. He said the nurses had an obligation to communicate such information to Dr. Delair. If the doctor did not attend when told of such danger signs, the nurses should have contacted a second doctor.</w:t>
      </w:r>
      <w:r>
        <w:rPr>
          <w:rFonts w:ascii="arial" w:eastAsia="arial" w:hAnsi="arial" w:cs="arial"/>
          <w:sz w:val="20"/>
          <w:lang w:val="en-US" w:eastAsia="en-US" w:bidi="ar-SA"/>
        </w:rPr>
        <w:cr/>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Stephen Hudson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Delair called Dr. Hudson, who was qualified as an expert in obstetrics and gynaecology.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Hudson testified that on admission it was appropriate to monitor Mrs. Fullerton's temperature before starting antibiotics. He noted that many patients in early labour have a mildly elevated temperature which may be caused by stress, the process of labour itself, or some mild element of dehydration.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Hudson is of the opinion that after the foetal heart monitor was re-connected at 20:55 h, the EFM strip pattern was abnormal. It is his opinion that the foetal heart tracing between 21:00 and 22:00 h showed evidence of late decelerations and foetal distress. Dr. Hudson believes that the attending physician should have been called to attend the patient. If the attending physician was called and did not attend, the Charge Nurse should have been notified so that the obstetrician on call could be consulted.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Again, Dr. Hudson testified that Dr. Delair should have been called to attend at 23:55 h after the discovery of thick meconium. Dr. Hudson found it difficult to believe that any doctor would not attend immediately if given a history of late decelerations and thick meconium.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Hudson testified that there was no need for Dr. Delair to see Mrs. Fullerton every two hours after the initial assessment. He was of the opinion that it was appropriate to rely on the nursing staff to observe any ongoing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On cross-examination, Dr. Hudson testified that the fact that heart rate variability remains good means the baby is being subjected to stress but is not damaged. He said a doctor should be told of late decelerations before variability becomes reduced and while the baby is still coping with stress. Dr. Hudson noted there is no way of knowing how long a baby will continue to endure stress. The failure to take action because variability is still good is a misunderstanding of the need for assessment.</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Caroline Porter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Hospital called Nurse Porter. She was qualified as an expert in obstetric nursing.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Nurse Porter testified that the care given to Mrs. Fullerton by the nursing staff was satisfactory. She believes that Nurse Charlton correctly interpreted the EFM strip and gave Dr. Delair the necessary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Nurse Porter did not agree with witnesses who testified that the second strip was non-reassuring. Nurse Porter says there was no need for Dr. Delair to attend at 21:50 h as the strip continued to show good variability in the heart rate. Nurse Porter does not agree that the third strip shows late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Nurse Porter testified that she would expect a doctor to re-assess a patient before leaving the building so that a full report would be ready for the succeeding doctor. She saw nothing in the third strip that demanded the doctor's immediate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Nurse Porter agreed that Dr. Delair should have been told about the meconium. In her opinion, the EFM strips only became non-reassuring at about 00:30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She further agreed that she would expect that the nurse would have confirmed during the 21:50 h telephone conversation whether the doctor was actually coming to assess the patient. If the doctor did not respond to a nurse's concern about the EFM strip, the matter should have been taken to the Charge Nurse. If the Charge Nurse agreed that the strip was non-reassuring, the doctor should have been called again or a second doctor should have been summoned.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Nurse Porter's opinion, if variability did not decrease, there was no need to call the doctor. As long as there was variability and good recovery to baseline heart rates, there was no need to call the doctor even if there were late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cross-examination, Nurse Porter agreed that the appropriate response to decelerations is to re-position the patient, provide oxygen and administer fluids.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Nurse Porter agreed that if Dr. Delair had advised Nurse Charlton during the 23:55 h telephone conversation that he was not coming to attend the patient, she should have referred the matter to the Charge Nurse and eventually to the on-call obstetrician. She also agreed that if a doctor did not appear to understand the seriousness of the matter, it was the nurse's duty to follow up with the doctor.</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Glen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Dr. Delair called Dr. Ward. He was qualified as an expert in paediatric resuscitation. Dr. Ward was also the paediatrician on call at the Hospital on the night of Benjamin's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Ward was called to assist in the resuscitation efforts. He arrived at approximately 01:30 h. He was of the opinion that Benjamin appeared to have responded well to initial resuscitation efforts, but that he suddenly deteriorated just as Dr. Ward came into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Subsequent to his arrival, Dr. Ward discovered that the intubation tube was displaced. He believes it is most likely that the displacement occurred when the baby was being transferred from one surface to another. He notes that in emergency situations the taping of the tube is not a high priority. Dr. Ward does not believe the tube could have been displaced for as long as 18 minutes. If it had, the baby would not have recovered as quickly when the tube was replaced.</w:t>
      </w:r>
      <w:r>
        <w:rPr>
          <w:rFonts w:ascii="arial" w:eastAsia="arial" w:hAnsi="arial" w:cs="arial"/>
          <w:sz w:val="20"/>
          <w:lang w:val="en-US" w:eastAsia="en-US" w:bidi="ar-SA"/>
        </w:rPr>
        <w:cr/>
      </w:r>
    </w:p>
    <w:p>
      <w:pPr>
        <w:numPr>
          <w:numId w:val="1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Dr. John E. Van Aerde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plaintiffs filed Dr. Van Aerde's report as to the cause of Benjamin's injury. His report was not challenged and he was not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Van Aerde concluded that Benjamin has the athetoid form of cerebral palsy caused by perinatal asphyxia. Dr. Van Aerde believes that the brain damage occurred during the last 30 minutes prior to delivery and probably started at the time of the major deceleration which occurred at 00:38 h. He believes that Benjamin's condition may possibly have been aggravated by the accidental intubation following birth, but the extent of additional damage was probably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Van Aerde believes that the asphyxia lasted for more than 10 but less than 30 minutes. It is his opinion that an acute hypoxic/ischemic event, most likely from 00:38 h on, caused damage to Benjamin's basal ganglia, which has resulted in his present condition. He believes that if Benjamin had been born prior to 00:38 h, the brain damage, if any, would very likely have been much less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Positions of the Parties</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plaintiffs submit that both Dr. Delair and the nurses were negligent and that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Benjamin's injuries. The plaintiffs submit that the nurses failed to follow proper nursing techniques, including giving oxygen to Mrs. Fullerton at a much earlier stage, re-positioning her to increase the blood flow to Benjamin, and making sure that Mrs. Fullerton was adequately hydrated. The plaintiffs submit that if these techniques had been implemented, they might have delayed or prevented the foetus' oxygen reserves from being used up. Once the reserves are used up, brain damage may begin.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plaintiffs further submit that the nurses had a duty to correctly interpret the EFM strip and to keep Dr. Delair informed of any impending problems. The plaintiffs say if Nurse Charlton failed to advise Dr. Delair about the late decelerations shown on the EFM strip, she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further submit that even if I accept that Nurse Charlton told Dr. Delair during the 21:50 h telephone conversation of late decelerations, she was negligent in failing to insist that Dr. Delair attend Mrs. Fullerton. They also submit that Nurse Charlton was negligent in failing to contact Dr. Delair again subsequent to 22:00 h, when the strip continued to show that the situation was deteriorating.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plaintiffs say Nurse Charlton had a duty to tell Dr. Delair about the meconium. They say that even if Nurse Charlton did tell Dr. Delair about the meconium, she was negligent in not insisting that he immediately come to attend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With respect to Dr. Delair, the plaintiffs say that if he was told by Nurse Charlton of the late decelerations during the 21:50 h telephone conversation, or of the meconium at 23:55 h, he was negligent in failing to immediately attend to Mrs. Fullerton. They further submit, based on the evidence of Dr. Fritz, that Dr. Delair had a duty, regardless of what advice he received from Nurse Charlton, to attend and assess Mrs. Fullerton in person during the course of the evening before he left for home.</w:t>
      </w:r>
      <w:r>
        <w:rPr>
          <w:rFonts w:ascii="arial" w:eastAsia="arial" w:hAnsi="arial" w:cs="arial"/>
          <w:sz w:val="20"/>
          <w:lang w:val="en-US" w:eastAsia="en-US" w:bidi="ar-SA"/>
        </w:rPr>
        <w:cr/>
      </w:r>
    </w:p>
    <w:p>
      <w:pPr>
        <w:numPr>
          <w:numId w:val="2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Dr. Delair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Delair acknowledges that if he was told about the late decelerations and/or the meconium, he would have had a duty to attend and assess Mrs. Fullerton and that his failure to do so would have been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Delair insists, however, that he was not told of any difficulties during the course of labour which would have alerted him to potential difficulties. He says in such circumstances he was entitled to rely on the silence of the nursing staff and assume that all was proceeding normally and that therefore there was no need for him to attend. On this point, Dr. Delair relies on the evidence of Drs. Doersam, Farquharson, McTaggart and Hudson. Dr. Delair submits that Nurse Charlton was negligent in failing to advise him of the deteriorating EFM strip readings and the presence of meconium.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regard to the meconium, Dr. Delair submits that the court should find that Nurse Charlton did not learn of the meconium until after Dr. Delair had given her the order for Demerol. In this regard, Dr. Delair relies on the notation in the Hospital record that he gave the order for Demerol at 23:50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Delair further submits that, if the court should find that it was only during the 23:55 h telephone conversation that he learned of possible foetal distress, his failure to take any action at that time did not cause any injury because by then it was already too late to prevent brain damage to Benjamin.</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Hospital submits that the nurses met the standard of care expected of a registered nurse. It submits that Dr. Delair was advised at 21:50 h of the late decelerations and at 23:55 h of the presence of meconium. It submits that the nursing charts confirm Nurse Charlton's evidence. The Hospital further submits that if the nurses' evidence is accepted, then the case against Dr. Delair becomes, on his own evidence and the evidence of his own experts, unassailable.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Hospital submits that if the evidence of Nurses Charlton, Straathof and Porter is accepted, the claim against the Hospital must be dismissed. Based on that evidence, the doctor was kept well-advised of the maternal and foetal status and there was nothing prior to 00:38 h which required an urgent assessment by a physician, who was at all times present in the Hospital and available should he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Hospital further submits that even if Dr. Delair was not advised of the late decelerations and meconium, he had an independent duty to assess Mrs. Fullerton and that he failed to meet the standard of care expected of a general practitioner of average competence. In this regard, the Hospital relies on the evidence of Dr. Fritz.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Hospital also submits that if Dr. Delair was told of the meconium and/or the presence of late and variable decelerations during the 23:55 h telephone conversation with Nurse Charlton, but was not told of the presence of variable and late decelerations during the 21:50 h telephone conversation, the outcome would have been no different. It submits that since Dr. Delair failed to attend following the 23:55 h telephone conversation, the court should conclude that he would not have attended at 21:50 h either and that the end result for Benjamin would have been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 Discussion</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The conduct of any medical practitioner must be judged according to the standard of care of similar professionals or those performing the same function. When a medical professional acts in accordance with a recognized and acceptable practice of the profession, he or she will not be found to be negligent. The standard is one of a prudent and diligent medical professional in similar circumstances and in light of the knowledge that ought to have been possessed at the time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ter Neuzen v. Korn, </w:t>
      </w:r>
      <w:hyperlink r:id="rId368"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If expert evidence at trial establishes there is more than one recognized and accepted body of medical opinion, it is sufficient if the defendant physician adhered to one accepted school of thought: Belknap v. Meakes </w:t>
      </w:r>
      <w:hyperlink r:id="rId400" w:history="1">
        <w:r>
          <w:rPr>
            <w:rFonts w:ascii="arial" w:eastAsia="arial" w:hAnsi="arial" w:cs="arial"/>
            <w:i/>
            <w:color w:val="0077CC"/>
            <w:sz w:val="20"/>
            <w:u w:val="single"/>
            <w:shd w:val="clear" w:color="auto" w:fill="FFFFFF"/>
            <w:lang w:val="en-US" w:eastAsia="en-US" w:bidi="ar-SA"/>
          </w:rPr>
          <w:t>(1989), 1 C.C.L.T. (2d) 192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Nursing is an independent profession with its own standard of care, but because of the team approach inherent in obstetric practice, the court can also consider the evidence of a physician in determining whether the standard of nursing care has been met: Guerineau (Guardian ad litem of) v. Seger, </w:t>
      </w:r>
      <w:hyperlink r:id="rId401" w:history="1">
        <w:r>
          <w:rPr>
            <w:rFonts w:ascii="arial" w:eastAsia="arial" w:hAnsi="arial" w:cs="arial"/>
            <w:i/>
            <w:color w:val="0077CC"/>
            <w:sz w:val="20"/>
            <w:u w:val="single"/>
            <w:shd w:val="clear" w:color="auto" w:fill="FFFFFF"/>
            <w:lang w:val="en-US" w:eastAsia="en-US" w:bidi="ar-SA"/>
          </w:rPr>
          <w:t>[2001] B.C.J. No. 333</w:t>
        </w:r>
      </w:hyperlink>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2001 BCSC 291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duties of a nurse include reliable and accurate charting. The chart is the common source of information and direction for patient care and the absence of contemporaneous chart entries at crucial points permits the court to infer that nothing was charted because nothing was done: Kolesar v. Jeffries </w:t>
      </w:r>
      <w:hyperlink r:id="rId402" w:history="1">
        <w:r>
          <w:rPr>
            <w:rFonts w:ascii="arial" w:eastAsia="arial" w:hAnsi="arial" w:cs="arial"/>
            <w:i/>
            <w:color w:val="0077CC"/>
            <w:sz w:val="20"/>
            <w:u w:val="single"/>
            <w:shd w:val="clear" w:color="auto" w:fill="FFFFFF"/>
            <w:lang w:val="en-US" w:eastAsia="en-US" w:bidi="ar-SA"/>
          </w:rPr>
          <w:t>(1974), 9 O.R. (2d) 41</w:t>
        </w:r>
      </w:hyperlink>
      <w:r>
        <w:rPr>
          <w:rFonts w:ascii="arial" w:eastAsia="arial" w:hAnsi="arial" w:cs="arial"/>
          <w:color w:val="000000"/>
          <w:sz w:val="20"/>
          <w:lang w:val="en-US" w:eastAsia="en-US" w:bidi="ar-SA"/>
        </w:rPr>
        <w:t xml:space="preserve"> (H.C.J.), var'd on other grounds </w:t>
      </w:r>
      <w:hyperlink r:id="rId403" w:history="1">
        <w:r>
          <w:rPr>
            <w:rFonts w:ascii="arial" w:eastAsia="arial" w:hAnsi="arial" w:cs="arial"/>
            <w:i/>
            <w:color w:val="0077CC"/>
            <w:sz w:val="20"/>
            <w:u w:val="single"/>
            <w:shd w:val="clear" w:color="auto" w:fill="FFFFFF"/>
            <w:lang w:val="en-US" w:eastAsia="en-US" w:bidi="ar-SA"/>
          </w:rPr>
          <w:t>(1976) 12 O.R. (2d) 142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law has long distinguished between errors in the exercise of clinical judgment and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retrospective analysis of the actions of doctors and nurses, one must be careful not to confuse the reasonable exercise of clinical judgment, which of course will vary from practitioner to practitioner, with the concept of the negligent performance of one's duties: Wilson v. Swanson, </w:t>
      </w:r>
      <w:hyperlink r:id="rId40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Even if a medical professional has breached the appropriate standard of care, the plaintiff must still establish that the breach is causally connected to the plaintiff's injury. The plaintiff must show that but for the defendant's breach the injury would not have occurred, or that the breach materially contributed to the occurrence of the injury: Athey v. Leonati,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on Disputed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Before considering whether the nurses or Dr. Delair breached the standard of care expected of medical professionals, it is necessary to make certain findings in regard to the evidence which is in dispute, including what was said during the two telephone conversations between Nurse Charlton and Dr. Delair.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Delair initiated the 21:50 h telephone conversation to check on his patient. At 21:50 h, Nurse Charlton had no concerns about the condition of the foetus based on the EFM strip. She believed that variability in the heart rate was good and the strip reassuring. Given the conflicts in her evidence at trial and on discovery as to the meaning to be given to the letters "V" and "L" on the partogram, I am not satisfied that Nurse Charlton even recognized that there had been late decelerations at the time of the 21:50 h telephone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accept Dr. Delair's evidence that during the course of the 21:50 h telephone conversation he inquired about the strip and Nurse Charlton's response did not alert him to any potential difficulties. Such a response would be consistent with Nurse Charlton's evidence that the strip at 21:50 h gave her no cause for concern. I do not accept Nurse Charlton's evidence that she told Dr. Delair at 21:50 h of late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Nurse Charlton initiated the 23:55 h telephone call. She called to obtain a prescription for Demerol for Mrs. Fullerton. Dr. Delair's shift was about to end. I accept Nurse Charlton's evidence that immediately prior to making that telephone call, she had conducted a vaginal examination during which she discovered the presence of meconium. I accept Nurse Charlton's evidence that during the 23:55 h telephone call she advised Dr. Delair of the presence of meconium.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This conclusion is consistent with the medical chart. Nurse Charlton wrote on the Hospital chart that meconium was observed at 23:55 h and Dr. Delair was notified. The presence of meconium was noted at the mid-point between 23:50 h and 00:00 h on the EFM strip. The partogram indicates that the Demerol was administered at 00:05 h. The administration of Demerol is also noted subsequent to 00:00 h on the EFM strip. There was no suggestion in the evidence that any of these entries were made after Benjamin's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am aware of the notation in the medical records that the Demerol prescription was given at 23:50 h. I accept Nurse Charlton's evidence that the differences in times arose because the clocks in the Hospital were not synchronized.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Nurse Charlton's evidence is confirmed by Nurse Straathof. Nurse Straathof indicates that she was present during the course of the 23:55 h telephone conversation and heard Nurse Charlton tell Dr. Delair of the presence of meconium.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 do not accept Dr. Delair's evidence that he was not told of meconium. Although he testified at trial that there is no doubt in his mind that he would have attended the patient if he had been told about meconium, his evidence on discovery was much more equivocal. At the time of these events Dr. Delair was relatively inexperienced. I can only conclude, given the expert evidence that I have heard as to the significance of meconium, that at the time of these events Dr. Delair did not fully appreciate its importance. His discovery evidence is consistent with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do not accept, however, Nurse Charlton's evidence that she told Dr. Delair during the 23:55 h conversation that Mrs. Fullerton was experiencing late decelerations. That was significant information. If Nurse Charlton had told Dr. Delair at 23:55 h of late decelerations, such information should have been charted, if not at the time of the conversation, then at least later in the morning when the late entry was made concerning the 21:50 h conversation. The lack of any such entry leads me to the conclusion that Dr. Delair was not told at 23:55 h of late decelerations.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This conclusion is consistent with Nurse Charlton's evidence that she was not concerned about the meconium because the variability shown on the EFM strip remained good. It is also consistent with her apparent lack of concern when she was advised by Dr. Delair that he was going off shift and that Dr. Zucarro would be taking over Mrs. Fullerton's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accept the evidence of Nurse Charlton and Nurse Straathof that Dr. Delair was told some time before 00:30 h that Mrs. Fullerton was on the verge of delivery. The partogram indicates that a vaginal examination took place at approximately 00:15 h when Mrs. Fullerton indicated she had an urge to push. I accept Mr. Fullerton's evidence that Nurse Charlton commented "Oh my God" on discovering that Mrs. Fullerton was 9 1/2 cm. dilated.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timing of these events is confirmed by the handwritten notation on the EFM strip between 00:20 and 00:30 h, where it is recorded that Mrs. Fullerton is at rim and there is an urge to push.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It makes no sense that the nursing staff would not then immediately summon the doctor. Nurse Straathof testified that when she spoke to Dr. Delair, he told her he was in his car on his way home. His departure for home would explain the delay between when he was contacted and when he returned for the delivery. His departure from the Hospital would be consistent with his advice to Nurse Charlton at 23:55 h that he was handing matters over to Dr. Zucarro.</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On Mrs. Fullerton's arrival at the Hospital, it was clear that she was a patient who required careful monitoring. She was in active labour and had an elevated temperature. The foetal heart tracing showed a sustained elevation of the baby's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While the standards in British Columbia for intra partum care do not require continuous EFM monitoring during labour, all expert witnesses agreed, and the B.C.R.C.P. Guidelines require, that when a patient is in active labour and not on continuous electronic monitor, the foetal heart rate should be checked by auscultation every 15 minutes. This standard was not met during the interval from 19:10 h until 20:55 h when Mrs. Fullerton was checked but once at 20:00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After Mrs. Fullerton had been transferred to the labour room, the monitor should have been re-attached as soon as possible. Instead, Nurse Charlton put a labouring mother with a fever and a foetus with tachycardia in a warm shower, which would not alleviate either condition. Nurse Charlton's failure to monitor as required is a plain and obvious breach of the required standard of care. Even the Hospital's nursing expert, Nurse Porter, agreed that it was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Doersam and Nurse Porter both testified that the proper nursing response to foetal heart rate decelerations is to re-position the patient to relieve cord compression, provide oxygen, and administer fluids. Nurse Charlton's failure to take any such steps until 00:38 h was a further breach of nursing standards. I accept Dr. Doersam's evidence that such steps might have avoided foetal hypoxia and prevented all of the subsequent adverse events and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All of the experts who commented on the subject, except Nurse Porter, agreed that after 21:00 h the deteriorating readings on the EFM strip should have been brought to the attention of the attending physician. I accept that evidence. The Hospital's own standards and procedures explicitly state that both variable decelerations and late decelerations are to be considered as threatening or ominous signs and the nurse is to inform the attending physician of them. The failure to tell Dr. Delair of the late decelerations was not a mere error in judgement; it was a breach of recognized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breach continued throughout the evening as the readings on the EFM strip continued to deteriorate. Nurse Charlton had an ongoing obligation to advise Dr. Delair of any ominous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do not accept Nurse Charlton's evidence that she continued to expect that Dr. Delair would come and assess the patient. Although there may have been a misunderstanding at the time she came on shift as to Dr. Delair's intentions, after the 21:50 h telephone call she had no basis to believe that Dr. Delair would be personally attending on Mrs. Fullerton. Even if she mistakenly held such a belief, it does not excuse her failure to notify Dr. Delair of the continued deterioration of the EFM strip readings when he did not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cannot draw the conclusion that Dr. Delair would not have attended if he had been told of the late decelerations. Such a conclusion would be mere conjecture or speculation. His evidence and the established practice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find that if Dr. Delair had been made aware of late decelerations during the 21:50 h telephone conversation, he would have attended and assessed Mrs. Fullerton. Based on that assessment, Dr. Delair would have called an obstetrician. I accept Dr. Doersam's evidence that by 23:00 h the decision to deliver would have been made because of the non-reassuring foetal heart tracing. This in turn would have led to delivery no later than 23:30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further accept Dr. Doersam's opinion that even if delivery had not occurred by the time of the finding of thick meconium at 23:55 h, a reasonable obstetrician, faced with fresh meconium, a non-reassuring tracing and a cervix 5 cm. dilated, would have effected delivery as soon as possible. In either case, delivery would have occurred well prior to the onset of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Nurse Charlton further breached the standard of care by failing to take any action when Dr. Delair advised her at 23:55 h that he was going home. At a minimum, she should have advised the Charge Nurse that Dr. Delair was not coming. If she had done so, Nurse Straathof would have followed up with either Dr. Delair or the obstetrician on call, who then would have attended and provided the appropriate care, which in turn would likely have led to a more favourable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 find that Nurse Charlton's breaches of the standard of care are causally connected to Benjamin's injury and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The Hospital is vicariously liable for Benjamin's injuries.</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Dr. Delair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have found that Dr. Delair was not advised during either the 21:50 h or the 23:55 h telephone conversation of late decelerations. I have, however, found that he was told at 23:55 h of the presence of meconium. On his own admission, Dr. Delair should have attended when advised of meconium. I suspect that Nurse Charlton's lack of concern may have misled Dr. Delair as to the gravity of the situation. It does not, however, excuse his failure to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more difficult question is whether Dr. Delair's failure to attend at 23:55 h materially contributed to Benjamin's injury, or alternatively, whether by that time there was anything that Dr. Delair could have done if he had attended to change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If Dr. Delair had attended immediately following the 23:55 h telephone conversation, he would have noted the thick meconium and also would have observed that the foetal heart strip had been non-reassuring for most of the evening. He would have immediately called the on-call obstetrician and told him of the ominous clinical and foetal monitoring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As there is no evidence that the on-call obstetrician was present in the Hospital, it is probably necessary to assume that he or she would have had to be summoned from elsewhere. Dr. Doersam's report indicates that an obstetric consultation would normally take place within 30 minutes and that a Caesarean section could take up to 30 minutes to organize once it is ordered. It is important to note that the time necessary for the obstetrician to attend and the time necessary to organize a Caesarean section are not necessarily consecutive periods. Based on Dr. Doersam's evidence, it is a reasonable inference that an obstetrician, who had been advised of thick fresh meconium, a non-reassuring tracing and a cervix 5 cm. dilated, would have taken steps to notify operating room staff and others to commence preparations for a Caesarean section even before the obstetrician had had the opportunity to conduct an examination of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evidence suggests that if the operating room staff were not already present in the building, they could have been available within 10 or 15 minutes. In an emergency Caesarean, the patient could be anesthetized and the incision made within 15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evidence indicates that a Caesarean section could have commenced some time between 00:20 and 00:30 h, with delivery between 00:35 and 00:45 h. Delivery at 00:35 h would have spared Benjamin any brain damage. Delivery at 00:45 h would be 19 minutes before the actual delivery and only 7 minutes into the onset of hypoxic brain damage. In such circumstance, much of the brain damage could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find that if Dr. Delair had attended immediately following the 23:55 h telephone conversation, the brain damage to Benjamin could have been avoided or minimized. Dr. Delair's failure to attend in response to the advice that meconium was present materially contributed to Benjamin's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reject the submission that Dr. Delair had a duty, regardless of what advice he received from Nurse Charlton, to attend and assess Mrs. Fullerton in person during the course of the evening before he left for home. Although Dr. Fritz was of that opinion, it is clear from the evidence of the other physicians who testified that Dr. Delair's failure to attend, absent advice of foetal distress, was consistent with a recognized and accepted body of medical opinion. Although one might deplore such lack of bedside manner, it is clear that it is accepted medical practice that absent problems being brought to a doctor's attention, there is no medical requirement that a doctor examine and reassure a maternity patient before going off shift. This case illustrates the potential problems that can occur when one doctor covers for another. If Mrs. Fullerton had been a regular patient of Dr. Delair, I expect it is most unlikely that he would have left for home without at least checking in and saying goodnight.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also reject the submission that Dr. Delair's attempts at resuscitation after Benjamin's birth failed to comply with appropriate standards. I accept Dr. Ward's evidence that in emergency situations taping of the intubation tube is not a high priority. Dr. Ward was of the view that Benjamin appeared to have responded well to the initial resuscitation efforts and I am satisfied that the damage which occurred to Benjamin did not arise because of any breach of standards by Dr. Delair at that time. Indeed, absent Dr. Delair's efforts, the outcome may have been even less favourable.</w:t>
      </w:r>
      <w:r>
        <w:rPr>
          <w:rFonts w:ascii="arial" w:eastAsia="arial" w:hAnsi="arial" w:cs="arial"/>
          <w:sz w:val="20"/>
          <w:lang w:val="en-US" w:eastAsia="en-US" w:bidi="ar-SA"/>
        </w:rPr>
        <w:cr/>
      </w:r>
    </w:p>
    <w:p>
      <w:pPr>
        <w:numPr>
          <w:numId w:val="2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summary, therefore, I hold that the Hospital and Dr. Delair are both liable for Benjamin's injuries. I find that the Hospital bears the greater responsibility. Nurse Charlton failed to advise Dr. Delair in a timely manner about the deterioration in the EFM strip; failed to properly respond to decelerations; and failed to take any steps when Dr. Delair indicated he was not going to attend after she informed him of the presence of meconium.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Delair was negligent in not attending when told of the presence of meconium. His failure, although not excusable, can be partly explained by the failure of the nursing staff to tell Dr. Delair of any other signs of foetal distress. His efforts at resuscitation were heroic and undoubtedly saved Benjamin's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Given all of the circumstances, I apportion fault 65 per cent to the Hospital and 35 per cent to Dr. Delair.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Benjamin has the athetoid form of cerebral palsy caused by perinatal asphyxia. He has severe motor dysfunction and a hearing disorder. He will never be able to stand or walk unaided. He will never have significant functional hand use. He will never be able to speak. Communication with Benjamin is a difficult, time-consuming process. His communication needs are expected to become even more complex as he grows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Benjamin can use head controls to safely steer a power wheelchair and can walk with the aid of a walker. He is aware of his environment and appears to understand what is said to him. He communicates by a combination of eye gaze, vocalization and body movements, sometimes aided by a device that can play pre-recorded sentences or by reference to communication books that have been prepared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his early years, Benjamin had significant problems with gastroesophageal reflux. This was improved by surgery in early 2003. That surgery also placed a feeding tube into his stomach and Benjamin now takes nourishment both through the tube and by mouth. He is unable to feed himself and when eating by mouth he must be 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Benjamin is, and always will be, completely dependent on others for all his activities of daily living, including bathing, dressing, and grooming. He has both athetosis and spasticity and has significant problems with both fine and gross motor skills. He cannot grasp independently. He is unable to roll, sit, crawl, kneel, or stand independently. He will be dependent upon caregiver support throughout his lifetime. In addition, he will require significant technological support to move and interact with his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spite of his profound physical and communication disabilities, Benjamin's cognitive abilities are intact. He is considered to be of average intelligence. Although he has long-term and severe communication impairment, Benjamin has the potential to complete the senior high school curriculum in selected courses using an adapted curriculum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Benjamin continues to live at home with his parents and his new baby sister, Holly. Although Mrs. Fullerton briefly returned to work after Benjamin's birth, once the seriousness of his condition became known she has been a full-time caregiver. His parents' love, dedication, support and optimism have maximized Benjamin's ability to cope with his handicaps.</w:t>
      </w:r>
      <w:r>
        <w:rPr>
          <w:rFonts w:ascii="arial" w:eastAsia="arial" w:hAnsi="arial" w:cs="arial"/>
          <w:sz w:val="20"/>
          <w:lang w:val="en-US" w:eastAsia="en-US" w:bidi="ar-SA"/>
        </w:rPr>
        <w:cr/>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It is distasteful but necessary to determine Benjamin's life expectancy because the projected duration of his life impacts on the future care and the loss of future earning capacity awards. Determination of life expectancy is far from an exercise in scientific certainty. Four experts testified. All agreed that Benjamin has a reduced life expectancy. Their estimates ranged from an additional seven years to an additional 35 years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plaintiffs called Dr. Farrell. He is a paediatric neurologist. Dr. Farrell testified that Benjamin's life expectancy had been significantly altered by his neurological problems, noting that severe motor disability and immobility are major factors that influence life expectancy. He anticipated Benjamin would live an additional 35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coming to his opinion, Dr. Farrell considered Benjamin's particular neurological abnormalities, life expectancies that are provided in the different studies of cerebral palsy, and his experience treating children with different types of cerebral palsy. While acknowledging that mobility and feeding skills were powerful prognostic factors of survival, Dr. Farrell believed that Benjamin's lack of chest infections or hospital admissions for chest problems, the possibility that his motor skills might improve somewhat over time, and his level of intelligence made it likely that Benjamin would have a better result than suggested by the medical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Dr. Farrell acknowledged that he did not have experience following paediatric patients through to adulthood. He also acknowledged that one has to look at the statistical studies of cerebral palsy sufferers because there are no other reference points aside from anecdotal evidence in one's own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plaintiffs also called Dr. Hahn. He is a specialist in paediatric physical medicine and rehabilitation. He acknowledged the difficulty in estimating Benjamin's life expectancy. In particular, Dr. Hahn noted that at Benjamin's young age it was not easy to determine his risk for airway aspirations or to project the natural progression of his spinal alignment and his risk for development of undesirable spinal deformities.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light of these difficulties, Dr. Hahn put forward different scenarios. In the most favourable of scenarios, Dr. Hahn opined that if Benjamin's airway and spine remain reasonably stable he could live an additional 30 years. Dr. Hahn believed that because of Benjamin's lack of mental retardation he would have a better result than the medical literature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If Benjamin were not to experience stable gastroesophageal health, he would face the risk of aspiration into the lungs. In addition, were he to experience progressive spinal deformity with secondary restrictive lung disease, his life expectancy would be significantly decreased as compared to the first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the event of development of significant spinal deformity with secondary restrictive lung disease, but in the absence of significant recurrent gastrointestinal complications, Dr. Hahn projected an additional life expectancy of 25 years. In the event of recurrent gastrointestinal instabilities with subsequent risks for aspirations, but in the absence of progressive spinal deformity, Dr. Hahn projected an additional life expectancy of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If Benjamin were to develop both complications, that is recurrent gastrointestinal complications with a secondary risk of aspiration, as well as spinal deformity with secondary restrictive lung disease, Dr. Hahn projected Benjamin would live an additional 15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Dr. Hahn, like Dr. Farrell, does not have experience following his paediatric patients through to adulthood. He ceases care of his patients at around age 19 and does not have any regular follow-up with them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Hospital called Dr. Chambers, who practises as a family physician. In addition, he has taken training in statistics and has formal training in clinical research and critical appraisal of medical information. Dr. Chambers has testified on life expectancy on several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Dr. Chambers testified that the normal life expectancy of a 5.6 year old male is a further 70.4 years to age 76. He opined that Benjamin has a life expectancy of between 10% and 20% of normal (or seven to 14 additional years). Given Benjamin's age and increased risk of respiratory complications, Dr. Chambers believes his life expectancy is closer to seven years than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In reaching his opinion, Dr. Chambers relied heavily on the California database of Dr. David Strauss, who has published two studies on the life expectancy of those with cerebral palsy. The first study looked at the survival experience of more than 12,000 children aged 0.5 years to 3.5 years. Mobility and feeding skills were the most significant risk factors in predicting life expectancy. For those who were tube-fed and immobile to the point they could not lift their heads, the median survival was an additional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Dr. Strauss' second study, published in 1998, looked at the life expectancies of those who survived to age 15 and beyond. This was a larger population-based study with a cohort of over 24,000 subjects. The 1998 study suggests a life expectancy of an additional 11.7 years for a 15-year old male who is tube-fed and who cannot lift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Chambers noted that Benjamin was somewhat older than those in the first study and somewhat younger than the 15-year olds in the second study. He also noted that with Benjamin's history of reflux and risk of aspiration, Benjamin is probably worse off than the average of those studied by Dr. Strauss with the same level of functional mobility and inability to be fed orally.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Dr. Chambers considered the lack of mobility to be key in determining life expectancy. He relied on the Strauss studies for his opinion that intelligence was not a factor in determining life expectancy. He agreed that the smaller the group, the less reliable is the study and that the greater the number of variables, the larger the possibility of error. Dr. Chambers further agreed that if Benjamin was still alive at 15, he might live a further 11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Dr. Delair called Dr. Strauss. Dr. Strauss is a resident of California. He has a Ph.D. in statistics and he has conducted extensive research with respect to life expectancies for children and adults with disabilities including cerebral palsy. He is a director of the University of California Life Expectancy Project, which maintains a database of approximately 250,000 people, of who 50,000 suffer from cerebral palsy. He has no medical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Strauss acknowledges that few subjects of his study have Benjamin's level of intelligence. He notes, however, that based on a broad range of research, the degree of cognitive function has a relatively small effect on life expectancy. He does agree that Benjamin's intelligence may be a positive factor in his potential longevity.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his written report, Dr. Strauss calculated Benjamin's life expectancy under three scenarios. After preparing his report, Dr. Strauss received Dr. Hahn's report and watched a video of Benjamin which was marked as an exhibit at trial. Based on that additional information, Dr. Strauss determined that Benjamin fell within his most pessimistic scenario, which assumed that Benjamin could not consistently lift his head when prone or roll from side to side or front to back. Based on those assumptions and other assumptions noted in his report, Dr. Strauss estimated Benjamin's life expectancy to be 21.1 additional years, and his median remaining survival time to be 15.8 additional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his report, Dr. Strauss explained the distinction between life expectancy and median remaining survival time. The life expectancy of an individual of a given age and condition is defined as "the average number of remaining years of life for members of the large cohort of individuals with that age and condition." If one-third of the group survives exactly one more year, another third survives exactly two more years, and the remaining third survives nine more years, the life expectancy is (1 + 2 + 9) / 3 = 4 additional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The median remaining survival time is defined as "the median of the number of remaining years of life for members of a cohort. The cohort consists of individuals of the same age and condition as the plaintiff." In the above example, the median remaining survival time is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life expectancy of an individual is substantially longer than the median remaining survival time. The reason is that the few individuals who live a relatively long time increase the average but do not affect the median. I find that the median survival time is a better measure of life expectancy than the average because the average is distorted by the relatively small number of individuals who live for an extended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Dr. Strauss' median survival time of 15.8 years is consistent with Dr. Hahn's most pessimistic scenario and with Dr. Chambers' most optimistic view. I prefer the evidence of Dr. Strauss and Dr. Chambers to the more optimistic projections of Dr. Hahn and Dr. Farrell. Neither has the expertise or background in life expectancy to match that of Dr. Strauss or Dr.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It is impossible to predict anyone's time of death with precision. Dr. Strauss' life table suggests that 40% of those still alive at age 25 would, on average, live an additional 19 years. Benjamin has to date avoided chest infections, which are a major cause of death of children with cerebral palsy. The longer he lives, the greater the possibility he may outlive the median survival time. Taking all of the evidence into account, I find that Benjamin's life expectancy is 20 additional years.</w:t>
      </w:r>
      <w:r>
        <w:rPr>
          <w:rFonts w:ascii="arial" w:eastAsia="arial" w:hAnsi="arial" w:cs="arial"/>
          <w:sz w:val="20"/>
          <w:lang w:val="en-US" w:eastAsia="en-US" w:bidi="ar-SA"/>
        </w:rPr>
        <w:cr/>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defendants agree that the plaintiffs are entitled to the maximum allowable award for non-pecuniary damages, which counsel advises is $299,000.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xml:space="preserve">  Plaintiffs' counsel submits that Benjamin is entitled to an award for non-pecuniary damages in excess of the upper limit. He notes the comments of the Supreme Court of Canada in Lindal v. Lindal, </w:t>
      </w:r>
      <w:hyperlink r:id="rId2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where Dickson J., for the Court, said at pp. 642-43: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variety of possible fact situations is limitless, and it would be unwise to foreclose the possibility of ever exceeding the guideline of $100,000. But, if the purpose of the guideline is properly understood, it will be seen that the circumstances in which it should be exceeded will be rare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Counsel submits that this case presents the kind of rare and exceptional circumstance where it is open to the court to consider an award for non-pecuniary damages in excess of the upper limit. He notes that Benjamin's normal brain is trapped in a body that cannot function and he cannot even communicate his thoughts, feelings, and needs in a normal manner. Counsel also notes that not only will Benjamin's physical difficulties and communication difficulties greatly reduce his enjoyment of life, he also has a significantly reduced life expectancy as a result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Counsel submits that this is something that Benjamin is bound to become aware of and understand at some point in his life. He submits that knowledge of that loss is bound to affect Benjamin's ability to enjoy life over and above the effect of his physical disabilities. Counsel submits that the defendants should compensate Benjamin for that additional suffering and additional need for solace that his reduced life expectancy, and his knowledge of it, are likely to cause Benjamin. In his submission, counsel states that life expectancy was not an issue in the Supreme Court of Canada trilogy which established the upper limit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Counsel is mistaken in that submission. In Andrews v. Grand &amp; Toy Alberta Ltd., </w:t>
      </w:r>
      <w:hyperlink r:id="rId22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there was evidence that the plaintiff would have a reduced life expectancy. In addressing awards for non-pecuniary losses, Dickson J., speaking for the Court, noted at p. 264: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customary to set only one figure for all non-pecuniary loss, including such factors as pain and suffering, loss of amenities, and loss of expectation of life. This is a sound practice. Although these elements are analytically distinct, they overlap and merge at the edges and in practice. To suffer pain is surely to lose an amenity of a happy life at that time. To lose years of one's expectation of life is to lose all amenities for the lost period, and to cause mental pain and suffering in the contemplation of this prospect. These problems, as well as the fact that these losses have the common trait of irreplaceability, favour a composite award for all non-pecuniary losses.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Benjamin has clearly suffered a catastrophic injury. The Supreme Court of Canada has established an upper limit on non-pecuniary damages for such losses. The loss of expectation of life and the knowledge that one's life will be reduced is not an uncommon result of a catastrophic injury. I reject the submission that this case presents rare and exceptional circumstances which would allow for an award in excess of the upper limit. I award non-pecuniary damages of $299,000.</w:t>
      </w:r>
      <w:r>
        <w:rPr>
          <w:rFonts w:ascii="arial" w:eastAsia="arial" w:hAnsi="arial" w:cs="arial"/>
          <w:sz w:val="20"/>
          <w:lang w:val="en-US" w:eastAsia="en-US" w:bidi="ar-SA"/>
        </w:rPr>
        <w:cr/>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The plaintiffs claim damages for Benjamin's loss of future earning capacity. The damages should be assessed by considering likely earnings had Benjamin not been injured and by reducing the 'absent-injury' earnings to account for his reduced life expectancy.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As Benjamin was injured prior to birth, there is no way to evaluate educational or vocational patterns from which to predict what his earnings might have been had he not been injured. In these circumstances it is therefore appropriate to consider the educational attainment of Benjamin's parents and the achievement orientation in the household: Cherry (Guardian ad litem of) v. Borsman </w:t>
      </w:r>
      <w:hyperlink r:id="rId405" w:history="1">
        <w:r>
          <w:rPr>
            <w:rFonts w:ascii="arial" w:eastAsia="arial" w:hAnsi="arial" w:cs="arial"/>
            <w:i/>
            <w:color w:val="0077CC"/>
            <w:sz w:val="20"/>
            <w:u w:val="single"/>
            <w:shd w:val="clear" w:color="auto" w:fill="FFFFFF"/>
            <w:lang w:val="en-US" w:eastAsia="en-US" w:bidi="ar-SA"/>
          </w:rPr>
          <w:t>(1992) 70 B.C.L.R. (2d) 273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Mrs. Fullerton has an under-graduate university degree. Mr. Fullerton has a degree from B.C.I.T. and is currently working toward a Master's degree in Business Administration. Both Mr. and Mrs. Fullerton impressed me as highly-motivated and result-orientated individuals. They have worked long and hard to assist Benjamin to overcome his many handicaps. They are clearly dedicated to their children's success. I believe that Benjamin would have received strong encouragement from his parents in his educational endeavours, and most probably would have attended and graduated from university. Benjamin's loss of future earning capacity should be assessed based on the average expected earnings of a British Columbia male with a university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Because of Benjamin's reduced life expectancy, the award for loss of future earning capacity is subject to a deduction in respect of the living expenses for the 'lost years': Toneguzzo-Norvell (Guardian ad litem of) v. Burnaby Hospital, </w:t>
      </w:r>
      <w:hyperlink r:id="rId406" w:history="1">
        <w:r>
          <w:rPr>
            <w:rFonts w:ascii="arial" w:eastAsia="arial" w:hAnsi="arial" w:cs="arial"/>
            <w:i/>
            <w:color w:val="0077CC"/>
            <w:sz w:val="20"/>
            <w:u w:val="single"/>
            <w:shd w:val="clear" w:color="auto" w:fill="FFFFFF"/>
            <w:lang w:val="en-US" w:eastAsia="en-US" w:bidi="ar-SA"/>
          </w:rPr>
          <w:t>[1994] 1 S.C.R. 114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Toneguzzo-Norvell, McLachlin J. (as she then was) endorsed the view that such awards should be modest and reflect the amount of lifetime earnings that a child would have saved for his estate. At [paragraph] 30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logic of making a deduction for personal living expenses on the lost years in the case of a child is also supported by the argument that since Jessica's care is fully provided for under another head of the award, the award for lost earning capacity will serve but one purpose: to enrich her heirs. It will do little to improve her life. As Cooper-Stephenson and Saunders persuasively argue in Personal Injury Damages in Canada (1981), at p. 244, the amount by which heirs can ordinarily expect to be enriched by a victim's putative earnings is small indeed: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award of damages to a very young child for prospective loss of earnings during the lost years should reflect only that portion of the entire lifetime earnings which the court estimates would have been saved by the child for his estate, at the end of his pre-accident life expectancy. It may result in a very small award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In Brimacombe v. Matthews, </w:t>
      </w:r>
      <w:hyperlink r:id="rId407" w:history="1">
        <w:r>
          <w:rPr>
            <w:rFonts w:ascii="arial" w:eastAsia="arial" w:hAnsi="arial" w:cs="arial"/>
            <w:i/>
            <w:color w:val="0077CC"/>
            <w:sz w:val="20"/>
            <w:u w:val="single"/>
            <w:shd w:val="clear" w:color="auto" w:fill="FFFFFF"/>
            <w:lang w:val="en-US" w:eastAsia="en-US" w:bidi="ar-SA"/>
          </w:rPr>
          <w:t>[1999] B.C.J. No. 90</w:t>
        </w:r>
      </w:hyperlink>
      <w:r>
        <w:rPr>
          <w:rFonts w:ascii="arial" w:eastAsia="arial" w:hAnsi="arial" w:cs="arial"/>
          <w:color w:val="000000"/>
          <w:sz w:val="20"/>
          <w:lang w:val="en-US" w:eastAsia="en-US" w:bidi="ar-SA"/>
        </w:rPr>
        <w:t xml:space="preserve"> (S.C.), at [paragraph] 52, Hutchinson J. dealt with the lost years deduction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average for the lost years, based on a life expectancy of 30 years, is set at $377,125.00 in Exhibit 20. From this I would again take a 20% contingency and round the figure to $300,000.00. What portion of this could it be said would be saved and what would be consumed by personal expenses? I would estimate that a one-third two-thirds division would be appropriate, and award the sum of $100,000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Guerineau, Boyd J. applied a deduction of 50 per cent for the lost years, representing the proportion of the plaintiff's income that would have been spent on personal expenses had he been capable of working during those years. She rejected a defence submission that the plaintiff should be awarded only that proportion of income which would have been saved in the lost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Subsequent to the decision in Guerineau, the Court of Appeal upheld Hutchinson J.'s damage award in Brimacombe at </w:t>
      </w:r>
      <w:hyperlink r:id="rId408" w:history="1">
        <w:r>
          <w:rPr>
            <w:rFonts w:ascii="arial" w:eastAsia="arial" w:hAnsi="arial" w:cs="arial"/>
            <w:i/>
            <w:color w:val="0077CC"/>
            <w:sz w:val="20"/>
            <w:u w:val="single"/>
            <w:shd w:val="clear" w:color="auto" w:fill="FFFFFF"/>
            <w:lang w:val="en-US" w:eastAsia="en-US" w:bidi="ar-SA"/>
          </w:rPr>
          <w:t>(2001) 87 B.C.L.R. (3d) 75</w:t>
        </w:r>
      </w:hyperlink>
      <w:r>
        <w:rPr>
          <w:rFonts w:ascii="arial" w:eastAsia="arial" w:hAnsi="arial" w:cs="arial"/>
          <w:color w:val="000000"/>
          <w:sz w:val="20"/>
          <w:lang w:val="en-US" w:eastAsia="en-US" w:bidi="ar-SA"/>
        </w:rPr>
        <w:t xml:space="preserve"> (C.A.), leave to appeal dismissed </w:t>
      </w:r>
      <w:hyperlink r:id="rId409" w:history="1">
        <w:r>
          <w:rPr>
            <w:rFonts w:ascii="arial" w:eastAsia="arial" w:hAnsi="arial" w:cs="arial"/>
            <w:i/>
            <w:color w:val="0077CC"/>
            <w:sz w:val="20"/>
            <w:u w:val="single"/>
            <w:shd w:val="clear" w:color="auto" w:fill="FFFFFF"/>
            <w:lang w:val="en-US" w:eastAsia="en-US" w:bidi="ar-SA"/>
          </w:rPr>
          <w:t>[2001] S.C.C.A. No. 325</w:t>
        </w:r>
      </w:hyperlink>
      <w:r>
        <w:rPr>
          <w:rFonts w:ascii="arial" w:eastAsia="arial" w:hAnsi="arial" w:cs="arial"/>
          <w:color w:val="000000"/>
          <w:sz w:val="20"/>
          <w:lang w:val="en-US" w:eastAsia="en-US" w:bidi="ar-SA"/>
        </w:rPr>
        <w:t>. Hall J.A., speaking for the Court on the damages issue, discussed the lost years deduction at [paragraph] 247 and 248: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Concerning the award made for income loss during the lost years, I confess that I find this sort of award to be somewhat anomalous in that it appears to be an award to build up an estate, a type of award that one would think more consonant with the principles usually applied in wrongful death cases. However, unless and until it is abolished either by statute or by a decision of the Supreme Court of Canada, this head of damages is available in circumstances like the case at bar. Trial judges will be required to deal with the "lost years" earnings issue in individual cases based on the state of the evidence before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seems to be a lack of unanimity in the authorities as to whether the "savings" approach or the "personal living expenses" approach is to be preferred when making awards in individual cases. There was conflicting expert evidence before the trial judge about the appropriate amount to be awarded to this plaintiff under this head of damages. As the respondent points out, the trial judge took account of significant contingencies and deductions in arriving at his assessment of the notional loss in this case. It seems to me that courts should be conservative in making an award under this head of damages because of the great number of variables and contingencies that enter into any assessment of earnings so far into the future, often as here, with a plaintiff who has not and in all probability will not have a proven work history. In my view, the award made here, while perhaps more than I might have thought appropriate if I had been the trial judge, was within a range open to the trial judge. Although, I recognize the force of the appellant's argument on this issue, bearing in mind the limits of appellate review, I am not of the view that this court should make any alteration of this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The plaintiffs support the "personal living expense" approach and submit that a 50 per cent deduction is appropriate. The defendants support the "savings" approach and submit that a 75 per cent deduction is appropriate. Both filed reports in support of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view of the comments of McLachlin J. in Toneguzzo-Norvell and Hall J.A. in Brimacombe, I accept the defendants' position that a 75 per cent deduction is appropriate. Table I of Mr. Hildebrand's report, based on a life expectancy of 20 additional years, calculates a loss of future earning capacity of $343,283. As the award must be assessed, not calculated, I assess loss of future earning capacity at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Cost of Future Care</w:t>
      </w:r>
      <w:r>
        <w:rPr>
          <w:rFonts w:ascii="arial" w:eastAsia="arial" w:hAnsi="arial" w:cs="arial"/>
          <w:sz w:val="20"/>
          <w:lang w:val="en-US" w:eastAsia="en-US" w:bidi="ar-SA"/>
        </w:rPr>
        <w:cr/>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purpose of an award for the cost of future care is to create a fund which will be used to sustain or improve the mental and physical health of the injured plaintiff and to put the plaintiff, to the greatest extent possible, in the position he would have been in if he had not been injured. The award must be moderate and fair to both parties and must not be determined on the basis of sympathy or compassion for the plight of the injured person: Andrews, at p. 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In Krangle (Guardian ad litem of) v. Brisco, </w:t>
      </w:r>
      <w:hyperlink r:id="rId41"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the Supreme Court of Canada reviewed the philosophical underpinnings of an award for future costs. McLachlin C.J.C., for the Court, stated at [paragraph] 21-22: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There must be a medical justification for claims for cost of future care: Milina v. Bartsch </w:t>
      </w:r>
      <w:hyperlink r:id="rId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aff'd </w:t>
      </w:r>
      <w:hyperlink r:id="rId41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The expense should not be a squandering of money. In considering any particular item of future care, the test is whether a reasonably minded person of ample means would incur the expense: Brennan v. Singh, </w:t>
      </w:r>
      <w:hyperlink r:id="rId411"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plaintiffs rely on the specific care recommendations of Janice Landy, an expert in the areas of rehabilitation and cost of care, supplemented by the recommendations of Dr. Douglas Lee (a psychologist), Moray McLean (an occupational therapist), and Wendy Duke (a speech language pathologist). Ms. Landy's recommendations are specifically endorsed by Dr. Hahn.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The defendants rely on the evidence of Linda Mageau who, like Ms. Landy, was qualified as an expert in the area of cost of care and the evidence of Dr. Michael Joschko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defendants do not challenge Benjamin's need for care. The major disputes concern the cost and extent of required care.</w:t>
      </w:r>
      <w:r>
        <w:rPr>
          <w:rFonts w:ascii="arial" w:eastAsia="arial" w:hAnsi="arial" w:cs="arial"/>
          <w:sz w:val="20"/>
          <w:lang w:val="en-US" w:eastAsia="en-US" w:bidi="ar-SA"/>
        </w:rPr>
        <w:cr/>
      </w: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The Fullertons have been receiving medical equipment, supplies, and respite care from the Ministry for Children and Families through the At Home program. Ms. Mageau testified that absent a duplicative award, the At Home program will continue to fund such items. The defendants submit that where benefits are available through public programs, the award for cost of future care should be reduced to account for receipt of such benefits and to prevent over-compensation.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Krangle, the Supreme Court of Canada recognized that Canadian society shares the responsibility of caring for disabled people. At [paragraph] 40, McLachlin C.J.C.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the policy of the Province of British Columbia to provide care for disabled adults. This policy is expressly stated in the BC Benefits (Income Assistance) Act, which confirms in the preamble that "British Columbians are committed to preserving a social safety net that is responsive to changing social and economic circumstances". When a disabled person becomes an adult, the burden of his or her care shifts from the parents to society as a whole, and it is accepted as fair and just that the continued burden of care of disabled adults should be spread over society generally. At one time, it may well have been the moral responsibility of parents to care for a disabled child for as long as they lived. But for some decades now, that moral responsibility has shifted to British Columbia society as a whole, as expressed by legislation enacted and preserved by successive governments. No evidence was presented for the proposition that it is shameful or wrong for parents to accept the benefits provided by the government which allow adult disabled children to be cared for under the social security network of the state. Great as social and medical progress may be, disability will inevitably strike some members of society, randomly and irrationally. It is not immoral for a society to say that when this happens, the burden will not be confined to the individual and his family, but will be shared by society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In Krangle, the Court also recognized that defendants are entitled to rely on the presence of the social safety net in the assessment of damages. The plaintiff is only entitled to be reimbursed for those costs that he or she may personally incur. McLachlin C.J.C. stated at [paragraph]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question is what, on the evidence, is required to put the Krangles in the position they would have been in had it not been for Dr. Morrill's tort, in so far as the law can do so. Applied to the issue of damages for Mervyn's adult care, the question is what is required to indemnify the Krangles for any costs they may incur for that adult care? The Krangles are entitled to be reimbursed for losses they may reasonably be expected to incur on the basis of the evidence and the law, plus an award for the contingency that the projections may not be realized.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The defendants also rely on Boren v. Vancouver Resource Society for the Physically Disabled </w:t>
      </w:r>
      <w:hyperlink r:id="rId412" w:history="1">
        <w:r>
          <w:rPr>
            <w:rFonts w:ascii="arial" w:eastAsia="arial" w:hAnsi="arial" w:cs="arial"/>
            <w:i/>
            <w:color w:val="0077CC"/>
            <w:sz w:val="20"/>
            <w:u w:val="single"/>
            <w:shd w:val="clear" w:color="auto" w:fill="FFFFFF"/>
            <w:lang w:val="en-US" w:eastAsia="en-US" w:bidi="ar-SA"/>
          </w:rPr>
          <w:t>(2003), 184 B.C.A.C. 210</w:t>
        </w:r>
      </w:hyperlink>
      <w:r>
        <w:rPr>
          <w:rFonts w:ascii="arial" w:eastAsia="arial" w:hAnsi="arial" w:cs="arial"/>
          <w:color w:val="000000"/>
          <w:sz w:val="20"/>
          <w:lang w:val="en-US" w:eastAsia="en-US" w:bidi="ar-SA"/>
        </w:rPr>
        <w:t>. In Boren, the plaintiff was a quadriplegic who had sustained further injury and disability as a result of an accident which was the subject of the action. Prior to the accident, he had been receiving public funding for his housing and care needs and it was expected that, notwithstanding his award, he would continue to receive such benefits. The Court noted that the existence of public funding dictated that there would be no loss at all for future care to the extent that public funding was complete and covered the plaintiff's reasonable needs. The Court held that the cost of future care enquiry should be focused on firstly what was the risk that public funds would not be provided and, secondly, whether an amount should be awarded to provide for a higher standard of care than that which would be covered by public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plaintiffs submit that the onus is on the defendants to prove that the cost of care needs will be met through public funding. They point to evidence which suggests that the At Home program may have a discretion to eliminate or reduce funding for the Fullertons if they receive an award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The plaintiffs also submit that the At Home funding only provides equipment and therapy at a basic level, which is significantly less than that required by Benjamin. They point to the evidence of several witnesses of cuts in services that have taken place over the last several years and submit that there is no guarantee that any government programs will remain in force. They rely on Strachan (Guardian ad litem of) v. Reynolds, </w:t>
      </w:r>
      <w:hyperlink r:id="rId413" w:history="1">
        <w:r>
          <w:rPr>
            <w:rFonts w:ascii="arial" w:eastAsia="arial" w:hAnsi="arial" w:cs="arial"/>
            <w:i/>
            <w:color w:val="0077CC"/>
            <w:sz w:val="20"/>
            <w:u w:val="single"/>
            <w:shd w:val="clear" w:color="auto" w:fill="FFFFFF"/>
            <w:lang w:val="en-US" w:eastAsia="en-US" w:bidi="ar-SA"/>
          </w:rPr>
          <w:t>[2004] B.C.J. No. 1418</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2004 BCSC 915</w:t>
        </w:r>
      </w:hyperlink>
      <w:r>
        <w:rPr>
          <w:rFonts w:ascii="arial" w:eastAsia="arial" w:hAnsi="arial" w:cs="arial"/>
          <w:color w:val="000000"/>
          <w:sz w:val="20"/>
          <w:lang w:val="en-US" w:eastAsia="en-US" w:bidi="ar-SA"/>
        </w:rPr>
        <w:t>, where Hood J. refused to take government funding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Ms. Mageau testified that to the extent the court did not make an award for items, the government, based on its own eligibility guidelines, would have no reason not to continue to fund such items. In Krangle, the Supreme Court of Canada held that the award for damages should account for the benefits of services provided through the social safety net, with an appropriate contingency allowance for the possibility of such programs changing or 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In Jones (Guardian ad litem of) v. Rostvig </w:t>
      </w:r>
      <w:hyperlink r:id="rId414" w:history="1">
        <w:r>
          <w:rPr>
            <w:rFonts w:ascii="arial" w:eastAsia="arial" w:hAnsi="arial" w:cs="arial"/>
            <w:i/>
            <w:color w:val="0077CC"/>
            <w:sz w:val="20"/>
            <w:u w:val="single"/>
            <w:shd w:val="clear" w:color="auto" w:fill="FFFFFF"/>
            <w:lang w:val="en-US" w:eastAsia="en-US" w:bidi="ar-SA"/>
          </w:rPr>
          <w:t>(2003), 17 C.C.L.T. (3d) 253</w:t>
        </w:r>
      </w:hyperlink>
      <w:r>
        <w:rPr>
          <w:rFonts w:ascii="arial" w:eastAsia="arial" w:hAnsi="arial" w:cs="arial"/>
          <w:color w:val="000000"/>
          <w:sz w:val="20"/>
          <w:lang w:val="en-US" w:eastAsia="en-US" w:bidi="ar-SA"/>
        </w:rPr>
        <w:t xml:space="preserve"> (B.C.S.C.), Humphries J. was faced with similar submissions. She made her award with respect to the cost of various therapies on the basis that they were necessary to provide a level of reasonable care and did not duplicate therapies provided through the At Home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 intend to follow the course charted by Humphries J. The defendants do not have to pay for services the government makes available to the plaintiffs, as they are not costs the plaintiffs must bear. This award is not intended to duplicate or replace existing government programs or support. The amounts awarded are in addition to the amounts the plaintiffs are entitled to receive from government programs. At the end of this section, I will make a contingency allowance for the possibility that government programs may not continue to be available in the future.</w:t>
      </w:r>
      <w:r>
        <w:rPr>
          <w:rFonts w:ascii="arial" w:eastAsia="arial" w:hAnsi="arial" w:cs="arial"/>
          <w:sz w:val="20"/>
          <w:lang w:val="en-US" w:eastAsia="en-US" w:bidi="ar-SA"/>
        </w:rPr>
        <w:cr/>
      </w:r>
    </w:p>
    <w:p>
      <w:pPr>
        <w:numPr>
          <w:numId w:val="3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Attendant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There is no dispute that Benjamin will be completely dependent on caregivers throughout his life. Caregivers will always have to be present to deal with his physical needs, including feeding, dressing, toileting, and grooming. He is at risk for aspiration and his caregivers will have to be able to recognize and deal with signs of this problem occurring. His caregivers will have to be trained to feed Benjamin both through a tube and orally.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In addition to his physical needs, Benjamin is also dependent on others to provide stimulation for his cognitive and emotional development. His caregivers must help manage his technologies, including the computerized system he uses to communicate. The caregivers will have to be familiar with Benjamin's communication methods to facilitate communication with others and to see that he has appropriate intellectual stimulation. This will not only involve learning the meaning of his various vocalizations and eye movements, but will also involve familiarity with whatever augmentative communication technology is in use. As Benjamin's communication needs become more complex, so will the caregivers'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To date, Mrs. Fullerton has provided most of Benjamin's care, with respite support provided through the At Home program of the Ministry for Children and Families. Mrs. Fullerton's mother has also assisted in Benjamin's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Neither Benjamin's parents nor Mrs. Fullerton's mother had any experience or specialized training in caring for children with cerebral palsy who were tube-fed and could not speak. Mr. and Mrs. Fullerton and Mrs. Fullerton's mother have learned how to be effective caregivers for Benjamin. Mrs. Fullerton has from time to time hired attendant caregivers for Benjamin at the rate of $15 per hour and, more recently, at $20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Ms. Mageau and Ms. Landy do not disagree significantly as to the amount of attendant care that Benjamin will require as a child. From now until Benjamin turns 19, Ms. Landy recommends that Benjamin receive funding for 40 hours of attendant care per week during the school year and 60 hours per week during the summer months. Ms. Mageau recommends that Benjamin receive funding for 50 hours per week, based on 40 hours per week for one full-time caregiver plus 10 hours per week to relieve the caregiver. Ms. Mageau also recommends funding for an additional 180 hours per year to cover an annual four-week holiday for the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When Benjamin reaches age 19, Ms. Landy recommends that Benjamin be provided with funding for 12 hours of attendant care per day. Ms. Mageau notes that Benjamin will be entitled to government-funded home nursing visits, case management, physiotherapy and occupational therapy, and recommends funding for 50 hours of attendant care per week, with an additional 180 hours per year to account for the caregiver's holiday.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What is at issue between the experts is the appropriate source and cost of the attendant care. Ms. Landy recommends agency care, through either Bayshore Health Care, at $40 per hour, or Arcus Community Resources, at $28.38 per hour. Ms. Mageau recommends the Fullertons hire either a live-in nanny/caregiver at a cost of $1,800 a month with additional support, at $15 per hour, at a total annual cost of approximately $34,500; or alternatively that they hire daily assistance at $15 per hour or $100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The defendants submit that the Fullertons' experience to date in securing effective care for Benjamin should guide the assessment of the award necessary to provide good care in the future. They submit that the amount Mrs. Fullerton has paid in the past for Benjamin's attendant care indicates what should be paid in the future for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Ms. Landy bases her recommendations on the cost of obtaining trained workers from a reputable care agency. The advantages of such an agency include the availability of replacement staff in the event of a caregiver's absence due to illness or vacation, as well as the fact that the agency takes full responsibility for the screening, hiring and supervision of workers. Without an agency, these duties become the responsibility of Benjamin's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The use of agencies for the purpose of providing care in these circumstances was approved in Guerineau. In that case, the plaintiff, while similar to Benjamin in his physical disabilities, did not have Benjamin's cognitive abilities. The plaintiffs submit that the need for trained workers from a specialized agency who can deal with Benjamin's complex communication needs is even stronger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Guerineau, Boyd J. stated at [paragraph] 148 and 149: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end result, in the case of this family, I find that it is both medically necessary and appropriate that the Guerineaus have at their disposal the full gamut of support provided by either a licensed practical nurse or a home care worker hired and trained as necessary by a private agency such as Paramed at a cost of $28.25 per hour. In my view it is unreasonable to expect that this family will undertake the difficult task of recruiting, screening, hiring, training and supervising staff as well as coping with the stress of finding replacement staff at those times when staff are ill or otherwise unable to attend.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family has been overwhelmed by the burden of caring for Jesse. While family members have indeed undertaken that task to this point, the role has become increasingly complex. Ms. Olic, who has no special training, admitted she no longer feels competent to address Jessie's complex needs. All of these stresses can be addressed and coped with within the structure of a specialized agency. In my view Paramed will best meet the Guerineaus' needs in a professional and consistent manner, with the least stress to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In my view, similar considerations apply in the case at bar. Although to date the Fullertons have managed all aspects of Benjamin's care, it is not reasonable to expect that they will continue to be able to do so in the future. They now have to concern themselves not only with Benjamin, but also with their new daughter. I am satisfied that the family is entitled to delegate the task of selecting and training caregivers to an agency, and to rely on the agency to provide the necessary and appropriate personnel. I find that a reasonably minded person of ample means would incur this expense and that financing attendant care in this fashion does not amount to a squandering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Accordingly, I accept Ms. Landy's recommendation to hire Arcus Community Resources at $28.38 per hour which translates to an annual cost of $65,841.60. This provision for attendant care is in addition to any respite care provided by the At Home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do not, however, believe that an agency will continue to be required after the age of 19. As an adult, Benjamin will benefit from various government programs. He will likely want to take greater control of his life and contract directly with a few individuals to provide his caregiving. Based on Ms. Mageau's recommendations, I find that $35,000 per year would be an appropriate amount to fund caregivers after Benjamin's 19th birthday.</w:t>
      </w:r>
      <w:r>
        <w:rPr>
          <w:rFonts w:ascii="arial" w:eastAsia="arial" w:hAnsi="arial" w:cs="arial"/>
          <w:sz w:val="20"/>
          <w:lang w:val="en-US" w:eastAsia="en-US" w:bidi="ar-SA"/>
        </w:rPr>
        <w:cr/>
      </w:r>
    </w:p>
    <w:p>
      <w:pPr>
        <w:numPr>
          <w:numId w:val="3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Housing</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Childhood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Fullertons presently reside in a townhouse. It is in many ways not suitable for their present circumstances. Part of the house is not accessible to Benjamin because of stairs. Even in those parts which he can access, he is required to manoeuvre his wheelchair in tight spaces and around sharp corners. There is not enough room to store his special equipment. There is also no room for a live-in caregiver or caregivers.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plaintiffs claim either the costs of constructing a new detached home suitable for Benjamin during his adulthood or the costs of altering an existing home. The plaintiffs' construction expert, Mr. Stregger, testified that the cost of building a brand new detached home for the Fullerton family, with modifications to make it suitable for Benjamin, would be approximately $274,000. That figure is broken down as follows: approximately $187,000 to construct a house with the necessary modifications and increased size to accommodate Benjamin's needs; plus $87,000 to reflect the increased cost of obtaining a larger lot than required for a typical home on which to build the house. He suggested the cost to renovate an existing home would be $355,000.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Mr. Stregger testified that he had prepared between 30 and 40 similar reports in other actions. In considering the weight to be given to his evidence, I find it significant that on only one occasion has a party constructed a home of the kind he recommends.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defendants submit that they are liable only for the increase in accommodation costs necessitated by Benjamin's injuries. They submit that everyone needs living accommodations, disabled or not, and in the present case all the tortfeasor must pay is the differential cost attributable to Benjamin's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The tortfeasor is not required to buy the plaintiffs a capital asset: Scarff v. Wilson </w:t>
      </w:r>
      <w:hyperlink r:id="rId415" w:history="1">
        <w:r>
          <w:rPr>
            <w:rFonts w:ascii="arial" w:eastAsia="arial" w:hAnsi="arial" w:cs="arial"/>
            <w:i/>
            <w:color w:val="0077CC"/>
            <w:sz w:val="20"/>
            <w:u w:val="single"/>
            <w:shd w:val="clear" w:color="auto" w:fill="FFFFFF"/>
            <w:lang w:val="en-US" w:eastAsia="en-US" w:bidi="ar-SA"/>
          </w:rPr>
          <w:t>(1986), 10 B.C.L.R. (2d) 273</w:t>
        </w:r>
      </w:hyperlink>
      <w:r>
        <w:rPr>
          <w:rFonts w:ascii="arial" w:eastAsia="arial" w:hAnsi="arial" w:cs="arial"/>
          <w:color w:val="000000"/>
          <w:sz w:val="20"/>
          <w:lang w:val="en-US" w:eastAsia="en-US" w:bidi="ar-SA"/>
        </w:rPr>
        <w:t xml:space="preserve"> (S.C.) aff'd </w:t>
      </w:r>
      <w:hyperlink r:id="rId416" w:history="1">
        <w:r>
          <w:rPr>
            <w:rFonts w:ascii="arial" w:eastAsia="arial" w:hAnsi="arial" w:cs="arial"/>
            <w:i/>
            <w:color w:val="0077CC"/>
            <w:sz w:val="20"/>
            <w:u w:val="single"/>
            <w:shd w:val="clear" w:color="auto" w:fill="FFFFFF"/>
            <w:lang w:val="en-US" w:eastAsia="en-US" w:bidi="ar-SA"/>
          </w:rPr>
          <w:t>(1998), 33 B.C.L.R. (2d) 290</w:t>
        </w:r>
      </w:hyperlink>
      <w:r>
        <w:rPr>
          <w:rFonts w:ascii="arial" w:eastAsia="arial" w:hAnsi="arial" w:cs="arial"/>
          <w:color w:val="000000"/>
          <w:sz w:val="20"/>
          <w:lang w:val="en-US" w:eastAsia="en-US" w:bidi="ar-SA"/>
        </w:rPr>
        <w:t xml:space="preserve"> (C.A.). The defendants submit that Mr. Stregger's recommendations do not take into account that when Benjamin is ready to leave the family home and move to his adult accommodation, he will have been enriched by virtue of having had a larger family house on a larger lot than would have been the case had he not been injured. I agree that Benjamin is not entitled to an award based on the cost of a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 am satisfied that Mr. Stregger's estimates for costs of construction and renovation are higher than would be incurred by a reasonably minded person of ample means. A typical builder-type residence is 2,027 sq. ft. Mr. Stregger recommends a home of 2,581 sq. ft. The differential cost of construction of a new home at $95/sq. ft. is $52,630. Applying the same type of formula, the additional cost for the suggested renovated home would be $77,750. Some of the additional costs recommended by Mr. Stregger, such as those for non-skid flooring, fire alarms, air conditioning, therapeutic tub, additional ventilation and electrical outlets, and a wheelchair washing facility, are either not justified or would be built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If the Fullertons choose to purchase and renovate an existing home, the cost of renovations will depend on the homes available for purchase. Mr. Stregger made no attempt to survey the market or determine whether there were homes available that were already wheelchair accessible.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Benjamin is entitled to live in premises which accommodate his needs. The differential costs that will be incurred will depend on the alterations that are needed in the specific home that the Fullertons select. A reasonable minded person of ample means would look for the most practical house to convert. Until a home is selected, it is not possible to determine with precision the costs that might be involved. Taking into account all of the above considerations, I award $100,000 in respect to Benjamin's additional housing needs associated with his disability until he reaches age 19.</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Adult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The plaintiffs led evidence from Mr. Stregger that appropriate modifications to a separate home for Benjamin as an adult would cost $200,924. This amount would have to be discounted to account for the fact that a separate home will not be needed until Benjamin is at least 19. The appropriate discount factor produces a figure of approximately $97,500.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The defendants submit that although the Fullertons testified that they would like Benjamin to have as normal a life as possible, to develop friends on his own, and to be as independent as possible, the likely reality, given the nature of Benjamin's physical disabilities, the devotion of his parents to attend to those needs and his reduced life expectancy, is that Benjamin will continue to live with his family for the duration of his life. Alternatively, the defendants submit that absent his injury, it is unlikely in the extreme that Benjamin would have been in a position to purchase a home at age 19. Rather, he would most likely have rented an apartment throughout his 20s. The defendants submit that their responsibility is limited to the differential cost arising from Benjamin's disability, namely the extra cost of renting a large two-bedroom apartment instead of a smaller one-bedroom apartment.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agree with the defendants that it is most unlikely that Benjamin, in his 20s and absent injury, would have purchased a house. I also expect that it is more likely than not that Benjamin will continue to live with his parents. This is particularly so given his limited life expectancy. However, to account for the possibility that Benjamin may move out of the family home, I award $25,000 for Benjamin's housing costs after age 19.</w:t>
      </w:r>
      <w:r>
        <w:rPr>
          <w:rFonts w:ascii="arial" w:eastAsia="arial" w:hAnsi="arial" w:cs="arial"/>
          <w:sz w:val="20"/>
          <w:lang w:val="en-US" w:eastAsia="en-US" w:bidi="ar-SA"/>
        </w:rPr>
        <w:cr/>
      </w:r>
    </w:p>
    <w:p>
      <w:pPr>
        <w:numPr>
          <w:numId w:val="3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of Daily Living/Mobility/Positioning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All activity and daily living requirements have been and will continue to be provided to Benjamin by the government, without cost to the family, through to age 19. As previously discussed under the heading "Government Programs," the defendants are entitled to the benefit of that funding in the assessment of future care costs. I make no award for the cost of services or equipment to age 19. Subsequent to age 19 and to the end of his life expectancy, Benjamin is entitled to recover for the various costs and expenditures as set out in Ms. Landy's and Ms. McLean's reports, except for the costs of the special mattress and the "comfy" chair.</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Ms. Landy recommends funding for a wheelchair-accessible van to provide Benjamin with a reliable mode of transportation. She notes that the cost of a 2004 Dodge Caravan is $34,000, plus GST and PST. Adaptations would include a lifting device, interior modification, and a wheelchair tie-down locking system. Ms. Landy quotes the costs of adaptation as being between $17,000 and $20,000. She recommends an award in the range of $51,000 to $54,000 to allow the Fullertons to immediately purchase a van following the conclusion of the litigation. In her view, replacement of the van will be necessary every 8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Ms. Landy's recommendation does not discount the base cost of a vehicle, which the family would likely have had in any event. I agree with the defendants that the award should be limited to the cost of modifications to a normal family vehicle. Accordingly, I award funding for vehicle adaptation in the amount of $18,500, with replacement every eight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Both Ms. Landy and Ms. Mageau recommend a cellular telephone for the purpose of summoning assistance in the event of a roadside emergency. I award $200 annually towards the cost of a cellular phone.</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Therapies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Benjamin currently receives physiotherapy ("PT"), occupational therapy ("OT"), and speech and language therapy ("SLT") through multiple sources, including the Sunny Hill Health Care Centre for Children, the public school system and the At Home program. All of these therapies are government funded and, at least until Benjamin turns 19, the provision of therapy is based on need, rather than a pre-determined allotment or financial eligibility. In addition to the therapies provided through the school system, Benjamin is eligible through the At Home program to receive up to 48 hours per year of each kind of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experts agree that Benjamin requires additional PT, OT and SLT over and above that which is currently being provided at no cost to the Fullertons. The issues in dispute are how much more therapy is reasonably necessary, bearing in mind that there are a limited number of hours in the day for Benjamin to receive direct therapy and benefit from it and the cost of that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I agree generally with the defendants' submission that the plaintiffs' experts recommendations for therapy is excessive. Benjamin has limited concentration and stamina. As noted by Dr. Joschko, children such as Benjamin fatigue very easily and find it very taxing to see one therapist after another in a rotating series of appointments. Benjamin needs time to simply be a child. He cannot spend all of his time in therapy. Although he will benefit from therapy, the amount of therapy must be reasonable.</w:t>
      </w:r>
      <w:r>
        <w:rPr>
          <w:rFonts w:ascii="arial" w:eastAsia="arial" w:hAnsi="arial" w:cs="arial"/>
          <w:sz w:val="20"/>
          <w:lang w:val="en-US" w:eastAsia="en-US" w:bidi="ar-SA"/>
        </w:rPr>
        <w:cr/>
      </w:r>
    </w:p>
    <w:p>
      <w:pPr>
        <w:numPr>
          <w:numId w:val="4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Ms. Mageau recommends an additional 24 hours of OT per year until Benjamin is age 11, then an additional 12 hours a year until he reaches age 25. The plaintiffs submit that Ms. Mageau's recommendations are not anywhere close to adequate. Ms. McLean suggests that to age 12, up to 16 hours of additional OT per month is appropriate. Between ages 13 and 19, she recommends 12 hours additional OT of per month and 6 hours additional OT per month when Benjamin is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Ms. Mageau says the At Home program pays $60 per hour for OT. She acknowledges that the rate charged for OT ranges from $60-$100 per hour. Ms. McLean suggests a rate of $85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find that the recommendations of Ms. McLean are excessive. There is no medical justification for the extensive amount of therapy that she recommends. Her recommendations do not take into account the OT already available through the At Home program. I conclude that a reasonable level of additional OT is 40 hours per year until age 12, and 25 hours per year thereafter, all at the rate of $80 per hour. This therapy is over and above what Benjamin is entitled to and will receive through the existing programs.</w:t>
      </w:r>
      <w:r>
        <w:rPr>
          <w:rFonts w:ascii="arial" w:eastAsia="arial" w:hAnsi="arial" w:cs="arial"/>
          <w:sz w:val="20"/>
          <w:lang w:val="en-US" w:eastAsia="en-US" w:bidi="ar-SA"/>
        </w:rPr>
        <w:cr/>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Benjamin presently receives one session per week of PT which is funded by the At Home program. His PT needs are fairly straightforward, including the brief daily stretching of his limbs, performed primarily by Mrs. Fullerton.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Ms. Mageau recommends 12 additional hours of PT per year until age 19, with four hours per year thereafter. These sessions would be in addition to the PT he is entitled to through the At Home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Ms. McLean again suggests that a greater amount of additional PT is required. She suggests up to 12 hours per month until age 12, 8 hours per month from age 13 to 19, and then 6 hours per month thereafter. Ms. McLean agreed on cross-examination that her recommendations did not take into account the PT that Benjamin receives while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As is the case with OT, Ms. Mageau says the At Home program pays $60 for PT, but acknowledges that the rate charged for PT ranges from $60-100 per hour. Ms. McLean suggests a rate of $85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Ms. McLean's significant recommendations cannot be supported on the evidence as medically necessary. I award funding for 30 hours of additional PT per year to age 19 and 15 hours a year thereafter, all at the rate of $80 per hour.</w:t>
      </w:r>
      <w:r>
        <w:rPr>
          <w:rFonts w:ascii="arial" w:eastAsia="arial" w:hAnsi="arial" w:cs="arial"/>
          <w:sz w:val="20"/>
          <w:lang w:val="en-US" w:eastAsia="en-US" w:bidi="ar-SA"/>
        </w:rPr>
        <w:cr/>
      </w:r>
    </w:p>
    <w:p>
      <w:pPr>
        <w:numPr>
          <w:numId w:val="4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Speech and Language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 development of Benjamin's communication skills is a matter of the highest priority. Probably no other single intervention will have a greater effect on the quality of his life and safety. Without communication treatment, Benjamin's mind will be locked in his body. He needs tools and techniques to express himself. Benjamin has to develop language skills in other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Ms. Duke testified that with appropriate guidance and treatment Benjamin will have acquired language tools such as grammar and vocabulary by the time he reaches high school. The initial task of the speech and language therapist will be mostly done. More emphasis will then have to be placed on written academic output, processing more complex information, and social and peer interaction.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As an adult, Benjamin will require less SLT. His language acquisition will be finished and the therapist's emphasis will be on improving social language, maintaining contact, problem-solving, training caregivers and others, and researching for Benjamin.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Ms. Duke suggests that up to the end of his Grade Seven year Benjamin will require an average of 6 hours per week of a speech and language pathologist's time, which will be used for direct training (two to three sessions a week) as well as indirect training (such as planning and preparation of materials for sessions, training family and caregivers, liaison with rehabilitation and educational teams, customization of equipment, equipment research, assessment, review of documents, reporting and miscellaneous other activities that might arise). At a rate of $100 per hour, the recommended cost to the end of Grade 7 would total $28,380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Commencing with Grade 8 and continuing until Benjamin leaves the school system, Ms. Duke suggests that 4 hours per week of direct and indirect training will be required, at a cost of $18,920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In adulthood, Ms. Duke suggests that Benjamin will require between 5 - 10% of the amount of services from a speech and language pathologist that would be necessary during high school and estimates the cost at somewhere between $946 and $1,892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In addition, Ms. Duke recommends the purchase of certain equipment to assist in the development of Benjamin's communication skills, including: a Dynavox system at a cost of $9,470; two iMac computers, each complete with printer and scanner, for use at home and school at a cost of $4,127.99; and an ongoing budget of $200 or $300 a month for miscellaneous equipment and expenses that might benefit Benjamin's SLT. The Dynavox system and the computers would each have to be replaced every three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The defendants, while acknowledging the importance of SLT to assist Benjamin with his communication, submit that Ms. Duke's proposal is excessive. They question whether an experienced speech therapist, paid at a rate sufficiently high to attract and maintain a good therapist, would need to spend such extensive time on indirect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They submit that Ms. Mageau's recommendations of 20 SLT sessions per year, at $60 per hour until age 16, followed by 10 SLT sessions a year thereafter, are more reasonable, noting that these sessions would be in addition to the school-based SLT that Benjamin currently receives and will continue to receive at no cost to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I accept that SLT is critically important to Benjamin's quality of life. His ability to function in the world will be in large measure determined by his ability to communicate. Teaching Benjamin to communicate will be an arduous and time-consuming task. Ms. Mageau is not a speech language pathologist. I find that her recommendations in this area are not sufficient to provide Benjamin with the assistance that he requires. I do not accept, however, that an experienced speech language pathologist will have to spend the amount of time suggested by Ms. Duke on indirect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 award $18,000 per year for SLT until age 12, $12,000 per year from age 12 to age 19, and $1,000 per year thereafter. It will be up to the Fullertons and the speech language pathologist to budget for Benjamin's SLT in a manner that maximizes the benefit to him. As with the other awards, these amounts are to provide for therapy in addition to that which Benjamin is presently receiving.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With regard to the recommended communication devices, I agree with Ms. Duke's recommendation that Benjamin have a Dynavox communication device as set out in her report, to be replaced every four years. I do not, however, accept her recommendation that the defendants be responsible for purchasing two computers, two printers and two scanners, one for use at home and the other at school. Benjamin would likely have had a computer at home absent his injury and he will be provided with appropriate communication equipment at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I award an additional $1,000 per year to cover miscellaneous equipment and expenses that will benefit Benjamin's SLT program.</w:t>
      </w:r>
      <w:r>
        <w:rPr>
          <w:rFonts w:ascii="arial" w:eastAsia="arial" w:hAnsi="arial" w:cs="arial"/>
          <w:sz w:val="20"/>
          <w:lang w:val="en-US" w:eastAsia="en-US" w:bidi="ar-SA"/>
        </w:rPr>
        <w:cr/>
      </w:r>
    </w:p>
    <w:p>
      <w:pPr>
        <w:numPr>
          <w:numId w:val="4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The Fullertons require the assistance of a case manager to assist in the coordination of Benjamin's various treatments. I accept Dr. Joschko's recommendation and would award $160 per month to cover the costs of a case manager.</w:t>
      </w:r>
      <w:r>
        <w:rPr>
          <w:rFonts w:ascii="arial" w:eastAsia="arial" w:hAnsi="arial" w:cs="arial"/>
          <w:sz w:val="20"/>
          <w:lang w:val="en-US" w:eastAsia="en-US" w:bidi="ar-SA"/>
        </w:rPr>
        <w:cr/>
      </w:r>
    </w:p>
    <w:p>
      <w:pPr>
        <w:numPr>
          <w:numId w:val="4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Educational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Ms. Landy recommends a special education assistant to support Benjamin in his educational program. The undisputed evidence is that an assistant has been and will be provided without cost by the school system and, moreover, that the school system will not permit privately-funded special education assistants in the classroom. I make no award for a special education assistant.</w:t>
      </w:r>
      <w:r>
        <w:rPr>
          <w:rFonts w:ascii="arial" w:eastAsia="arial" w:hAnsi="arial" w:cs="arial"/>
          <w:sz w:val="20"/>
          <w:lang w:val="en-US" w:eastAsia="en-US" w:bidi="ar-SA"/>
        </w:rPr>
        <w:cr/>
      </w:r>
    </w:p>
    <w:p>
      <w:pPr>
        <w:numPr>
          <w:numId w:val="5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Both Dr. Lee and Dr. Joschko agree that Benjamin is a normally-adjusted child who is not presently in need of psychological or psychiatric treatment or counselling. They agree that is reasonable to anticipate that Benjamin may require assistance at various times in the future as normal challenges associated with maturing and adulthood may be more difficult for him. Both recommend a contingency fund be set aside to provide psychological counselling on an as-needed basis for Benjamin while in school and as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addition to Dr. Joschko's recommendations, Ms. Mageau recommends that Benjamin be provided with six sessions of psychological counselling at $130 per session over the next three or four months, to assist him to sleep through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Dr. Joschko's recommendations for psychological counselling, coupled with Ms. Mageau's uncontradicted evidence as to the hourly rate for counselling and Benjamin's ongoing entitlement to counselling through his school years, yields a total of 12 hours of psychological counselling per year at an annual cost of $1,560 during Benjamin's school years. In addition to that sum, I would also establish a contingency fund of $15,000 for as-needed counselling.</w:t>
      </w:r>
      <w:r>
        <w:rPr>
          <w:rFonts w:ascii="arial" w:eastAsia="arial" w:hAnsi="arial" w:cs="arial"/>
          <w:sz w:val="20"/>
          <w:lang w:val="en-US" w:eastAsia="en-US" w:bidi="ar-SA"/>
        </w:rPr>
        <w:cr/>
      </w:r>
    </w:p>
    <w:p>
      <w:pPr>
        <w:numPr>
          <w:numId w:val="5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Benjamin will never be competitively employable. Ms. Landy recommends contingency funding in the amount of $10,000 to provide for the services of a vocational consultant to assist Benjamin in finding and developing employment options. These funds would be accessed on an as-needed basis over Benjamin's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 purpose of vocational assistance and assisted employment is to increase Benjamin's enjoyment of life and to help him feel better about himself. Any vocational assistance is not for the purpose of enabling Benjamin to become competitively employable, rather it is for his emotional well-being. As such, funding for vocational consultation must form part of the award for non-pecuniary damages. The plaintiffs are not entitled to an additional award under the cost of future care.</w:t>
      </w:r>
      <w:r>
        <w:rPr>
          <w:rFonts w:ascii="arial" w:eastAsia="arial" w:hAnsi="arial" w:cs="arial"/>
          <w:sz w:val="20"/>
          <w:lang w:val="en-US" w:eastAsia="en-US" w:bidi="ar-SA"/>
        </w:rPr>
        <w:cr/>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 accept Ms. Landy's and Ms. Mageau's recommended funding of $25 annually for membership in the Cerebral Palsy Association and of $54.95 a year for a subscription to The Exceptional Parent magazine.</w:t>
      </w:r>
      <w:r>
        <w:rPr>
          <w:rFonts w:ascii="arial" w:eastAsia="arial" w:hAnsi="arial" w:cs="arial"/>
          <w:sz w:val="20"/>
          <w:lang w:val="en-US" w:eastAsia="en-US" w:bidi="ar-SA"/>
        </w:rPr>
        <w:cr/>
      </w:r>
    </w:p>
    <w:p>
      <w:pPr>
        <w:numPr>
          <w:numId w:val="5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Krangle and Jones both established a 5 per cent contingency fund against the possibility that government programs might cease to be available. The defendants do not dispute that such an award should be given in this case. The contingency arises with respect to the awards dealing with Benjamin's costs for adult care, his activities of daily living and his various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In regard to adult care, I awarded Benjamin $35,000 per year, based on Ms. Mageau's recommendation. Ms. Landy had suggested an annual cost of $126,177.48. I award a contingency amount for Benjamin's adult care of 5 per cent of the difference between the two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With regard to the costs of daily living, the contingency will be calculated as 5 per cent of the costs and expenditures set out in Ms. Landy's and Ms. McLean's reports up to age 19, except for the cost of the special mattress and the "comfy"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In regard to therapies, the At Home program provides 144 hours of therapy per year at $60 per hour, a total cost of $8,640 per year. Benjamin will be entitled to a contingency fund of 5 per cent of that amount per year to age 19.</w:t>
      </w:r>
      <w:r>
        <w:rPr>
          <w:rFonts w:ascii="arial" w:eastAsia="arial" w:hAnsi="arial" w:cs="arial"/>
          <w:sz w:val="20"/>
          <w:lang w:val="en-US" w:eastAsia="en-US" w:bidi="ar-SA"/>
        </w:rPr>
        <w:cr/>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 will leave it to counsel to calculate the present values which result from my awards for future care. If they are unable to agree, or if there are any claims I have overlooked, counsel have liberty to make further submissions.</w:t>
      </w:r>
      <w:r>
        <w:rPr>
          <w:rFonts w:ascii="arial" w:eastAsia="arial" w:hAnsi="arial" w:cs="arial"/>
          <w:sz w:val="20"/>
          <w:lang w:val="en-US" w:eastAsia="en-US" w:bidi="ar-SA"/>
        </w:rPr>
        <w:cr/>
      </w:r>
    </w:p>
    <w:p>
      <w:pPr>
        <w:numPr>
          <w:numId w:val="5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plaintiffs seek an in-trust award for Mrs. Fullerton. Since Benjamin's birth, he has required full-time care. Most of this care has been provided by Mrs. Fullerton, with some assistance from other family members. In addition to caring for Benjamin's physical needs, Mrs. Fullerton has assisted him with all his activities of daily living and has also worked, and continues to work, on Benjamin's communication skills and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xml:space="preserve">  In Brito (Guardian ad litem of) v. Woolley, </w:t>
      </w:r>
      <w:hyperlink r:id="rId417" w:history="1">
        <w:r>
          <w:rPr>
            <w:rFonts w:ascii="arial" w:eastAsia="arial" w:hAnsi="arial" w:cs="arial"/>
            <w:i/>
            <w:color w:val="0077CC"/>
            <w:sz w:val="20"/>
            <w:u w:val="single"/>
            <w:shd w:val="clear" w:color="auto" w:fill="FFFFFF"/>
            <w:lang w:val="en-US" w:eastAsia="en-US" w:bidi="ar-SA"/>
          </w:rPr>
          <w:t>[2001] B.C.J. No. 1692</w:t>
        </w:r>
      </w:hyperlink>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2001 BCSC 1178</w:t>
        </w:r>
      </w:hyperlink>
      <w:r>
        <w:rPr>
          <w:rFonts w:ascii="arial" w:eastAsia="arial" w:hAnsi="arial" w:cs="arial"/>
          <w:color w:val="000000"/>
          <w:sz w:val="20"/>
          <w:lang w:val="en-US" w:eastAsia="en-US" w:bidi="ar-SA"/>
        </w:rPr>
        <w:t xml:space="preserve">, aff'd </w:t>
      </w:r>
      <w:hyperlink r:id="rId418" w:history="1">
        <w:r>
          <w:rPr>
            <w:rFonts w:ascii="arial" w:eastAsia="arial" w:hAnsi="arial" w:cs="arial"/>
            <w:i/>
            <w:color w:val="0077CC"/>
            <w:sz w:val="20"/>
            <w:u w:val="single"/>
            <w:shd w:val="clear" w:color="auto" w:fill="FFFFFF"/>
            <w:lang w:val="en-US" w:eastAsia="en-US" w:bidi="ar-SA"/>
          </w:rPr>
          <w:t>(2003) 16 B.C.L.R. (4th) 220</w:t>
        </w:r>
      </w:hyperlink>
      <w:r>
        <w:rPr>
          <w:rFonts w:ascii="arial" w:eastAsia="arial" w:hAnsi="arial" w:cs="arial"/>
          <w:color w:val="000000"/>
          <w:sz w:val="20"/>
          <w:lang w:val="en-US" w:eastAsia="en-US" w:bidi="ar-SA"/>
        </w:rPr>
        <w:t xml:space="preserve"> (C.A.), Sinclair Prowse J. articulated the principles to be applied in assessing an in-trust claim at [paragraph] 392: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a claim is recoverable, provided that the claimed services are outside the normal duties of parents, that these services were needed because of his injuries, and that someone outside of the family would have been required to perform these services had his parents not done them: Crane v. Worwood </w:t>
      </w:r>
      <w:hyperlink r:id="rId419" w:history="1">
        <w:r>
          <w:rPr>
            <w:rFonts w:ascii="arial" w:eastAsia="arial" w:hAnsi="arial" w:cs="arial"/>
            <w:i/>
            <w:color w:val="0077CC"/>
            <w:sz w:val="20"/>
            <w:u w:val="single"/>
            <w:shd w:val="clear" w:color="auto" w:fill="FFFFFF"/>
            <w:lang w:val="en-US" w:eastAsia="en-US" w:bidi="ar-SA"/>
          </w:rPr>
          <w:t>(1992), 65 B.C.L.R. (2d) 16</w:t>
        </w:r>
      </w:hyperlink>
      <w:r>
        <w:rPr>
          <w:rFonts w:ascii="arial" w:eastAsia="arial" w:hAnsi="arial" w:cs="arial"/>
          <w:color w:val="000000"/>
          <w:sz w:val="20"/>
          <w:lang w:val="en-US" w:eastAsia="en-US" w:bidi="ar-SA"/>
        </w:rPr>
        <w:t xml:space="preserve"> (S.C.); Feng v. Graham </w:t>
      </w:r>
      <w:hyperlink r:id="rId420" w:history="1">
        <w:r>
          <w:rPr>
            <w:rFonts w:ascii="arial" w:eastAsia="arial" w:hAnsi="arial" w:cs="arial"/>
            <w:i/>
            <w:color w:val="0077CC"/>
            <w:sz w:val="20"/>
            <w:u w:val="single"/>
            <w:shd w:val="clear" w:color="auto" w:fill="FFFFFF"/>
            <w:lang w:val="en-US" w:eastAsia="en-US" w:bidi="ar-SA"/>
          </w:rPr>
          <w:t>(1988), 25 B.C.L.R. (2d) 116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xml:space="preserve">  In Bystedt v. Hay, </w:t>
      </w:r>
      <w:hyperlink r:id="rId421" w:history="1">
        <w:r>
          <w:rPr>
            <w:rFonts w:ascii="arial" w:eastAsia="arial" w:hAnsi="arial" w:cs="arial"/>
            <w:i/>
            <w:color w:val="0077CC"/>
            <w:sz w:val="20"/>
            <w:u w:val="single"/>
            <w:shd w:val="clear" w:color="auto" w:fill="FFFFFF"/>
            <w:lang w:val="en-US" w:eastAsia="en-US" w:bidi="ar-SA"/>
          </w:rPr>
          <w:t>[2001] B.C.J. No. 2769</w:t>
        </w:r>
      </w:hyperlink>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aff'd </w:t>
      </w:r>
      <w:hyperlink r:id="rId422" w:history="1">
        <w:r>
          <w:rPr>
            <w:rFonts w:ascii="arial" w:eastAsia="arial" w:hAnsi="arial" w:cs="arial"/>
            <w:i/>
            <w:color w:val="0077CC"/>
            <w:sz w:val="20"/>
            <w:u w:val="single"/>
            <w:shd w:val="clear" w:color="auto" w:fill="FFFFFF"/>
            <w:lang w:val="en-US" w:eastAsia="en-US" w:bidi="ar-SA"/>
          </w:rPr>
          <w:t>(2004), 24 B.C.L.R. (4th) 205</w:t>
        </w:r>
      </w:hyperlink>
      <w:r>
        <w:rPr>
          <w:rFonts w:ascii="arial" w:eastAsia="arial" w:hAnsi="arial" w:cs="arial"/>
          <w:color w:val="000000"/>
          <w:sz w:val="20"/>
          <w:lang w:val="en-US" w:eastAsia="en-US" w:bidi="ar-SA"/>
        </w:rPr>
        <w:t xml:space="preserve"> (C.A.), D.M. Smith J. set out the factors to be considered in the assessment of in-trust claims at [paragraph] 180:</w:t>
      </w:r>
      <w:r>
        <w:rPr>
          <w:rFonts w:ascii="arial" w:eastAsia="arial" w:hAnsi="arial" w:cs="arial"/>
          <w:sz w:val="20"/>
          <w:lang w:val="en-US" w:eastAsia="en-US" w:bidi="ar-SA"/>
        </w:rPr>
        <w:cr/>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the plaintiff's injuries;</w:t>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 giving family member is lower than the cost of obtaining the services independently, the court will award the lower amount;</w:t>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5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plaintiffs submit that Mrs. Fullerton has in effect taken on the role of the rehabilitation assistant that Ms. Landy recommended. The plaintiffs agree that from Benjamin's birth until July 2000, he would have been completely dependent on his parents in any event. From July 2000 to the present, the time Mr. and Mrs. Fullerton have had to spend on direct care and assistance of Benjamin over and above what would be necessary for a healthy child has gradually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 plaintiffs submit that if the family had hired the kind of assistance Ms. Landy recommends, the annual cost for the past year would have been $80,000. Four years earlier, it may have been a quarter of that, or $20,000, given that Benjamin was at an age where his parents would have had to be doing more for him in any event. Assuming a constant rate of growth in the need for care and assistance over and above what is normal produces amounts of $40,000 and $60,000 for the two intervening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plaintiffs submit that the proper amount for an in-trust award is $200,000. Although the plaintiffs concede that this is an arbitrary notional calculation, they submit that the amount meets the test of reasonableness and reflects the burden Mrs. Fullerton has carried.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defendants submit that the correct way to assess an in-trust claim is to award the lesser of the cost of purchasing the care from a third party or the income forgone by the caregiver. Prior to Benjamin's birth, Mrs. Fullerton earned approximately $27,000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Mrs. Fullerton returned to work on a part-time basis in September 1999. She quit working in January 2000 because it was too difficult to continue working and care for Benjamin. She testified that Benjamin's needs have prevented her from returning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 agree with the defendants' submission that Mrs. Fullerton's forgone income should be used as a guide in assessing the in-trust claim. As noted by the plaintiffs, calculation of the in-trust claim should start at some point subsequent to Benjamin's birth because he would have required constant care for the early part of his life regardless of his injury. Furthermore, the extent of Benjamin's care needs was not immediately apparent. As Benjamin has grown out of infancy and into childhood, his care needs have significantly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I am satisfied that the services provided by Mrs. Fullerton were necessary for the care of Benjamin and were required as a result of his injuries. These services were over and above what would be normally expected from a family relationship. Mrs. Fullerton has forgone income because of Benjamin's needs. Her forgone income is less than the cost of obtaining the services independently and should form the basis of the claim. I assess Mrs. Fullerton's in-trust award at $100,000.</w:t>
      </w:r>
      <w:r>
        <w:rPr>
          <w:rFonts w:ascii="arial" w:eastAsia="arial" w:hAnsi="arial" w:cs="arial"/>
          <w:sz w:val="20"/>
          <w:lang w:val="en-US" w:eastAsia="en-US" w:bidi="ar-SA"/>
        </w:rPr>
        <w:cr/>
      </w:r>
    </w:p>
    <w:p>
      <w:pPr>
        <w:numPr>
          <w:numId w:val="5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defendants accept the plaintiffs' claims for special damages as set out in Exhibit 9, except the claims for:</w:t>
      </w:r>
      <w:r>
        <w:rPr>
          <w:rFonts w:ascii="arial" w:eastAsia="arial" w:hAnsi="arial" w:cs="arial"/>
          <w:sz w:val="20"/>
          <w:lang w:val="en-US" w:eastAsia="en-US" w:bidi="ar-SA"/>
        </w:rPr>
        <w:cr/>
      </w:r>
    </w:p>
    <w:p>
      <w:pPr>
        <w:numPr>
          <w:numId w:val="5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Hyperbaric Oxygen Therapy;</w:t>
      </w:r>
    </w:p>
    <w:p>
      <w:pPr>
        <w:numPr>
          <w:numId w:val="5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Conductive Education Therapy;</w:t>
      </w:r>
    </w:p>
    <w:p>
      <w:pPr>
        <w:numPr>
          <w:numId w:val="5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medical treatments with a Naturopath, Dr. Scott Tyler;</w:t>
      </w:r>
    </w:p>
    <w:p>
      <w:pPr>
        <w:numPr>
          <w:numId w:val="5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Langley Developmental Pre-School;</w:t>
      </w:r>
    </w:p>
    <w:p>
      <w:pPr>
        <w:numPr>
          <w:numId w:val="5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Mileage to attend for Hyperbaric Oxygen Therapy, Conductive Education Therapy and for treatment from Dr. Tyler.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The plaintiffs have not established that the claims for Hyperbaric Oxygen Therapy, Conductive Education Therapy and Dr. Tyler's therapy were reasonably necessary for Benjamin's care. In Brito, the court expressly disallowed special damages for both Hyperbaric Oxygen Treatments and Conductive Education Therapy, finding that they were novel and not supported by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Hyperbaric Oxygen Therapy was attempted with the full knowledge of Dr. Ward, the treating paediatrician. Dr. Ward testified that he could not recommend the therapy, but he did not advise against it. He said at trial it was understandable that parents would try anything that offers some hope. Mrs. Fullerton testified that, in her opinion, both the Hyperbaric Oxygen Therapy and the Conductive Education Therapy produced some major improvements in Benjamin.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Absent medical evidence which supports the necessity of the treatment, costs incurred for the treatment are not recoverable. Accordingly, the Hyperbaric Oxygen Therapy, the Conductive Education Therapy, and the additional medical treatments with the Naturopath, Dr. Tyler, are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In regard to the claim for the Langley Developmental Pre-School, there is no evidence that the Fullertons have spent more money for Benjamin than they would have spent for a healthy child. That claim is also disallowed.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 plaintiffs' claims for special damages are allowed at $24,744.51.</w:t>
      </w:r>
      <w:r>
        <w:rPr>
          <w:rFonts w:ascii="arial" w:eastAsia="arial" w:hAnsi="arial" w:cs="arial"/>
          <w:sz w:val="20"/>
          <w:lang w:val="en-US" w:eastAsia="en-US" w:bidi="ar-SA"/>
        </w:rPr>
        <w:cr/>
      </w:r>
    </w:p>
    <w:p>
      <w:pPr>
        <w:numPr>
          <w:numId w:val="5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Fee/Income 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 parties agreed to defer submissions on these issues pending receipt of these reasons. If the parties cannot agree on these matters, they should make arrangement with trial division to make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 award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$299,000.00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471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Be Calculated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In-trust Award</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60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$ 24,744.51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Management Fee</w:t>
            </w:r>
          </w:p>
        </w:tc>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Be Determined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Income Tax Gross-Up</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Be Determined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The apportionment of fault is 65 per cent to the Hospital, 35 per cent to Dr. Delair. If the parties cannot agree on costs, they are at liberty to make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 wish to express my appreciation to all counsel for their thorough and most helpful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30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Grewal v. Brar, [2004] B.C.J. No. 1819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23 - 27, March 1 - 5, 8 - 12, April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26 - 30 and May 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B992383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1819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2004 BCSC 1157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133 A.C.W.S. (3d) 284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Nita Grewal, plaintiff, and Rimppi Brar, Enterprise Rent-A-Car of British Columbia and Enterprise Rent-A-Car Canada Limited/Enterprise Location D'Autos Canada Limitée formerly known as 1089442 Ontario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6" w:name="Keywords_18"/>
      <w:bookmarkEnd w:id="136"/>
      <w:r>
        <w:rPr>
          <w:rFonts w:ascii="arial" w:eastAsia="arial" w:hAnsi="arial" w:cs="arial"/>
          <w:b/>
          <w:color w:val="000000"/>
          <w:sz w:val="20"/>
          <w:lang w:val="en-US" w:eastAsia="en-US" w:bidi="ar-SA"/>
        </w:rPr>
        <w:t xml:space="preserve">Damage awards — Injury and death — Body injuries — Back - - Spinal cord — Head injuries — Brain injuries — Smell — Psychological injuries — Personality change — Learning disability — General damage awards — Pain and suffering, loss of amenities and other nonpecuniary damages — Pretrial income loss — Loss of prospective earnings — Cost of future care and treatment — Marriage failure — Torts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What constitutes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7" w:name="Case Summary_17"/>
            <w:bookmarkEnd w:id="1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Grewal against the defendant Brar for damages sustained in a motor vehicle accident. Grewal was a passenger in a vehicle that was driven by Brar. It was Grewal's practice to wear a seatbelt. She could not recall if she wore it at the time of the accident. Brar lost control of her vehicle. It rolled over several times and Grewal and the other four passengers were ejected from the vehicle. These other passengers died at the scene. Brar was convicted for negligent driving. Liability was admitted. It was admitted that the owner of the vehicle, the defendant Enterprise Rent-A-Car was vicariously liable. At issue was the nature and quantum of Grewal's injuries. She claimed to have suffered many injuries that included a spinal cord injury that resulted in incomplete quadriparesis, traumatic brain injury and sexual function disorder. The defendants disputed the extent of the brain and spinal cord injuries. Grewal was born in 1972. She was formerly a vivacious, popular individual who excelled in sports. Grewal was married in 1995 and was employed as an import coordinator at a monthly salary of $2,438. She was six courses away from obtaining a bachelor's degree in business administration. Grewal was the mother of two young children. Her circumstances changed drastically after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8" w:name="Holdings of Court_16"/>
            <w:bookmarkEnd w:id="13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Grewal was awarded total damages of $2,847,522. The court was satisfied that Grewal was not wearing her seatbelt.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was not proven. There was no evidence that the seatbelt available for use for Grewal was in proper working order or that the failure to wear it caused her injuries. Grewal suffered a brain injury as a result of the accident. She was significantly handicapped by the injury. Her substantial drop in intellectual functioning and her cognitive problems detrimentally affected her life. Her problems included lack of concentration, forgetfulness and an inability to follow through on tasks. Grewal lost her sense of smell. She also underwent a dramatic personality change and sexual dysfunction. She was now a sad and withdrawn individual who angered easily. The prognosis for her brain injury was poor. She was unlikely to make any significant further recovery regarding this injury. Grewal's spinal cord injury severely limited her functional ability. Daily living for Grewal posed great difficulties. She was in constant pain. Her disabilities would increase with age. The devastating effect of the combined injuries affected every aspect of her life. Non-pecuniary damages were assessed at the upper limit of $294,000. Past wage loss was assessed at $300,000. Future loss of earning capacity was calculated at $950,000. Grewal claimed damages for the possibility that her marriage would fail. The marriage up to the date of the accident was reasonably good. However, there were strains on it that occurred irregardless of the accident. There was a reasonably good possibility that it would have failed in the future. The accident only hastened the onset of a separation or divorce. If the marriage failed Grewal would move in with her parents. It was unlikely that she would remarry. Grewal was awarded $30,000 under this category. Her future care costs included $915,213 for a rehabilitation worker and $122,800 for child care assistance.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9" w:name="Legislation Cited_14"/>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8"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431" w:history="1">
        <w:r>
          <w:rPr>
            <w:rFonts w:ascii="arial" w:eastAsia="arial" w:hAnsi="arial" w:cs="arial"/>
            <w:i/>
            <w:color w:val="0077CC"/>
            <w:sz w:val="20"/>
            <w:u w:val="single"/>
            <w:shd w:val="clear" w:color="auto" w:fill="FFFFFF"/>
            <w:lang w:val="en-US" w:eastAsia="en-US" w:bidi="ar-SA"/>
          </w:rPr>
          <w:t>R.S.B.C. 1996, c. 318, s. 54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0" w:name="Counsel_18"/>
      <w:bookmarkEnd w:id="1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9"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M.J. Slater, Q.C. and R.D. Nairne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 Stewart and P. Doherty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18"/>
      <w:bookmarkEnd w:id="141"/>
      <w:r>
        <w:pict>
          <v:line id="_x0000_s1120"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COLE J."/>
            <w:bookmarkEnd w:id="142"/>
            <w:r>
              <w:rPr>
                <w:rFonts w:ascii="arial" w:eastAsia="arial" w:hAnsi="arial" w:cs="arial"/>
                <w:b/>
                <w:color w:val="000000"/>
                <w:sz w:val="30"/>
                <w:lang w:val="en-US" w:eastAsia="en-US" w:bidi="ar-SA"/>
              </w:rPr>
              <w:t>COLE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Description</w:t>
            </w:r>
          </w:p>
        </w:tc>
        <w:tc>
          <w:tcPr>
            <w:tcW w:w="481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109"/>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INTRODUCTION</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BACKGROUND</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ACCIDENT</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EMERGENCY CARE AFTER THE ACCIDENT</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G. F. STRONG REHABILITATION HOSPITAL</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SEQUELAE AFTER DISCHARGE FROM G. F. STRONG</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Brain injury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Spinal cord injury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CREDIBILITY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plaintiff's evidence regarding use of the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seatbelt</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Sense of Smell</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Accuracy of the G. F. Strong records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plaintiff's gait</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Credibility of the plaintiff's witnesses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CONTRIBUTORY </w:t>
            </w:r>
            <w:r>
              <w:rPr>
                <w:rFonts w:ascii="arial" w:eastAsia="arial" w:hAnsi="arial" w:cs="arial"/>
                <w:b/>
                <w:i/>
                <w:color w:val="000000"/>
                <w:sz w:val="18"/>
                <w:u w:val="single"/>
                <w:lang w:val="en-US" w:eastAsia="en-US" w:bidi="ar-SA"/>
              </w:rPr>
              <w:t>NEGLIGENCE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BRAIN INJURY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Anton</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Sbordone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Kelly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Elliott</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Blasberg</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Davis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Holden</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Ralph Cheesman and Gary Worthington-White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Lay witnesses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Conclusion</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SPINAL CORD INJURY AND GENERAL FUNCTIONING</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Anton</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Piper</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General functioning</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Conclusion</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WAGE LOSS OR LOSS OF FUTURE EARNING CAPACITY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MARRIAGEABILITY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IN-TRUST AWARD: PAST AND FUTURE CARE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One-to-One rehabilitation worker</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Activities of daily living</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Grooming</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Pharmaceuticals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Physiotherapy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Child care assistance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Transportation</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Rehabilitation case management</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Interior home maintenance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Educational consultant and tutorial support</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Sexual dysfunction therapy</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96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SUMMARY</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is for damages for personal injuries arising from a motor vehicle accident that occurred on August 8, 1997 on Interstate 5 north of Bellingham,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Nita Grewal, was a passenger in a vehicle driven by the defendant Rimppi Brar. Ms. Brar lost control of her vehicle, causing the vehicle to roll over several times, and five passengers including the plaintiff were ejected from the vehicle. Ms. Brar has been found guilty of negligent driving. Liability is admitted. It is also admitted that the owner of the vehicle, the defendant Enterprise Rent-A-Car of British Columbia and Enterprise Rent-A-Car Canada Limited are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Brar.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only issue in this trial is the nature and quantum of damages to which the plaintiff is entitled. The plaintiff says she sustained the following injuries:</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C2-C3 hangman's fracture associated with a spinal cord injury, causing incomplete quadriparesis,</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Pelvic injury, including fractures of the sacrum and right inferior and superior pubic rami,</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the humerus that involved the medial epicondyle of the elbow,</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right ulnar nerve at the elbow,</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Chest injury with pneumothorax,</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Traumatic brain injury,</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Temporomandibular disorder, and</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function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damages under the following heads: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income,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award (past and future),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marriageability,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do not seriously dispute that the plaintiff sustained the injuries alleged, but mainly disagree on the extent to which the brain injury and the spinal cord injury affect the plaintiff's functioning. They say that if the plaintiff suffered a brain injury, it was a mild traumatic brain injury and that the plaintiff is mainly suffering from a treatable depressive disorder reactive to the loss of her friends and the despair over her decreased functional abilities. They also take the position that the plaintiff is contributorily negligent in failing to wear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parties have agreed to adjourn the issue of tax gross-up and management fees until after the assessment of damages for future cost of care. In addition, the parties have agreed that the award for past loss of income may be made without reference to s. 54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born on February 26, 1972 and immigrated from Fiji in 1975 with her parents and two older sisters. Family and friends describe her as being a vivacious, popular, and intelligent individual who valued her friendships and family. She excelled in sports, including soccer, volleyball, and running. She was married on September 2, 1995 and at the time of the accident she was employed at Canadian Stevedoring as an import coordinator earning $2,438 per month. She had completed a program in administrative studies offered through the Open Learning Agency and was five or six courses away from obtaining her bachelor's degree in business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August 8, 1997, the plaintiff and six friends were travelling to Seattle to celebrate the upcoming marriage of the defendant Ms. Brar. Ms. Brar had rented the 1997 Ford Expedition from the defendants Enterprise Rent-A-Car of British Columbia and Enterprise Rent-A-Car Canada Limited. Ms. Brar was driving as they travelled south on Interstate 5. The vehicle was travelling at approximately 75 miles per hour when Ms. Brar lost control of the vehicle, which flipped over at least three times over a distance of some 235 feet before coming to a rest upside down on the side of the Interstate. The plaintiff and four others were ejected from the vehicle. All those ejected except the plaintiff died at the scene. The defendant Ms. Brar and the front seat passenger were both wearing seatbelts and received relatively minor injuries. Of the four people that died, two of them were the plaintiff's best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EMERGENCY CARE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was found unconscious outside of the automobile. Her Glasgow Coma Scale ("GCS") score was not available, but from the notes made by the ambulance attendant at the scene, it is estimated that she had a score of 6 (with a GCS score of 8 or less usually indicating severe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was taken to St. Joseph's Hospital in Bellingham where she was found to have decreased movement in all extremities, and was diagnosed to have a "hangman's fracture" involving C2 with some spondylolisthesis (forward displacement) of C2 on C3.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Approximately one and a half hours after the accident, Dr. Rinne evaluated the plaintiff and made the following observations in his emergency department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her in the CT room and she was intubated, unconscious, not responsive, and requiring bag-breathing, and moved none of her four extremities. Her pressure was reported 60/40.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August 9, 1997, the plaintiff was transported to the Vancouver General Hospital. Her neurological condition deteriorated and decompression surgery was performed on her upper cervical spine at C2 on August 13, 1997 because of pressure being exerted on the spinal cord. On August 15, 1997, she underwent a C2-C3 discectomy with excision of the portion of the C2 and fusion of C2 to C4 to stabilize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18, 1997, an MRI scan showed a post-traumatic cyst in the upper spinal cord. On August 21, 1997, the plaintiff underwent a tracheotomy to enable her to breathe and she was ventilator-dependent until she was weaned off the ventilator, a process that took approximately seven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G.F. STRONG REHABILITATION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8, 1997, the plaintiff was transferred to the spinal injury unit of G.F. Strong Rehabilitation Hospital ("G.F. Strong") to begin rehabilitation with an interdisciplinary team. This team included specialists in psychiatry, respiratory medicine, ear, nose and throat, psychology, and psychiatry; as well as support from a team of nurses, occupational therapists, physiotherapists and social workers. On December 18, 1997, she was discharged from G.F. Strong and was referred to the Outpatient Spinal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G.F. Strong records upon the plaintiff's discharge indicate that the plaintiff made neurological and functional recovery during her stay. She progressed from walking with parallel bars, to walking with a wheeled walker, to walking independently at the time of her discharge. However, the records indicate that her ambulation was not tested in an outdoor environment and that she may need a wheeled walker. She could ascend stairs independently but required the use of one railing when descending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records also indicate that upon her discharge, the plaintiff was independent with respect to most activities of daily living and self-care, including dressing herself, bed mobility, and bathroom activities. However, she required assistance for bathing and hair-washing.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records indicate that a home visit was performed and recommendations made prior to the plaintiff's discharge. Assistive devices in the bathroom were implemented. Homemaking assistance was also set up to assist the plaintiff in cooking, cleaning, and heavier housework, as the records note that management of home activities was significantly impaired by the plaintiff's hand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Outpatient follow-up was arranged, including physiotherapy and occupational therapy. The G.F. Strong records indicate that the focus would be on gait refinement and hand function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SEQUELAE AFTER DISCHARGE FROM G.F.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Upon discharge from G.F. Strong, the plaintiff lived part-time with her mother and part-time with her mother-in-law and then she and her husband purchased a home and lived there for over two years. She continued to have assistance with daily life and homemaking. The home was later sold and she now lives about one week with her mother and one week with her mother-in-law. Since the accident, the plaintiff has had two children; the elder daughter, Jaeya, in 2000, and the younger daughter, Hannah,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July 26, 2002 MRI scan reveals a 2mm to 3mm hypointensity in the right frontal cortical-white matter of the brain, which Dr. Kelly concluded showed an area of shearing injury in the right frontal lobe which is characteristic of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says she has suffered a significant brain injury which has resulted in ongoing cognitive, emotional, and behavioral difficulties. She says she has undergone a dramatic personality change, from a vivacious and social person into an individual who is cranky and gets upset quickly even when confronted with trivial stressors. She says her memory is poor and she does not remember conversations she had a short time previously. She says she suffers from a lack of smell which is a safety concern as she often forgets that she has turned on the stove and cannot smell the burning that results. Further, she says she has suffered a significant drop in her intellectual functioning as measured by IQ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Spinal cord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says she sustained a severe spinal cord injury, characterized as incomplete quadriparesis, also known as incomplete quadriplegia or tetraplegia. Her injury has been classified as having elements of posterior cord, central cord, and Brown-Sequard type, meaning that the right side of her spinal cord has been more affected than her left. As a result, she says, she still cannot lift her children, nor can she run after them because of her inability to walk quickly. She has a limp when she walks. She says she has limitations in terms of raising her right arm above her head, and difficulty in putting on her clothing and doing her hair. She needs various aids in order to get in and out of the bath tub. She has difficulty picking up things with her right hand and she has a loss of sensitivity in her left hand. She has balance difficulties and says that she falls if she bends over or walks on uneven surfaces. She is also experiencing difficulties in her marriage and has suffered from a lack of or diminished amount of libido which has adversely affected her sex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 fundamental aspect of this trial is credibility. The defendants' position is that the plaintiff and her immediate family painted an unrealistically negative picture of the plaintiff's cognitive and physical abilities after the accident, and that consequently their evidence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places emphasis on various alleged inconsistencies: most significantly, the plaintiff's testimony concerning whether or not she was wearing a seatbelt at the time of the accident; her inconsistent reporting in respect to her sense of smell; her evidence concerning the accuracy of the G.F. Strong discharge records; and the discrepancy between the obvious limp which she displayed at trial and her gait in a video that was made at a wedding on July 5 and 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evidence regarding use of the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trial the plaintiff testified that she could not remember whether she was wearing a seatbelt, but prior to trial she had indicated to medical professionals that she was not wearing a seatbelt at the time of the accident: for instance, Dr. Anton in December 1999 and Dr. Piper in November 2003. Further, at her examination for discovery, the plaintiff indicated that she was not wearing a seatbelt at the time of the accident. At trial when those questions from discovery were put to her, she said that she gave those answers, but when asked if they were true, she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seatbelt I'm really not sure. If I can't remember the accident I really don't even know if I was wearing a seatbelt. I don't know why I said no [that I wasn't wearing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also varied her evidence in respect to where she actually was sitting in the back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am not satisfied that the plaintiff has attempted to mislead the Court on this point. She at no time suggested that she was wearing a seatbelt, and maintained only that she did not remember. Furthermore, because of her head injury and the trauma of the accident, it is not unusual for her to be less than certain in respect to where she was sitting and whether she had a seatbelt on. I also accept the plaintiff's explanation that she sometimes said and believed that she wasn't wearing a seatbelt because that is what others had told her. (This issue will be discussed further when I consider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Sense of Smell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loss of sense of smell was of some importance in this trial because it is a typical indicator of brain injury. The defendants say the plaintiff gave inconsistent versions of her ability to smell to some of the experts. At trial, the plaintiff agreed that she reported a diminished sense of smell to Dr. Kelly, but the following day, she said that she had not understood the word "diminished". Dr. Kelly was of the view that the plaintiff was able to detect common odours that were in the examining room and that the olfactory nerve, which is the "smelling nerve", was at least functional, but he concluded in his evidence that, "Whether it was normal in the sense of odour detection, I really have no way of telling". Dr. Anton reported that the plaintiff told him she could smell, but that food did not seem to taste as it did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think it is fair to say that what the plaintiff is consistently reporting is that her sense of smell was different before the accident. In Court, the ammonia test was performed and there is no dispute that the plaintiff could not smell the ammonia. I accept that the ammonia test is, in Dr. Davis' words, "useful in detecting sham anosmia as the lacrimation cannot be hidden by the patient who claims to sense nothing when sniffing the bottle."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Accuracy of the G.F. Strong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also say that the plaintiff's evidence of the effects of the accident on her functional ability is inconsistent with the assessments of the health care professionals at G.F.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disagreed with many of the comments made in the discharge report from G.F. Strong. She disagreed with their statement that she was independent with most activities of daily living, and that she could dress herself including dressing her upper and lower extremities; she also says that she was never bathing on her own even at G.F.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this observation does not necessarily cast doubt on the plaintiff's credibility. There may be other reasons for a discrepancy between the plaintiff's recollection and the G.F. Strong records, which I will discuss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gait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respect to the plaintiff's gait, on December 18, 1997, it was noted on the G.F. Strong discharge summary that her "gait was slightly wide-based, and mildly ataxic". Dr. Anton's report of July 2003 noted that the plaintiff's gait was "slightly broad-based and stiff", but otherwise unremarkable. In the video of the wedding in July 2002, the defendants suggest that the plaintiff appears to be moving around freely without any problems. They contrast all that evidence with what was apparent at trial, that the plaintiff had a significant limp when she walked.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video does not indicate that she is moving freely with her feet; she is moving her upper body, but I did not notice her walking anything more than one or two steps. Mr. Worthington-White adopted the definition of "ataxic"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inability to coordinate muscle activity during voluntary movement, most often due to disorders of the cerebellum where the posterior columns of the spinal cord may involve the limbs, head or trunk in coordination.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Worthington-White also noted that she walked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final analysis, I do not see any inconsistencies between the description of her gait that was observed by the professionals and what I saw as the plaintiff entered and departed the witness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reviewed all the inconsistencies referred to by the defendant in his lengthy analysis of the plaintiff's evidence and I am satisfied that the inconsistencies are minor, that the plaintiff was a truthful witness, and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Further, the plaintiff's evidence must be examined from the perspective that she has suffered a brain injury (although its severity is in dispute). Consequently, her ability to perceive some of the changes she has experienced since the accident, to recall all of her symptoms, or accurately relate what she is experiencing, is affected by the ongoing effects of the injury. This issue was addressed in Singh v. Wise, </w:t>
      </w:r>
      <w:hyperlink r:id="rId432" w:history="1">
        <w:r>
          <w:rPr>
            <w:rFonts w:ascii="arial" w:eastAsia="arial" w:hAnsi="arial" w:cs="arial"/>
            <w:i/>
            <w:color w:val="0077CC"/>
            <w:sz w:val="20"/>
            <w:u w:val="single"/>
            <w:shd w:val="clear" w:color="auto" w:fill="FFFFFF"/>
            <w:lang w:val="en-US" w:eastAsia="en-US" w:bidi="ar-SA"/>
          </w:rPr>
          <w:t>[1985] B.C.J. No. 161</w:t>
        </w:r>
      </w:hyperlink>
      <w:r>
        <w:rPr>
          <w:rFonts w:ascii="arial" w:eastAsia="arial" w:hAnsi="arial" w:cs="arial"/>
          <w:color w:val="000000"/>
          <w:sz w:val="20"/>
          <w:lang w:val="en-US" w:eastAsia="en-US" w:bidi="ar-SA"/>
        </w:rPr>
        <w:t xml:space="preserve"> (S.C.) at [paragraph] 27-28: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Most of the above facts under this heading were taken from expert reports. In addition, the plaintiff gave evidence at the trial. She showed signs of remembering some things that helped her case but not remembering other matters which did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one cannot apply the same judicial techniques of assessing the credibility of brain damaged witnesses as compared to other kinds of witnesses who have normal brain functions. A judge is not a psychiatrist nor a psychologist. What may appear inconsistent testimony on the part of a brain damaged witness may be explainable by medical science. Therefore, I must place a great deal of reliance on expert advice and observations of other lay witnesses when it comes to ascertaining the consequences of her injuries, because the value of her testimony in chief and on cross-examination is diminished on account of her brain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Credibility of the plaintiff's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also say that the family members called on behalf of the plaintiff lacked credibility in that their evidence was exaggerated, inconsistent with other witnesses' evidence, and internally inconsistent. In respect to the family members that were called on the plaintiff's behalf, I am satisfied that they have painted a picture of the plaintiff that was somewhat exaggerated, but that was not, in my view, motivated out of a hope for monetary compensation, but rather out of sympathy that they have for the plaintiff, which may skew the accuracy of their honest beliefs. Although the non-family members did not describe the plaintiff's limitations the same way that the family members did, the non-family members did not have the same opportunity over the same period of time to observe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 am satisfied that the evidence called on behalf of the plaintiff and the plaintiff's evidence itself is reliable and consistent with most of the medical evidence. I accept what is stated in Faryna v. Chorny, </w:t>
      </w:r>
      <w:hyperlink r:id="rId1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4 W.W.R. 171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witnesses meet the test set out in Faryna v. Chorny and I accept their evidence as being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 takes the position that the plaintiff's overall award should be reduced by 25% because of her alleged failure to wear a seatbelt. In order for the defence to succeed, the defendants must establish: that a seatbelt was available; that it worked; that the plaintiff was not wearing it; and that if she had been wearing it, the seatbelt would have avoided or minimized the plaintiff's injuries: see Harrison v. Brown, </w:t>
      </w:r>
      <w:hyperlink r:id="rId433" w:history="1">
        <w:r>
          <w:rPr>
            <w:rFonts w:ascii="arial" w:eastAsia="arial" w:hAnsi="arial" w:cs="arial"/>
            <w:i/>
            <w:color w:val="0077CC"/>
            <w:sz w:val="20"/>
            <w:u w:val="single"/>
            <w:shd w:val="clear" w:color="auto" w:fill="FFFFFF"/>
            <w:lang w:val="en-US" w:eastAsia="en-US" w:bidi="ar-SA"/>
          </w:rPr>
          <w:t>[1987] 1 W.W.R. 212</w:t>
        </w:r>
      </w:hyperlink>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[1985] B.C.J. No. 2889</w:t>
        </w:r>
      </w:hyperlink>
      <w:r>
        <w:rPr>
          <w:rFonts w:ascii="arial" w:eastAsia="arial" w:hAnsi="arial" w:cs="arial"/>
          <w:color w:val="000000"/>
          <w:sz w:val="20"/>
          <w:lang w:val="en-US" w:eastAsia="en-US" w:bidi="ar-SA"/>
        </w:rPr>
        <w:t xml:space="preserve"> (S.C.) and Terracciano (Guardian ad litem of) v. Etheridge, </w:t>
      </w:r>
      <w:hyperlink r:id="rId434" w:history="1">
        <w:r>
          <w:rPr>
            <w:rFonts w:ascii="arial" w:eastAsia="arial" w:hAnsi="arial" w:cs="arial"/>
            <w:i/>
            <w:color w:val="0077CC"/>
            <w:sz w:val="20"/>
            <w:u w:val="single"/>
            <w:shd w:val="clear" w:color="auto" w:fill="FFFFFF"/>
            <w:lang w:val="en-US" w:eastAsia="en-US" w:bidi="ar-SA"/>
          </w:rPr>
          <w:t>[1997] B.C.J. No. 1051</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first element, that a seatbelt was available, is conceded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is no empirical evidence as to whether the plaintiff was wearing her seatbelt. The defendants say that the plaintiff's evidence is inconsistent on this point. I have already reviewed the evidence of the plaintiff in respect to her examination for discovery and what she had told some of the physicians. Her evidence at trial was that her standard practice was to wear a seatbelt, but that she could not remember if she wore one at the time of the accident. The defendant Ms. Brar testified that the plaintiff told her that she was glad that she was not wearing a seatbelt because otherwise she would have been crushed. The plaintiff, however, has explained these apparent inconsistencies by saying that she had been told by others that she was not wearing a seatbelt and she had sometimes assumed that was in fact the case. I have found that she is credible on this point and I accept that her statements to others do not necessarily indicate that she was not wearing a seatbelt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it is clear that the plaintiff was seated in the back row of seats, it is not clear if she was in the right rear seat or the middle seat. Neither the plaintiff nor Ms. Brar recall where the plaintiff was situated in the back seat. The evidence indicates there are lap and shoulder seatbelts for the passengers closest to the windows. That would mean that the occupant of the middle of both the second and third row of seats would only have a lap type of seatbelt. Since the plaintiff's position in the rear of the vehicle is unknown, I cannot determine which type of seatbelt was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Brar's evidence was that only herself and the front seat passenger were wearing seatbelts, and that all the other passengers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suggests that Ms. Brar's evidence is based on assumptions rather than observations. For instance, the plaintiff says Ms. Brar assumes that the other passengers were not wearing seatbelts because they were ejected from the vehicle. Further, the plaintiff points out that Ms. Brar would not have been able to see if the person in the rear middle seat was wearing a seatbelt, because that seatbelt would have been a lap belt. When Ms. Brar's examination for discovery was put to her, she admitted that she could not tell who was wearing a seatbelt that was not in the row directly behind her. She agreed that her evidence was completely different in the discovery than what she gave at trial. The plaintiff suggests that Ms. Brar's evidence on this point must therefore be taken with extreme caution. While I accept that position, I find that other evidence supports Ms. Brar's assertion that the plaintiff was not wearing her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major damage to the roof of the vehicle was over the area occupied by the driver. The rear of the vehicle did not undergo any significant downward intrusion of the vehicle roof. Despite the fact that Ms. Brar was sitting at the place where the most significant roof intrusion occurred, she sustained only minor injuries compared to the injuries sustained by the ejected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Brar also stated that the people in the back seat were moving around reaching for things and leaning forward. They would not have been able to do that if they were wearing seatbelts.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Based on all the evidence, I am satisfied that the defendants have proven that the plaintiff was not wearing a seatbelt at the time of the accident. The real issues are whether the seatbelt assembly was functioning properly at the time and whether the plaintiff's injuries would have been avoided or minimized if the seatbelt had been worn.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absolutely no evidence that the seatbelt assembly was functioning. It was not tested by anyone and that in itself is fatal to the success of the seatbelt defence: see Harrison v. Brown, supra, at [paragraph]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Regarding causation, the defendants called a senior engineer, Trevor Newbury, a qualified accident reconstructionist, and he opined that had the plaintiff been wearing her seatbelt, she probably would have sustained less overall injuries, less severe neck injuries and less severe pelvic injuries. However, he did not do an actual reconstruction of the motion of the vehicle and the occupants after the rollover. He was of the view that, "[r]ollovers are such a chaotic event that it is extremely difficult to simulate the exact movement of the occupants once the vehicle starts to roll". Consequently, he could not indicate when the plaintiff was ejected relative to the other passengers, and whether it was on the first, second or third rollover. He also agreed that there are documented cases of rollover accidents where the driver has been ejected while wearing a single loop lap shoulder harness.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Replying to a hypothetical situation where the plaintiff was belted and four other individuals were not belted during the course of a rollover, Mr. Newbury agreed that the four other individuals would be moving about in various ways in the vehicle and that the direction in which they moved and the force with which they moved would to some extent be a function of where they were located in the vehicle, as well as a function of the size of the individuals. He agreed that it was possible that a belted individual in the back seat would be struck by unbelted passengers during the course of the rollover, or in theory, even before the rollover. Mr. Newbury also confirmed literature that indicates that in rollover collisions, most injuries occur inside the vehicle, thus highlighting the risk posed to a belted occupant by unbelted occupants. He also agreed with a study indicating that 81% of persons ejected from vehicles received their major and fatal injuries within the vehicle before ejection. He also agreed it is possible during a rollover that the head of an individual sitting at the window seat would come in contact with the ground even if restrained.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left with absolutely no evidence of the mechanism by which the plaintiff sustained her injuries. In such cases, to apply the "common sense approach", as the defendants suggest, is to deal in speculation: see Terracciano, supra at [paragraph] 64-69.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After considering all of the evidence, I am satisfied that the defendant has not proven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was not wearing her seatbelt, but there is no evidence that the seatbelt available for use by the plaintiff was in proper working order, nor that the failure to wear a seatbelt caused the injuries sustained by the plaintiff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take the position that if the plaintiff suffered a brain injury in the accident, it can only be described as mild, especially when considering the reports from G.F. Strong and Dr. Anton. It is the defendants' position that the plaintiff is suffering from a depressive disorder reactive to the loss of her friends and her physical limitations, and that the depression is in itself treatable.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Anton is a psychiatrist, a specialist in physical medicine and rehabilitation. He is the medical director of the Rehabilitation Clinical Practice Unit at Vancouver Hospital and G.F. Strong Rehabilitation Centre. He assessed the plaintiff on June 21, 1999 and July 21, 2003. He also reviewed the plaintiff's medical records, including the discharge summary from G.F.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1999 report, Dr. Anton indicated that the plaintiff had probably suffered a traumatic brain injury, but he opined that it was relatively mild. That opinion, however, he makes it clear, was based solely on the CT scan and does not rule out severe diffuse injury that would not show up on a CT scan. As been noted earlier, the MRI did in fact disclose a frontal lobe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1999 report, Dr. Anton also found "little difficulty" with the plaintiff's cognitive functioning. That, however, was based on a cursory cognitive screening test and Dr. Anton recommended that a neurological testing be performed to determine the true extent of her cognitive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his 2003 report, Dr. Anton concluded that the plaintiff's traumatic brain injury would have permanent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Recovery after traumatic brain injury occurs for up to two years, with the possibility of some further improvement through compensation after that. Given the long period of time that has passed since the accident, I think Ms. Grewal's residual defects and impairments attributable to her traumatic brain injury will be permanent.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Grewal has significant physical impairments reflecting the late affects of her spinal cord and other injuries. She also has residual cognitive impairments and changes in personality and behaviour from her traumatic brain injury. Her current limitation in activity and restricted participation reflect the combined effects of those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Anton also noted that the plaintiff told him that her memory was still good, which statement is inconsistent with the evidence of the plaintiff's family and friends. Commenting on this inconsistency, Dr. Anton noted that patients with traumatic brain injury may not provide an accurate history, may over-report or under-report symptomology, and may lack insight concerning their behaviour and its effects on others in their environment. That is why, as he testified, it is important to interview people who know the plaintiff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found Dr. Anton to be a credible witness and I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Sbordone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Sbordone is a clinical neuropsychologist who specializes in the assessment of traumatic brain injuries. He is a Diplomate in clinical neuropsychology of the American Board of Professional Psychology and the American Board of Professional Neuropsychology. He is also a Diplomate of the American Board of Assessment Psychology and holds a Diplomate in forensic neuropsychology. He has written numerous books and articles in his field and has a special interest in frontal lobe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Sbordone assessed the plaintiff on June 12, 2003. In his report of July 15, 2003, Dr. Sbordone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Anton, a specialist in the field of physical medicine and rehabilitation, noted in his comprehensive report of 12/21/99 that he felt that it was probable that this patient suffered a traumatic brain injury in her accident since she had been ejected from the vehicle, had a high cervical injury which is frequently associated with a coexistent traumatic brain injury, and had a decreased level of consciousness which was documented at the scene of the accident. He also noted that although the initial CT scan of her head was normal, this would not rule out the possibility of a traumatic brain injury or a more severe diffuse injury. He noted that this patient complained of irritability, impaired concentration and difficulty focusing, which he stated could reflect psychological factors such as depression or posttraumatic stress disorder the distracting effects of pain [sic], but also a traumatic brain injury. He cautioned that the significance of any cognitive problems arising from a traumatic brain injury would only become apparent in the future if her cognitive functioning was challenged. He recommended that if her cognitive symptoms persisted, then she should undergo former [sic] neuropsychological testing.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the neuropsychological tests that were performed by both Dr. Bailey and myself corroborate her husband's observations of her behaviour, cognitive functioning, and emotional difficulties. For example, both Dr. Bailey and I noted that her IQ had dropped precipitously since the accident to where she was now testing in the borderline retarded range. While he did not administer any specific tests or measures to rule out the possibility that she may have been motivated to perform poorly, these tests were administered by this examiner. Her performance on these tests was found to be valid and indicated that motivational factors in all likelihood did not influence her performance on the neuropsychological tests and measures she was concurrently administered. Based on this patient's educational and occupational achievements, her intellectual functioning is most likely 30-40 points lower than her premorbid level of intellectual functioning. This finding indicates evidence of dementia of at least moderate severity based on her estimated preinjury level of functioning.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Dr. Bailey and I found evidence that this patient's attention, confrontational naming, visuospatial, and executive function skills were markedly lower than one would have expected had she not sustained a closed head injury in her rollover accident of 1997. An analysis of the test data reported by Dr. Bailey and found by myself, indicates that this patient tests as overall moderately impaired in her cognitive functioning. She is also seen as experiencing a moderate level of anxiety and depression which most likely stems from having to cope with her residual physical symptoms, chronic pain, difficulty coping with the demands of her environment as a result of her significantly diminished intellectual and cognitive levels of functioning, and the death of her two closest friends in her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these findings, it is my opinion that it is highly unlikely that she will make any further recovery of her behavioral and cognitive functioning since it has been nearly six years since her motor vehicle accident. As a consequence, I do not see her as ever becoming competitively employed or living independently. Should her marriage end in divorce, I seriously doubt that she could take care of her children without the assistance of others, manage day-to-day household affairs (i.e. pay the bills, manage her finances, prepare meals, perform household chores, and properly care for her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requires ongoing counselling and psychiatric treatment to help her cope with her emotional problems stemming from her motor vehicle accident as well as the behavioral and emotional sequelae of her traumatic brain injury. The fact that she lost her sense of smell following her motor vehicle accident strongly indicates that at minimum she sustained bilateral damage to the orbitofrontal lobe cortex of her brain.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Contusions of the orbitofrontal cortex typically produce a change in a patient's personality characterized by diminished frustration tolerance, irritability, impulsivity, pathologic egocentricity, inability to show affection toward others, lack of concern for others, frequent mood swings, inappropriate social behaviour, use of crude or coarse language and a loss of social tact. These individuals, however, have little awareness that they have such problems. When these individuals are seen in settings such as a doctor's or attorney's office, these behaviours may not be observed since these environments are highly structured.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Individuals who sustain dorsolateral frontal lobe contusions frequently demonstrate an inability to plan, organize, initiate, regulate or monitor their behaviour. They are usually easily distracted, have difficulty following through on tasks, and are likely to exhibit significant deficits in their abstract thinking, and conceptual and problem solving skills when they are administered neuropsychological tests. Based on her husband's observations of her behaviour and her performance on the neuropsychological tests and measures she was administered both by Dr. Bailey and myself, she most likely sustained orbitofrontal and dorsal-lateral contusions to her frontal lobes.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are critical of Dr. Sbordone and argue that his opinions should not be relied upon. They say that he did not question the psychological makeup of the plaintiff's husband, nor did he take into account the exaggerated assessment of the plaintiff by her husband. Also, they say he failed to take into account, contrary to his practice, mediating factors with respect to the plaintiff's test results, such as her disability, her depression, her medicated intake, her fatigue, pain, cultural background and the fact that litigation was pending when he assessed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defendants suggest that Dr. Sbordone failed to consider the effect of medication on the plaintiff. Yet a review of the transcript clearly indicates that Dr. Sbordone discussed the fact that the plaintiff was taking Paxil and that the medication was not a concern to him in terms of his assessment of her, and more importantly, the neuropsychological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also argue that Dr. Sbordone did not take into consideration the fact that the plaintiff's husband, Dhar Grewal, had in their view an exaggerated perception of the plaintiff's disability. However, other members of the plaintiff's family and friends provided evidence that was largely consistent with the information Mr. Grewal related to Dr. Sbordone.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At trial, Dr. Sbordone describes the typical orbitofrontal lobe injury victim as presenting with a "kind of disinhibitory phenomenon occurring".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what happens is when someone has an orbital frontal lobe injury they blow up quickly, they get upset easily, they do a lot of dumb and stupid things without really thinking about it and they cry easily, they get angry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suggest that characterization does not accurately describe the plaintiff, who they say is more accurately described as being irritable from time to time, rather than lacking control over her emotions.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However, the plaintiff's sister, Pravindra, along with other witnesses, described significant changes in the plaintiff post-accident which are clearly more than just "irritability". Pravindra described her sister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very snappy. She is very on the edge. The littlest things bother her. She forgets. She is not herself. It is not the same Nita that we've got.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friend, Debbie Gill, testified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her personality has changed quite a bit. She used to be very outgoing and very friendly and she was smart. She would remember things. She would remember birthdays, she would remember special days, and now she forgets things. I'll talk to her in the morning and she will forget by the afternoon what we talked about. Even in the same conversation it will start with her asking me, what are you doing today, and five minutes later she will say, so what are you doing today. So she doesn't remember the whole conversation that she just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Debbie Gill also said that the plaintiff is cranky, gets upset quickly, and is abrupt and not patient, as she used to be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also say that Dr. Sbordone incorrectly assessed the plaintiff's apparent drop in IQ points. He categorized the plaintiff as a person with above average intelligence before the accident, functioning between 107 and 117 IQ points, and found that she dropped 30 to 40 points to an IQ of 77 points when tested using the GAMA, a timed non-verbal test involving abstract geometric designs. However, the defendants suggest that test should not be administered to individuals experiencing handicaps or difficulty in their dominant writing hand, because it is a timed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Sbordone, however, was aware of the plaintiff's physical problems but he stated that in this particular case, the test only required her to make small marks, and therefore the effect of any difficulties in her dominant hand would be negligible.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Sbordone's estimate of the plaintiff's premorbid IQ was not based solely on the plaintiff's self-reporting, as suggested by the defendants, but was in fact based on her educational attainment; that is, people who attend college usually have IQs above 100 points. Dr. Davis, called on behalf of the defendants, was also of the view that the plaintiff was of at least average intelligence, which he put between 100 and 120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the TONI test, an untimed test of non-verbal intelligence, the plaintiff was measured post-accident with an IQ of 87 points. This, the defendants say, is "a few points below the average range". I accept the evidence of Dr. Sbordone that the plaintiff's IQ before the accident was higher than 100 points, and that would mean that after the accident, there has been at least a 13 point drop in her IQ or as much as 43 point drop (120 - 77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defendants also say that Dr. Sbordone failed to consider matrimonial strife, cultural factors, travel fatigue, pain, and anxiety, as factors that might explain the plaintiff's neuropsychological test results. It is clear from the evidence of Dr. Sbordone, however, that he did not rely on any one test to reach his conclusions and that he was aware of all the factors raised by the defendants and took them into account when reaching his conclusions. He stated that it was a combination of the interview and presentation of the patient, the neuropsychological testing, the validity testing, medical records and collateral information that established his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are of the view that Dr. Sbordone failed to consider various stressors in the plaintiff's life, including her husband's drug and alcoholic problems, their matrimonial difficulties, and her depression. Dr. Sbordone agreed with the proposition that stressors including death or loss of family members, marital difficulties and sexual problems cause psychological symptoms which can mimic brain injury or post-traumatic stress disorder. However, he explained that he took those stressors into account. The tests given were designed to minimize the effects of those stressors or deleterious effects of other functions.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when you put the data together in terms of tests that require motor functions, non-motor functions, test[s] that are relatively independent of the factors that you've been discussing that I state in my book, we see a similar pattern of behaviour and dysfunction which is consistent with what her husband is telling me. Something I would have expected given the medical records. Something I can't simply say is the result of a spinal cord injury, the result of depression, the result of medication. I mean, you know, as I said I've seen about 8,000 of these people for the past 27 years and I've gotten, I think, pretty good at distinguishing what is causing what. This is not the result of these extraneous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defendants also suggest that Dr. Sbordone failed to take into consideration the plaintiff's cultural background in reaching his opinion, but a review of the transcript clearly shows that Dr. Sbordone did take into consideration the plaintiff's cultural background. That is why, as he said, he tends to give non-verbal tests that are not going to be influenced by culture and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assert that Dr. Sbordone failed to conduct a smell test which was suggested by his own textbook. Dr. Sbordone, however, pointed out that the textbook was written in 1999, and that since then he has administered the smell test and has been dissatisfied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defendants are critical of Dr. Sbordone for dismissing the findings and qualifications of Dr. Carl Bishop from the G.F. Strong centre. Dr. Bishop's opinion, however, was not in evidence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respect to the reports from G.F. Strong Centre, some of which indicated that there "appears to be" normal cognitive functioning, Dr. Sbordone said that many people with orbitofrontal lobe injuries appear to be normal. The plaintiff did not appear normal to him,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 saw some evidence of tangential thinking which I've described in my observations. There was some word-finding difficulties. But then again, this is what I specialize in. These people are not specialists in traumatic brain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later: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worked in these facilities [such as G.F. Strong] and having consulted to a number of these facilities, unless you have a major and severe problem, they usually don't pick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That statement by Dr. Sbordone, I think, is an accurate assessment of what took place at G.F. Strong and that is not a criticism of that institution. It is, in my view, because of Dr. Sbordone's extensive training and experience and the forthright manner in which he gave his evidence, that I find him to be a credible witness and I give his report a great deal of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Kelly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Kelly is a neurologist specializing in the field of behavioral neurology. His practice is mainly devoted to traumatic brain injury and he has published extensively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Kelly examined the plaintiff on December 9, 2003 and in his report dated January 9, 2004, he summarized his opinions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Grewal sustained a traumatic brain injury on August 8, 1997 which was worsened by lack of oxygen and blood flow to the brain.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spinal cord injury is well-documented and better appreciated as to the deficits it produces in her gait, balance and bodily functions, including sexual functions.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ulnar nerve injury impairs the use of her right hand.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neurological injuries can be considered permanent with no expected improvement from this point forward.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these neurological deficits, Ms. Grewal is not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Kelly also performed a mini-mental state exam (MMSE) and the plaintiff received a score of 26/30. The defendants say that with that score, the plaintiff is within the normal cognitive functioning range. However, that is not the proper characterization of Dr. Kelly's evidence. He said that a score of 24 would be of significance in the sense of dementia and below that you would look at Alzheimer's disease. When it was suggested to Dr. Kelly that a score of 24 and above is considered "normal", his answer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Yes. Well, normal meaning not demented. Normal means a wide range of ability, but 23 or below would be generally accepted by clinicians as early dementia.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defendants' position is that Dr. Kelly based his opinion primarily on screening tests that he performed and the neuropsychological test of Dr. Sbordone, which they submit must be viewed with a great deal of caution. However, it is clear from Dr. Kelly's notes that he took into account the MRI scan of July 26, 2002, which he stated "reveals an area of shearing injury to the right frontal lobe which is characteristic in appearance and location for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was impressed with Dr. Kelly and found that his report should be given a great deal of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Elliott is a specialist in sexual medicine at Shaughnessy Hospital. In her report dated December 21, 2003,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 has directly affected her peripheral sensory nerves to the pelvis from the pelvic fracture, and likely the autonomic nerves stemming from the spinal cord injury. Her brain injury also likely contributes to these sexual changes. The type of injury in the spinal cord has also affected, but not totally destroyed, the tracts for genital orgasm (lateral spinothalamic and corticospinal tracts) due to the Brown-Sequard type nature of the injury. Furthermore, the accident has indirectly affected her sexuality through bladder and bowel fears and distress, chronic and irritating pain (that limits her daily living as well as sexual activity), fatigue, depression, loss of self and sexual confidence and relationship stress. The only sexual area that hasn't been affected is her fertility.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Elliott's evidence was not challenged by the defendants and I accept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Blasberg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Blasberg is a qualified dentist and certified specialist in oral medicine. He examined the plaintiff on November 10, 2003 and reviewed Dr. Anton's report of July 2003. Dr. Blasberg's report of December 23, 2003, dealt with Ms. Grewal's temporomandibular joint problems. In his report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clinical findings are consistent with soft tissue injury characterized as myalgia (muscle pain) and arthralgia (joint pain)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Myalgia and arthralgia are usually treated with non-surgical methods including self care to reduce unnecessary jaw strain, jaw exercises, physiotherapy and oral appliance (occlusal splint) therapy. Behavioral therapies and medications are also 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temporomandibular disorder described above is consistent with a soft tissue injury occurring after the motor vehicle accident of August 8,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defendants do not cast doubt on Dr. Blasberg's opinion, and I accept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Davis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Davis is a psychiatrist and was granted a post-graduate degree in psychiatry and neurology in 1972. Dr. Davis diagnosed Ms. Grewal as having a major depressive disorder. However, I give very little weight to Dr. Davis'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Davis would not admit to the possibility of any other diagnosis and in particular, to that of traumatic brain injury, despite being shown credible evidence contrary to his diagnosis. He acknowledges that a proper neuropsychiatric assessment should include interviews with collateral witnesses, but he did not do so, nor did he make any attempt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Prior to giving evidence, Dr. Davis was aware that there was an MRI and that it was positive for a lesion. He acknowledged that the MRI would be helpful to his opinion, but made no effort to review it before testifying. He was asked why he would not ask to see the results of the MRI and his answer was, "Because I've already given my opinion." When asked if he had an ongoing obligation to the Court to ensure that his opinion was medically sound and justified and was honest and straightforward, 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I have, but I'm not the treating physician, I'm the assessing physician. I'm not the treating physician. If I were the treating physician, there's a difference. There's a difference between the treating physician and the assessing. I assessed and today in court I stick to what I said based on the criteria and collateral information I obtained from her medical attendance.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Throughout the cross-examination of Dr. Davis, he was argumentative and refused to consider material facts which might detract from his opinion. This is not the proper role of an expert, who must provide an unbiased opinion and consider material facts which are put to him or her: Perricone v. Baldassarra </w:t>
      </w:r>
      <w:hyperlink r:id="rId435" w:history="1">
        <w:r>
          <w:rPr>
            <w:rFonts w:ascii="arial" w:eastAsia="arial" w:hAnsi="arial" w:cs="arial"/>
            <w:i/>
            <w:color w:val="0077CC"/>
            <w:sz w:val="20"/>
            <w:u w:val="single"/>
            <w:shd w:val="clear" w:color="auto" w:fill="FFFFFF"/>
            <w:lang w:val="en-US" w:eastAsia="en-US" w:bidi="ar-SA"/>
          </w:rPr>
          <w:t>(1994), 7 M.V.R. (3d) 91</w:t>
        </w:r>
      </w:hyperlink>
      <w:r>
        <w:rPr>
          <w:rFonts w:ascii="arial" w:eastAsia="arial" w:hAnsi="arial" w:cs="arial"/>
          <w:color w:val="000000"/>
          <w:sz w:val="20"/>
          <w:lang w:val="en-US" w:eastAsia="en-US" w:bidi="ar-SA"/>
        </w:rPr>
        <w:t xml:space="preserve">, </w:t>
      </w:r>
      <w:hyperlink r:id="rId435" w:history="1">
        <w:r>
          <w:rPr>
            <w:rFonts w:ascii="arial" w:eastAsia="arial" w:hAnsi="arial" w:cs="arial"/>
            <w:i/>
            <w:color w:val="0077CC"/>
            <w:sz w:val="20"/>
            <w:u w:val="single"/>
            <w:shd w:val="clear" w:color="auto" w:fill="FFFFFF"/>
            <w:lang w:val="en-US" w:eastAsia="en-US" w:bidi="ar-SA"/>
          </w:rPr>
          <w:t>[1994] O.J. No. 2199</w:t>
        </w:r>
      </w:hyperlink>
      <w:r>
        <w:rPr>
          <w:rFonts w:ascii="arial" w:eastAsia="arial" w:hAnsi="arial" w:cs="arial"/>
          <w:color w:val="000000"/>
          <w:sz w:val="20"/>
          <w:lang w:val="en-US" w:eastAsia="en-US" w:bidi="ar-SA"/>
        </w:rPr>
        <w:t xml:space="preserve"> (Gen. Div.). I am satisfied that Dr. Davis was an advocate for the defence and his opinion should be given very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Holden is a psychiatrist who has practiced in this field since 1984. He was retained by the disability insurer from the plaintiff's employer to assess if the plaintiff qualified for ongoing disability benefits. His report is dated May 20,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 concluded that Ms. Grewal suffered from moderately severe depression, complicating the physical consequences of the motor vehicle accident. He found that she was disabled from working as an Import Comptroller at that time on the basis of the depressive component, as compared to the residual physical problems. He opined that her depression would be treatable with specific psychotropic intervention, which should lead to significant improvements within three to six months. He recommended that she should remain involved with active physiotherapy and a counsellor able to provide support in dealing with the chronic pain syndrome and concrete issues relating to ongoing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trial, Dr. Holden gave evidence that it is extremely common for depression to result from either a traumatic brain injury or spinal cord injury at some point in time after the traumatic event. Furthermore, the combination of spinal cord injury and traumatic brain injury may cause a person to become more depressed than if he or she just had one or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Holden was also of the view that the effects of brain injury may be subtle and may only become apparent when the patient operates in the real world, and therefore may be missed in the structured setting of a psychiatric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Holden opined that there is no relationship between the severity of the brain injury and the development of depression and that there is a risk of depression remaining elevated for decades following a traumatic brain injury. He said that following a traumatic brain injury, family and friends report that personality change is the most significant problem, whether they are asked 1, 5 or 15 years post-injury. He also opined that when depression arises from traumatic brain injury, there is usually a delayed onset and by that time it is difficult for the clinician to be sure of the causes of that depression. The combination of depression and ongoing disability creates a cycle that may lead to further deterioration in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found Dr. Holden to be a credible witness. However, he frankly admitted that he did not have a complete history, neurological assessment, results of the MRI scan, neuropsychological information, or collateral information, which he would have incorporated into his opinion. Further, the purpose of his evaluation was limited to the assessment of whether the plaintiff qualified for ongoing disability benefits. The following question was put to him concerning the cause of the plaintiff's apparent depression: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you don't really care from your perspective -- and I don't mean this in a bad way -- but from your perspective whether it's caused by -- whether the depression is caused by a traumatic event or whether a traumatic event causes depression, all you care about is is there a valid reason, medical reason for her not being able to go back to work at the time you see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my view, the critical issue is to differentiate between depression caused by brain damage and reactive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Holden was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if someone has a problem with mood, emotions, following a traumatic brain injury, how are you able to determine whether it's directly related to damage to the temporal lobe area or to reactive -- to the lifestyle that's changed? How do you know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It's a hugely difficult issue. The correct, in quotes, answer would be that if there was -- if the emotional instability that you are seeing was due to the damage to the temporal lobes, there should be other factors as well to indicate that there has been more global brain damage. In other words, it would be most unlikely, almost impossible, unless it were a very tiny penetrating injury, to damage the frontal lobes due to this mechanism without having some signs elsewhere.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other answer -- another important factor would be the time frame. If you are postulating that the depression and emotional instability has followed damage to the temporal lobes, then it should come on a lot quicker than it would be if it was a reactive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Holden goes on to point out that there is often a delay in the onset of depression after a traumatic brain injury that makes the connection between the two harder to detect. It was put to him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altered life circumstances following brain injury can be a necessary cause for inducing depression following traumatic brain injury, they are rarely if ever a fully sufficient cause, and the brain trauma itself plays a primary role in the induction of the depression. Do you agree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I agree except that I think the author should have used the word "precipitating" as opposed to "necessary"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was also suggested to Dr. Holden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Numerous studies have attempted to determine predictors for those who might develop depression following traumatic brain injury. It appears that a combination of neuroatomic, neurochemical and psychosocial factors is responsible for the onset and maintenance of depression following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agree with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appears from all the reliable evidence that the depressive symptoms suffered by the plaintiff arose many months after the accident and are the natural consequences of the significant physical, cognitive, and emotional behavioral changes in the plaintiff as a result of her brain injury and spinal cord injury. I am not persuaded by Dr. Holden's report that the plaintiff did not sustain a brain injury and that she is primarily suffering from a major depressive disorder reactive to the loss of her friends and her matrimonial situation. Rather, I am satisfied that the depression is primarily caused by the brain injury. In terms of treatment, the plaintiff has seen counsellors and has been on anti-depressant medication but at this late date, those efforts have not been able to resolve her present difficulties. With time and more intensive psychiatric treatment, she will most likely improve, but the extent to which she will improve is difficult to project because of her complex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Cheesman and Gary Worthington-White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Both Mr. Cheesman and Mr. Worthington-White are occupational therapists who preformed functional capacity assessments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Cheesman prepared a work capacity assessment in 2001, on behalf of the plaintiff's employer's disability insurer. He found that she was able to balance on level ground; was able to perform repetitious reaches with her arms; was able to move out of kneeling or stooped positions in conjunction with handling tasks; and that she was generally able to work in positions requiring sustained sitting or standing. He opined that she could perform fine dexterity tasks, although far below industry standards. He had worked at G.F. Strong, and was of the view that moderate to severe brain injuries would be quite apparent to most therapists practicing at G.F. Strong, but that they may miss some of the mild brain injuries. His report itself makes it clear that any evaluation of the plaintiff's cognitive abilities was beyond his expertise. Further, he admitted that physical capacity assessments have inherent limitations because of their structured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Worthington-White was retained by the defendants and his report is dated December 29, 2003. He confirmed many of Mr. Cheesman's findings and also opined that the plaintiff can perform some fine dexterity tasks. He also acknowledged that his assessment was done in an artificial structure that did not necessarily approximate real world work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respect to the lay witnesses, Brian Powell, a former employer of the plaintiff, did not notice any cognitive problems on behalf of the plaintiff. Mr. Powell, however, saw the plaintiff in the hospital for about half hour and one occasion at home. He did not see any change. However, I do not place a great deal of weight on his evidence on this point, as he had a limited opportunity to observe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defendant Ms. Brar found that the plaintiff seemed to be her usual self after a lengthy telephone conversation. I do not place a great deal of weight on the defendant's evidence on this point. I found that she was very bitter towards the plaintiff. She felt that everyone was against her because of the accident and she did not wish to live in the city any longer and consequently she got married and left for the United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prefer the evidence of the other lay witnesses, including Pravindra Sidhu, Debbie Gill, and Harkmal Samra, as to the plaintiff's personality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it is clear that the plaintiff has suffered a brain injury as a result of the accident. The exercise of attempting to characterize the plaintiff's brain injury as being mild, moderate or severe is not in the final analysis very helpful to the Court's task. Rather, in this case, it is the plaintiff's functional limitations resulting from the brain injury that I find to be most telling.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am satisfied that the plaintiff is significantly handicapped because of the brain injury and more particularly because of the significant drop in her intellectual functioning and the cognitive problems that have had such a detrimental impact on her life, including lack of concentration, forgetfulness, and an inability to follow through on tasks. She has lost her sense of smell. She has undergone a dramatic personality change, as well as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find that the prognosis for the plaintiff's brain injury is poor. She is unlikely to make any significant further recovery insofar as the brain injury affects her general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SPINAL CORD INJURY AND GENERAL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 led much evidence regarding how her spinal cord injury has severely affected her ability to do many activities of daily living. The defendants contest that evidence and suggest that her claims are exaggerated and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plaintiff's major expert on the spinal cord injury is Dr. Anton. In his initial report of December 21, 1999, Dr. Anton characterized the spinal injury as incomplete quadriparesis and noted that the worst problem at that time was neck pain. This pain was exacerbated by stress and spending time thinking about her situation. She also had back pain that was related to the neck pain; headaches and migraines; pain in the right arm involving the elbow and forearm that spread down as far as her middle and outer fingers; and pain over the graft site in the iliac area. She told Dr. Anton that the strength and sensation in her right hand were not normal, such that she found it difficult to write, to perform fine movements, or to use a computer. She also reported diminished sensation in the region of her left chest, shoulder and arm; hypersensitivity in her feet; difficulty sleeping; disturbing dreams; depression; irritability; and a loss of her sense of smell. She told Dr. Anton that she could perform most of her activities of daily living, but that she still needed help with shaving and washing her hair because of weakness and the decreased sensation in her arms and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Dr. Anton's final report of July 21, 2003, he noted that the plaintiff was pregnant at the time, and told him that her neck and back pain had grown worse during the pregnancy. The most severe pain was in the lumbosacral area. The back pain was exacerbated by sitting, standing, riding a bike, or walking. Dr. Anton noted that the plaintiff told him that the neck pain had not improved over the years and was worse when she was tired or stressed. She also reported some pain in the legs, cramps, and spasms in both legs. She still had discomfort or numbness in her right arm, although she felt that the strength of the arm had improved. She also reported decreased sensation in the left arm, and continued to experience headaches. When Dr. Anton questioned her on her bowel movements, she said that she had a sense of urgency before bladder and bowel movements and occasional episodes of incontinence. Her attention span was still a problem, and she had difficulty doing one thing simultaneously or multi-tasking, and her problems with memory had not improved. She continued to have sensation hypersensitivity in her feet. She was taking Paxil for depression but had discontinued it at the onset of the pregnancy. Her sleep was poor and she fatigued easily. She had problems with her balance and dizziness, and her leg would sometimes "give out". She told Dr. Anton that she was independent in activities of daily living, other than fine motor tasks such as manipulating buttons, writing, and grooming or blow-drying her hair. She was able to walk without ambulatory aids, but could not walk at a rapid pace, was not able to run, and required the use of a handrail when using stairs. She told Dr. Anton that although she drove an automobile, she was anxious and tried to avoid long distances. She said she was seeing a physiotherapist and a massage therapist and also, Lori Reed, a counsellor, on a monthly basis. She said she was receiving assistance with heavy cleaning, meal preparation, and 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addition to noting these subjective complaints, Dr. Anton conducted a thorough examination of the plaintiff. With respect to the spinal cord injury,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earlier report I discussed the nature and expected consequences of Ms. Grewal's spinal cord injury. Ms. Grewal has since then had some further recovery in motor function in the right arm, but that probably mainly reflects more recovery from her right ulnar nerve injury rather than from her spinal cord injury. In any case, the gains have been small. She has reached the point where I do not expect she will have any additional improvement in either motor or sensory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concluded that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continues to experience multiple impairments and associated disability arising from the direct and indirect effects of the injuries she suffered in the motor vehicle accident of August 8, 1997. She may improve but will be left with permanent disability severe enough that she will not be competitively employable and will need assistance with childcare.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give Dr. Anton's evidence a great deal of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Piper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Piper, an orthopaedic surgeon called on behalf of the defendants, concluded in his report dated November 26,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question whatsoever that she had a very severe cervical spine injury as a result of the motor vehicle accident in which she was involved in August of 1997. ... She has recovered a significant amount of neurological function, however, remains very significantly handicapped.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happily does manage to function reasonably well. Nonetheless, she is left with a significant disability which is permanent. She probably ultimately would become capable of working in a sedentary role that would not involve significant physical activity. The limit of movement in the cervical spine is, of course, permanent. She should be encouraged to continue to be as physically active as possible. The fact that she has regained as much function as she has and has returned to her family activities, is a testament to her treating physicians and her own efforts at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Piper also found that the plaintiff did not attempt to mislead him or to exaggerate her complaints. He was of the view that the present neurological dysfunction related to her right ulnar nerve is permanent, despite surgical treatment of the right ulnar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respect to his opinion that the plaintiff could return to sedentary employment, Dr. Piper was not considering competitive employment, but rather a sympathetic employment situation that would not involve significant physical activity. He also did not take into consideration any cognitive, emotional or behavioral problems that the plaintiff had arising out of the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noted earlier, the discharge report from G. F. Strong indicated that the plaintiff could look after herself except for problems with lack of strength in her right hand and assistance required for bathing and hair-washing. The report indicated that with aids such as button hooks, she was able to dress herself, and she could ascend and descend stairs, provided there was a railing (descending stairs required the use of a handrail).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mother-in-law, Balwant Grewal, said that for the first few months after the plaintiff's discharge from hospital, two people were required to assist the plaintiff in going to the bathroom, and that it was four or five months before she only needed one person to assist her. Balwant Grewal also said that she used to feed the plaintiff and that the plaintiff was a safety concern; for instance, one morning she turned on the stove and then forgot that she had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plaintiff's evidence, however, was that she progressed much more quickly than described by her mother-in-law. She said she was able to go to the bathroom without any assistance by six months after she was discharged from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With regard to the functional ability of her right hand, the plaintiff says she has difficulty using scissors, she cannot clip her toenails, and she has difficulty picking up things such as coins with her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the functional evaluation he performed, Mr. Cheesman found that the plaintiff could not competently perform bilateral fine dexterity tests up to industrial standards. She could carry a ten-pound crate a distance of seven metres, which would be equivalent to carrying groceries to the car. In respect to pushing a cart, she could generate five pounds of force, which Mr. Cheesman indicates is not very strong. Mr. Cheesman was of the view that the plaintiff's desire to complete her degree in business administration is an appropriate career focus and states that "her functional abilities will only allow her to perform sedentary office-type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Both Mr. Cheesman and Mr. Worthington-White talked to the plaintiff in the days following their assessments and it was clear that she was drained of energy and had difficulties getting out of bed the day after the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Both Mr. Cheesman and Mr. Worthington-White were credible witnesses but I found that their findings should be looked upon with some caution as they have the same limitations as I find in the G.F. Strong assessment, in that the assessments were done in controlled institutional settings which are not necessarily reliable indications of what a patient's performance would be in the real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After a consideration of all the evidence, I find that the plaintiff suffered a spinal cord injury caused by the accident, which has severely limited her functional ability, particularly in the ways set out by Dr. 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will not repeat the evidence of behavioral and emotional changes that has already been dealt with in Dr. Sbordone's report and relayed to the Court by the plaintiff's friends and family members. Her physical limitations, again, have been summarized in Dr. Anton's report. The injuries suffered in the motor vehicle accident have in my view stabilized; the limited recovery has been in part because of the surgeries she has undergone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am satisfied that daily living for the plaintiff poses great difficulty, that she is in constant pain, and that her disabilities will increase with age. The devastating effect of the combined injuries has affected every aspect of the plaintiff's life. She now has limited pleasure in life; she has difficulties looking after her children; and her physical condition limits what she can do outside the home. She can no longer participate in sports and enjoy the active lifestyle that was so much a part of her life before the accident. She has lost her former sparkling personality and is now a sad and withdrawn individual who angers easily and gets into arguments with her family. These injuries would be devastating for anyone, but they are especially so for the plaintiff, who was formerly a bright, energetic, happy, caring individual with a promising future, not only in terms of employment but in her ability to partake in a reasonably high level of physical and social activity. The multitudinous injuries suffered by the plaintiff have had a profound effect on her and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issue is: are these injuries categorized as devastating or catastrophic in their effects on the plaintiff's life and loss of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Spehar (Guardian ad litem of) v. Beazley, </w:t>
      </w:r>
      <w:hyperlink r:id="rId436"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[2002] B.C.J. No. 1718</w:t>
        </w:r>
      </w:hyperlink>
      <w:r>
        <w:rPr>
          <w:rFonts w:ascii="arial" w:eastAsia="arial" w:hAnsi="arial" w:cs="arial"/>
          <w:color w:val="000000"/>
          <w:sz w:val="20"/>
          <w:lang w:val="en-US" w:eastAsia="en-US" w:bidi="ar-SA"/>
        </w:rPr>
        <w:t xml:space="preserve">, aff'd </w:t>
      </w:r>
      <w:hyperlink r:id="rId437"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[2004] B.C.J. No. 1044</w:t>
        </w:r>
      </w:hyperlink>
      <w:r>
        <w:rPr>
          <w:rFonts w:ascii="arial" w:eastAsia="arial" w:hAnsi="arial" w:cs="arial"/>
          <w:color w:val="000000"/>
          <w:sz w:val="20"/>
          <w:lang w:val="en-US" w:eastAsia="en-US" w:bidi="ar-SA"/>
        </w:rPr>
        <w:t>, the plaintiff sustained severe brain injury but did not sustain any significant physical injuries. The trial judge awarded the maximum non-pecuniary damages. In affirming the award, the Court of Appeal said at [paragraph] 14-15: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took no time thereafter in adopting the submissions made on behalf of Ms. Spehar that her injuries "should attract the upper limit of non-pecuniary damages" of $280,000. The trial judge referred to Lindal v. Lindal, </w:t>
      </w:r>
      <w:hyperlink r:id="rId2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129 D.L.R. (3d) 263</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34 B.C.L.R. 273</w:t>
        </w:r>
      </w:hyperlink>
      <w:r>
        <w:rPr>
          <w:rFonts w:ascii="arial" w:eastAsia="arial" w:hAnsi="arial" w:cs="arial"/>
          <w:color w:val="000000"/>
          <w:sz w:val="20"/>
          <w:lang w:val="en-US" w:eastAsia="en-US" w:bidi="ar-SA"/>
        </w:rPr>
        <w:t xml:space="preserve"> wherein the court, in refining the reasoning in the "trilogy" (Andrews v. Grand and Toy Alberta Ltd., </w:t>
      </w:r>
      <w:hyperlink r:id="rId22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Thornton v. School District 57 (Prince George), </w:t>
      </w:r>
      <w:hyperlink r:id="rId217"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and Arnold v. Teno, </w:t>
      </w:r>
      <w:hyperlink r:id="rId323"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noted that the injuries suffered by the plaintiffs in the trilogy were not identical, but each received an award at the upper limit. The trial judge also noted this Court's comments in Blackstock v. Patterson </w:t>
      </w:r>
      <w:hyperlink r:id="rId438" w:history="1">
        <w:r>
          <w:rPr>
            <w:rFonts w:ascii="arial" w:eastAsia="arial" w:hAnsi="arial" w:cs="arial"/>
            <w:i/>
            <w:color w:val="0077CC"/>
            <w:sz w:val="20"/>
            <w:u w:val="single"/>
            <w:shd w:val="clear" w:color="auto" w:fill="FFFFFF"/>
            <w:lang w:val="en-US" w:eastAsia="en-US" w:bidi="ar-SA"/>
          </w:rPr>
          <w:t>(1982), 35 B.C.L.R. 231</w:t>
        </w:r>
      </w:hyperlink>
      <w:r>
        <w:rPr>
          <w:rFonts w:ascii="arial" w:eastAsia="arial" w:hAnsi="arial" w:cs="arial"/>
          <w:color w:val="000000"/>
          <w:sz w:val="20"/>
          <w:lang w:val="en-US" w:eastAsia="en-US" w:bidi="ar-SA"/>
        </w:rPr>
        <w:t xml:space="preserve"> at 237-38, </w:t>
      </w:r>
      <w:hyperlink r:id="rId438" w:history="1">
        <w:r>
          <w:rPr>
            <w:rFonts w:ascii="arial" w:eastAsia="arial" w:hAnsi="arial" w:cs="arial"/>
            <w:i/>
            <w:color w:val="0077CC"/>
            <w:sz w:val="20"/>
            <w:u w:val="single"/>
            <w:shd w:val="clear" w:color="auto" w:fill="FFFFFF"/>
            <w:lang w:val="en-US" w:eastAsia="en-US" w:bidi="ar-SA"/>
          </w:rPr>
          <w:t>[1982] 4 W.W.R. 519</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Once it was determined that the plaintiffs suffered severe personal injuries the court concluded as a matter of policy that the limit for non-pecuniary damages should be fixed at $100,000. This conclusion ... was based on the premise that in the case of all "severely injured plaintiffs", in order to avoid extravagant claims, an upper limit of $100,000 should be imposed. It follows, that even if the respondent's injuries could be said to be different from or not quite as severe as those suffered by the plaintiff in the trilogy cases, her injuries were found by the trial judge to be "devastating", and, therefore, fell within the $100,000 category fixed in Lindal and the trilogy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appellants draw a distinction between the injuries suffered by Ms. Spehar and the injuries suffered by the plaintiffs in the trilogy. They also cite cases in this jurisdiction wherein trial judges have awarded less than the judicial cap for extremely serious injuries. On the former, I point to the above quotation from Blackstock as an answer. On the latter, lesser awards in other cases do not dilute the principle enunciated in Blackstock.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Likewise, Smith J.A. for the Court of Appeal recently stated in Boyd v. Harris </w:t>
      </w:r>
      <w:hyperlink r:id="rId218" w:history="1">
        <w:r>
          <w:rPr>
            <w:rFonts w:ascii="arial" w:eastAsia="arial" w:hAnsi="arial" w:cs="arial"/>
            <w:i/>
            <w:color w:val="0077CC"/>
            <w:sz w:val="20"/>
            <w:u w:val="single"/>
            <w:shd w:val="clear" w:color="auto" w:fill="FFFFFF"/>
            <w:lang w:val="en-US" w:eastAsia="en-US" w:bidi="ar-SA"/>
          </w:rPr>
          <w:t>(2004), 24 B.C.L.R. (4th) 155</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xml:space="preserve"> at [paragraph]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it is improper to compare the injuries of a particular plaintiff to those of the plaintiffs in the 1978 trilogy for the purpose of making a comparative award ... As MacDonald J.A. explained, in Penso v. Solowan [</w:t>
      </w:r>
      <w:hyperlink r:id="rId439" w:history="1">
        <w:r>
          <w:rPr>
            <w:rFonts w:ascii="arial" w:eastAsia="arial" w:hAnsi="arial" w:cs="arial"/>
            <w:i/>
            <w:color w:val="0077CC"/>
            <w:sz w:val="20"/>
            <w:u w:val="single"/>
            <w:shd w:val="clear" w:color="auto" w:fill="FFFFFF"/>
            <w:lang w:val="en-US" w:eastAsia="en-US" w:bidi="ar-SA"/>
          </w:rPr>
          <w:t>(1982), 35 B.C.L.R. 250</w:t>
        </w:r>
      </w:hyperlink>
      <w:r>
        <w:rPr>
          <w:rFonts w:ascii="arial" w:eastAsia="arial" w:hAnsi="arial" w:cs="arial"/>
          <w:color w:val="000000"/>
          <w:sz w:val="20"/>
          <w:lang w:val="en-US" w:eastAsia="en-US" w:bidi="ar-SA"/>
        </w:rPr>
        <w:t xml:space="preserve"> (C.A.)], at 264, such a comparison is inconsistent with the functional approach to the assessment of non-pecuniary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because it does not give weight to the factor of the need of the particular plaintiff for solace.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Therefore, having considered the case law and all of the evidence, I am satisfied that the plaintiff's injuries are devastating and have had a catastrophic effect on her life. She is entitled to a non-pecuniary damage award at the upper limit, which at the current value is $294,000.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says that she would have continued to work for her employer at the time of the accident, P &amp; O Ports Canada, and that with benefits and overtime, her total past income loss is $401,257. The defendants say that her pre-trial income loss with non-wage benefits would be $192,049, according to the evidence of their economic expert, Mr. Hildebrand.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note that Mr. Hildebrand failed to take into account that non-wage benefits were 17%; he used a rate of 7% in his calculations. I accept that 17% is the appropriate level of non-wage benefits, based on the evidence of Trisha Kelly, the current human resources manager for P &amp; O Ports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At the time of the accident, the plaintiff was only five courses short of her degree in business administration. She had completed college; her marks varied, and she dropped some courses and failed others. During the plaintiff's seven-year post-secondary education, she had full-time employment as an office assistant between 1994 and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She started at an entry level part-time basis in November 1996 with Canadian Stevedoring, which later became P &amp; O Ports Canada, and at the time of the accident was approximately one month into her nine-month probationary term as an Import Coordinator. She was earning $2,438 per month, enjoyed her job and had long-term plans to remain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plaintiff's immediate supervisor, Brian Powell, was impressed with her skills and attitude and said she fit the criteria for permanent employment and that he would place her in the top 10% of employees he supervised. Over the years, he had supervised hundreds of people and at the time the plaintiff was at the company, he was supervising approximately 25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were at least two periods of time from the date of the accident to the date of trial that the company downsized and that seniority was a critical factor in rehiring. After the most recent layoffs, some employees were rehired where some areas were lacking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Regarding overtime, Ms. Kelly testified that employees in the plaintiff's position earn $5,000 - $10,000 annually in overtime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am satisfied that the plaintiff was well-motivated to be financially successful, and that she would have had excellent opportunities for promotion because she was so highly regarded by her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am satisfied that she would have continued working at the company and would not have opted to permanently leave her job in order to raise her children. However, the plaintiff was planning on having at least four children and in fact has had two children to the date of trial. Therefore, any past income loss must be adjusted for two maternity leaves, considering that she would still have employment benefits; that she may have had periods of unemployment during the two layoff periods in 1998 and 2003; and that the amount of overtime she worked may have decreased after having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Taking all those factors into account, I am satisfied that the award for the plaintiff's past wage loss should be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WAGE LOSS 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Drs. Anton, Sbordone and Kelly all agree that the plaintiff is not competitively employable. Dr. Piper, Mr. Worthington-White and Mr. Cheesman are of the view that the plaintiff can do some sedentary part-time work; however, their conclusions did not factor in any of the deficits that arise from the plaintiff's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prefer the evidence of Drs. Anton, Sbordone and Kelly and I am satisfied that the plaintiff will not be competitively employable and that any work she will be able to do will be on a volunteer-type basis. She is weak and still has problems walking and balancing. Her ability to competitively participate in any sedentary office-type work is effectively barred by her ongoing problems with manual dexterity and her limited ability to write and to type. In addition to her physical problems, the plaintiff suffers from a range of cognitive, emotional and behavioral deficits attributable to her brain injury. She has problems with short-term memory, concentration, and focus, and she is easily fatigued. These factors are all barriers to her competitive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am satisfied that the plaintiff was motivated not only to complete her post-secondary degree, but also to obtain a management position with her then employer. I am also satisfied that she had an excellent chance of being promoted to a management position if she had remained at what is now P &amp; O Ports Canada. According to Trisha Kelly, one or two entry-level management positions become available every year. If the plaintiff had been promoted to a management position, her salary would be at least $70,000 plus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Based on Mr. Hildebrand's analysis, the defendants say that the plaintiff's future wage loss with non-wage benefits would be $712,477. That calculation was based on female earning statistics. In contrast, the plaintiff's economic consultant, Mr. Carson, calculated loss of earning capacity based on the average earnings of a male with a bachelor's degree; he assumed that the plaintiff would have obtained a management position at the time of trial and would have been earning $80,000 annually, and calculated the present value of her loss at $1,768,240. I prefer the approach of Mr. Carson, analyzing the loss of earnings capacity based on the average earnings of a male with a bachelor's degree, because, in my view, to do otherwise perpetuates inequality between men and women. This was the approach followed in Terracciano (Guardian ad litem of) v. Etheridge, supra and Spehar (Guardian ad litem of) v. Beazley,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specific relevant positive contingencies include the fact that the plaintiff was motivated, young, ambitious and personable. She was also an attractive individual who was physically and socially well-adjusted.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One of the negative contingencies is the fact that Mr. Carson employed a workplace participation rate of 100% at the time of the accident for about ten years. In my view, that is not realistic in the plaintiff's case. I am satisfied that the plaintiff wanted to have four children and would no doubt have had those children, which would mean she would have been out of the workforce not only on maternity leave, but also to carry on her responsibilities as the parent with primary care of the children. It seems likely that she would have been out of the workforce for a period of time when the children were very young and perhaps during their teenage years. Also, I am satisfied that the plaintiff most likely would not have worked to age 65 as contemplated by Mr. Carson, and would most likely have taken early retirement because both she and her husband would have had reasonably good jobs. Furthermore, I am not satisfied that she would have necessarily obtained any high level of management position because of her duties as a mother and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My task, of course, is an assessment of damages, not a calculation. Even the present value figures for loss of future income are at best an educated guess. Considering all of the negative and positive contingencies, I assess the plaintiff's loss of future earning capacity at $950,000.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MARRIAGEABILITY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plaintiff puts forward a claim based on the economic consequences arising from the possibility that her marriage will fail due to the consequences of the accident. The plaintiff's economist, Mr. Carson, calculated the loss of marriageability at $222,400 if the marriage fails three years after trial. The defendants say that no award should be made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This type of award has been described by the Court of Appeal in Reekie v. Messervey </w:t>
      </w:r>
      <w:hyperlink r:id="rId440" w:history="1">
        <w:r>
          <w:rPr>
            <w:rFonts w:ascii="arial" w:eastAsia="arial" w:hAnsi="arial" w:cs="arial"/>
            <w:i/>
            <w:color w:val="0077CC"/>
            <w:sz w:val="20"/>
            <w:u w:val="single"/>
            <w:shd w:val="clear" w:color="auto" w:fill="FFFFFF"/>
            <w:lang w:val="en-US" w:eastAsia="en-US" w:bidi="ar-SA"/>
          </w:rPr>
          <w:t>(1989), 36 B.C.L.R. (2d) 316</w:t>
        </w:r>
      </w:hyperlink>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59 D.L.R. (4th) 481</w:t>
        </w:r>
      </w:hyperlink>
      <w:r>
        <w:rPr>
          <w:rFonts w:ascii="arial" w:eastAsia="arial" w:hAnsi="arial" w:cs="arial"/>
          <w:color w:val="000000"/>
          <w:sz w:val="20"/>
          <w:lang w:val="en-US" w:eastAsia="en-US" w:bidi="ar-SA"/>
        </w:rPr>
        <w:t xml:space="preserve"> (C.A.), varied on another point </w:t>
      </w:r>
      <w:hyperlink r:id="rId441" w:history="1">
        <w:r>
          <w:rPr>
            <w:rFonts w:ascii="arial" w:eastAsia="arial" w:hAnsi="arial" w:cs="arial"/>
            <w:i/>
            <w:color w:val="0077CC"/>
            <w:sz w:val="20"/>
            <w:u w:val="single"/>
            <w:shd w:val="clear" w:color="auto" w:fill="FFFFFF"/>
            <w:lang w:val="en-US" w:eastAsia="en-US" w:bidi="ar-SA"/>
          </w:rPr>
          <w:t>[1990] 1 S.C.R. 219</w:t>
        </w:r>
      </w:hyperlink>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43 B.C.L.R. (2d) 145</w:t>
        </w:r>
      </w:hyperlink>
      <w:r>
        <w:rPr>
          <w:rFonts w:ascii="arial" w:eastAsia="arial" w:hAnsi="arial" w:cs="arial"/>
          <w:color w:val="000000"/>
          <w:sz w:val="20"/>
          <w:lang w:val="en-US" w:eastAsia="en-US" w:bidi="ar-SA"/>
        </w:rPr>
        <w:t>, where Mr. Justice Lambert stated at 330-331: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aspect of the damage award was called "loss of opportunity to marry" by counsel and by the trial judge. But marriage itself is not the significant point. The significance lies in the loss of an opportunity to form a permanent interdependency relationship which may be expected to produce financial benefits in the form of shared family income. Such an interdependency might have been formed with a close friend of either sex or with a person with whom a plaintiff might have lived as husband and wife, but without any marriage having taken place. Permanent financial interdependency, not marriage, is the gist of the claim. For the sake of simplicity and consistency, I will now usually call this head of loss: "lost opportunity of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Lambert J.A. described the head of damages as including three different aspects: (1) loss of the benefit of increased income (especially for female plaintiffs who typically earn less than male partners); (2) loss of the benefit of shared expenses; and (3) loss of the benefit of shared homemaking.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The defendants' position is that this type of award is not available to persons who, at the time of the accident, were already involved in a marriage or inter-dependent relationship. They say the plaintiff has not cited any authority allowing such an award. The plaintiff does cite McKenzie v. Van-Kam Freightways Ltd., </w:t>
      </w:r>
      <w:hyperlink r:id="rId442" w:history="1">
        <w:r>
          <w:rPr>
            <w:rFonts w:ascii="arial" w:eastAsia="arial" w:hAnsi="arial" w:cs="arial"/>
            <w:i/>
            <w:color w:val="0077CC"/>
            <w:sz w:val="20"/>
            <w:u w:val="single"/>
            <w:shd w:val="clear" w:color="auto" w:fill="FFFFFF"/>
            <w:lang w:val="en-US" w:eastAsia="en-US" w:bidi="ar-SA"/>
          </w:rPr>
          <w:t>[1990] B.C.J. No. 868</w:t>
        </w:r>
      </w:hyperlink>
      <w:r>
        <w:rPr>
          <w:rFonts w:ascii="arial" w:eastAsia="arial" w:hAnsi="arial" w:cs="arial"/>
          <w:color w:val="000000"/>
          <w:sz w:val="20"/>
          <w:lang w:val="en-US" w:eastAsia="en-US" w:bidi="ar-SA"/>
        </w:rPr>
        <w:t xml:space="preserve"> (S.C.). There, an award for loss of marriageability was made where both the husband and wife, who were married before the motor vehicle accident, were involved in the same accident and both received moderately severe brain injuries. The defendants attempt to distinguish this case on the basis that the marriage breakdown was more certain because at the time of that trial, the parties had started divorce proceedings and were no longer cohabiting.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However, in my view, there does not seem to be any reason in principle that a claim should be limited in the manner suggested by the defendants. In Personal Injury Damages in Canada, 2nd ed. (Scarborough, Ont.: Thomson, 1996) at 338, regarding this head of damage, Cooper-Stephenson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claim has so far been considered only in cases where the plaintiff's injuries were such that she or he would likely not now enter a permanent interdependency relationship; but it also applies to situations where injuries cause the breakdown of such a relationship. It may now be the rare case where a court will hold a marital breakdown as a result of injuries to be a novus actus interveniens, and it is therefore necessary to consider the implications of lost interdependency in this situation. The claim can be conceptualized as one for "loss of support" of a nature familiar in fatal accident cases. If post-injury breakdown of an existing interdependence relationship is a result of the injuries, either as an event that has occurred prior to the trial or as a possibility in the future (i.e. if the injuries merely increase the probability of breakdown), the claim for loss of shared family income may become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All the witnesses called by the plaintiff have described the plaintiff's relationship with her husband as a marriage between two athletic, energetic young people who got along well, shared common interests, and had many friends. The only individual that suggests there were problems prior to the accident is the defendant Ms. Brar, on whose evidence I do not place much weight for the reasons already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relationship between the spouses has been strained because of the personality change in the plaintiff, and the spouses argue frequently. Further, the plaintiff's husband has developed a drinking problem, and he is also abusing drugs, including cocaine. The accident has caused a loss of sexuality for the plaintiff. Dhar Grewal testified that the plaintiff is nothing like the woman he married. There has been, in my view, a great strain that has been placed on this marriage. Both the plaintiff and Dhar expressed uncertainties as to whether the marriage will last.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am satisfied that the marriage up to the date of the accident was a reasonably good marriage, but today, the average length of marriages that we see in our courts is approximately 10 to 12 years. Further, I am not satisfied that Dhar Grewal's substance abuse problems are related solely or even predominantly to the impact of the plaintiff's accident, and those problems would have placed a strain on the marriage in any event. Consequently, there is a reasonably good possibility that the marriage may have failed in any event in the future and the impact of the accident may only hasten the onset of a separation or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If the marriage does fail, the plaintiff in my view would move back in with her parents, with whom she has a close relationship and with whom she has been living with part-time more or less since the time of the accident. Therefore, her costs would not increase as much as they might for a person who would live alone after marriage breakdown; she would not suffer such a significant loss of the benefit for shared expenses or of shared homemaking.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As to the loss of the benefit of a higher combined income, I expect (but do not find) that if the marriage fails, Dhar Grewal will be obligated to pay spousal support, as well as child support which will indirectly benefit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Because of her injuries, especially her cognitive deficits and emotional problems, it seems to me unlikely that the plaintiff would remarry in the future if her present marriage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Taking all those factors into account, I am satisfied that a modest award is appropriate, and I award the plaintiff $30,000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IN-TRUST AWARD: PAST AND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plaintiff puts forward an in-trust award for past and future care. For past care, the plaintiff claims care from the date of the accident to the beginning of trial, at a rate of $25 per hour for eight hours per day. This claim reflects efforts on the part of the plaintiff's extended family to help her with the activities of daily living, including: eating, going to the bathroom, walking, grooming, housekeeping, childcare, cooking, laundry, and driving to medical appointments. The plaintiff's mother and husband took time off work at various stages to assist the plaintiff, and members of the extended family remained heavily involved even when the plaintiff and her husband moved out on their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For future care, based on her expected life span of 51 years, the plaintiff assumes a cost of $20 per hour for four hours per day. The plaintiff's position is that even with the 15 hours per week of one-to-one rehabilitation care suggested by Ms. Landy (discussed later in these reasons), the family will still have to provide four hours of daily assistance, with respect to meal preparation, personal hygiene, and routine light housekeeping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defendants take the position that the only claim disclosed in the pleadings is on behalf of the plaintiff's mother and her husband, and the defendants say that the claimed amount is extravagant and lacks particularity. The plaintiff, however, in her opening, advanced an in-trust claim on behalf of all her family members, both for past care and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In-trust awards have been allowed where they were not specifically pleaded. Ha v. Fritzke </w:t>
      </w:r>
      <w:hyperlink r:id="rId443" w:history="1">
        <w:r>
          <w:rPr>
            <w:rFonts w:ascii="arial" w:eastAsia="arial" w:hAnsi="arial" w:cs="arial"/>
            <w:i/>
            <w:color w:val="0077CC"/>
            <w:sz w:val="20"/>
            <w:u w:val="single"/>
            <w:shd w:val="clear" w:color="auto" w:fill="FFFFFF"/>
            <w:lang w:val="en-US" w:eastAsia="en-US" w:bidi="ar-SA"/>
          </w:rPr>
          <w:t>(1999), 69 B.C.L.R. (3d) 326</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1999 BCCA 667</w:t>
        </w:r>
      </w:hyperlink>
      <w:r>
        <w:rPr>
          <w:rFonts w:ascii="arial" w:eastAsia="arial" w:hAnsi="arial" w:cs="arial"/>
          <w:color w:val="000000"/>
          <w:sz w:val="20"/>
          <w:lang w:val="en-US" w:eastAsia="en-US" w:bidi="ar-SA"/>
        </w:rPr>
        <w:t xml:space="preserve">, is a case with similar facts where the in-trust award was allowed. In Fischuk v. Wickert Estate, </w:t>
      </w:r>
      <w:hyperlink r:id="rId444" w:history="1">
        <w:r>
          <w:rPr>
            <w:rFonts w:ascii="arial" w:eastAsia="arial" w:hAnsi="arial" w:cs="arial"/>
            <w:i/>
            <w:color w:val="0077CC"/>
            <w:sz w:val="20"/>
            <w:u w:val="single"/>
            <w:shd w:val="clear" w:color="auto" w:fill="FFFFFF"/>
            <w:lang w:val="en-US" w:eastAsia="en-US" w:bidi="ar-SA"/>
          </w:rPr>
          <w:t>[1998] B.C.J. No. 2194</w:t>
        </w:r>
      </w:hyperlink>
      <w:r>
        <w:rPr>
          <w:rFonts w:ascii="arial" w:eastAsia="arial" w:hAnsi="arial" w:cs="arial"/>
          <w:color w:val="000000"/>
          <w:sz w:val="20"/>
          <w:lang w:val="en-US" w:eastAsia="en-US" w:bidi="ar-SA"/>
        </w:rPr>
        <w:t xml:space="preserve"> (S.C.), the in-trust award was not specifically pleaded but the Court considered it as a subset of special damages which were pleaded generally. I find that any deficiency in the pleadings is not a bar to recovery as the plaintiff argues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defendants argue that the amount of assistance required once the plaintiff left G.F. Strong was minimal. The G.F. Strong reports, I am satisfied, were overly optimistic and I have already dealt with the fact that I have given them somewhat less weight because they were developed in a structured institutionalized setting that did not reflect the real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 have considered the applicable law on in-trust awards, including as it is set out in Brennan v. Singh, </w:t>
      </w:r>
      <w:hyperlink r:id="rId411"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(S.C.) at [paragraph]94-95. I am satisfied that the plaintiff's mother, her mother-in-law, and her husband provided services that were necessary for her care; and that the type of care provided by those persons is over and above the normal duties flowing from natural affection in any family relationship. I take into account, however, that for periods of time immediately prior to the birth and after the birth of the plaintiff's children, both the plaintiff's mother and mother-in-law would have been involved in any event; certainly the plaintiff's mother-in-law to a great extent as she was living with the plaintiff and her husband. Having reviewed the case law and the evidence, I am satisfied that an in-trust award for past care is appropriate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Turning to quantum, although there is no direct evidence regarding the actual hours of assistance provided, I agree that eight hours per day would be a reasonable figure, considering all of the evidence. The cost of such assistance has not been dealt with directly, but in my view the suggested guideline of $25 per hour (based on Molly Maid rates) is rather excessive. I would think that the rate of $10 per hour be more in keeping with reality. According to plaintiff's counsel, that amounts to $161,840 for the 2023 days from the date of the accident to the date of trial. Considering the assistance the plaintiff would have received in any event with the birth of her children, and considering that not all of the care provided was strictly necessary because the plaintiff can do many tasks that her family provided because she was slow in performing many tasks, I therefore assess an in-trust award for past care at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respect to an in-trust award for future care, I make no such award as I am satisfied that the award for future cost of care, as I will discuss below, is adequate to cover the plaintiff's future care, and in my view, family members will not need to provide compensable future care beyond the normal duties flowing from natural family relations.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legal principles determining a plaintiff's entitlement to the cost of future care are set out by Madam Justice Koenigsberg at [paragraph]55 in the trial decision of Spehar,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Andrews v. Grand &amp; Toy Alberta Ltd., </w:t>
      </w:r>
      <w:hyperlink r:id="rId22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Dickson J. stated at p. 261: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Money can provide for proper care: this is the reason that I think the paramount concern of the courts when awarding damages for personal injuries should be to assure that there will be adequate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in Arnold v. Teno, </w:t>
      </w:r>
      <w:hyperlink r:id="rId323"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Spence J. stated at p. 320: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should be stressed that in such a case as the present . . . the prime purpose of the Court is to ensure that the terribly injured plaintiff should be adequately cared for during the rest of her life. That end having been attained, other elements of damage are of lesser importance.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emphasis on full compensation for future care is also recognized as being a response, in part, to the arbitrary limit placed on non-pecuniary damages. In his text, The Law of Damages (Loose-leaf ed), Professor Waddams states at page 3-63: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tenor of Dickson J.'s judgment in Andrews v Grand &amp; Toy makes it clear that the court will lean in favour of the plaintiff in judging the reasonableness of his claim. The court made it plain that the restraint imposed on damages for non-pecuniary losses was an added reason for insuring the adequacy of pecuniary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authorities support awards of compensation that will provide a reasonably high standard of future care for injured plaintiffs. In Andrews, Dickson J. commented on the subject of future care at paragraph 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Money is a barren substitute for health and personal happiness, but to the extent, within reason, that money can be used to sustain or improve the mental or physical health of the injured person it may properly form part of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Full compensation suggests a standard of care which allows the plaintiff, as far as possible, to enjoy a lifestyle like the one he or she would have enjoyed but for the injury. In Milina v. Bartsch, </w:t>
      </w:r>
      <w:hyperlink r:id="rId37"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(S.C.), McLachlin J. (as she was then) states at paragraph 170: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fundamental governing precept is restitutio in integrum. The injured person is to be restored to the position he would have been in had the accident not occurred, insofar as this can be done with money. This is the philosophical justification for damages for loss of earning capacity, cost of future care and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Recently, in Krangle (Guardian ad litem of) v. Brisco </w:t>
      </w:r>
      <w:hyperlink r:id="rId41" w:history="1">
        <w:r>
          <w:rPr>
            <w:rFonts w:ascii="arial" w:eastAsia="arial" w:hAnsi="arial" w:cs="arial"/>
            <w:i/>
            <w:color w:val="0077CC"/>
            <w:sz w:val="20"/>
            <w:u w:val="single"/>
            <w:shd w:val="clear" w:color="auto" w:fill="FFFFFF"/>
            <w:lang w:val="en-US" w:eastAsia="en-US" w:bidi="ar-SA"/>
          </w:rPr>
          <w:t>(2002), 208 D.L.R. (4th) 193</w:t>
        </w:r>
      </w:hyperlink>
      <w:r>
        <w:rPr>
          <w:rFonts w:ascii="arial" w:eastAsia="arial" w:hAnsi="arial" w:cs="arial"/>
          <w:color w:val="000000"/>
          <w:sz w:val="20"/>
          <w:lang w:val="en-US" w:eastAsia="en-US" w:bidi="ar-SA"/>
        </w:rPr>
        <w:t xml:space="preserve"> (S.C.C.), the Supreme Court of Canada re-affirmed the restituio in integrum theme as it relates to future care. At paras. 21-22, Madame Justice McLachlin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resulting award may be said to reflect the reasonable or normal expectations of what the injured person will require. J. Stapleton, "The Normal Expectancies Measure in Tort Damages" (1997), 113 L.Q.R. 257, thus suggests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The measure is objective, based on the evidence. This method produces a result fair to both the claimant and the defendant. The claimant receives damages for future losses, as best they can be ascertained.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McLachlin J. noted in Milina at para. 172: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primary emphasis in assessing damages for a serious injury is provision of adequate future care. The award for future care is based on what is reasonably necessary to promote the mental and physical health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McLachlin J. then went on to state what has become the frequently cited formulation of the "test" for future care awards at paras. 198-199: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As to the consideration of positive and negative contingencies under this head of damage, I find that there is no prospect that the plaintiff's condition will significantly improve, although rehabilitation should assist her in learning to cope with the activities of daily living. I have noted that the plaintiff's depression may improve with time but that the prognosis is complex and difficult to predict. The experts opined that some of her injuries may worsen with age. For instance, in his 2003 report, Dr. Anton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Ageing with spinal cord injury has been shown to be associated with some decline in function. That probably reflects the usual effects of ageing as well as specific problems that may be seen after spinal cord injury. It would likely take Ms. Grewal many years to experience such changes, but when she does, her need for support and care will likely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However, having considered the case law and the evidence, I decline to make any specific adjustment for positive or negative contingencies under this head. My calculations below have incorporated a negative contingency for decreased life expectancy (to 51 years of age), which in my view is a considerable allowance which absorbs not only the contingency of reduced life expectancy, but also more remote or less devastating contingencies. Further, in my opinion, any negative contingencies will be offset by positive contingencies that Ms. Grewal, with life aids and therapy, will be able to optimize her physical and behavioral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Ms. Landy is a rehabilitation nurse and certified life planner who assessed the plaintiff's future care needs and prepared a report dated November 24, 2003. She has completed an 18-month post-graduate course at the University of Florida in life care planning for advanced catastrophic case management. Ms. Landy reviewed a number of documents, including: the admission and discharge records from various hospitals including emergency care and the discharge summary from G.F. Strong, the reports of Dr. Anton and Dr. Sbordone, the work capacity evaluation of May 17, 2001, a memorandum provided by a rehabilitation counsellor to ICBC, and the clinical counselling reports of Lori Reed. She also provided a list of references she used in preparation of her report. In addition to reviewing the documentation, Ms. Landy assessed the plaintiff, held private consultations with the plaintiff's husband, and consulted with the professionals in question. In preparing her report, Ms. Landy assumed that the plaintiff's level of disability is permanent and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Worthington-White gave evidence for the defendants with respect to the cost of future care, but he acknowledges that Ms. Landy has specialized training in this field. The defendants argue that I should accept Mr. Worthington-White's evidence because his opinions conform to the recommendations made by G.F. Strong upon the plaintiff's release from the facility and also to the recommendations of Dr. Anton. They argue that Ms. Landy's report is extravagant, not based on medical evidence, and fails to provide the necessary factual foundations for many of her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was impressed with Ms. Landy's expertise and the even-handed manner in which she answered questions. She was present for a number of meetings at G.F. Strong and observed the plaintiff in that environment. She also attended the plaintiff's home and saw how the plaintiff managed on a daily basis in her home environment. Ms. Landy is in fact the only expert who has had an opportunity to compare the plaintiff's functioning at G.F. Strong with her functioning in the home environment which spans a period of over six years. Therefore, generally speaking, I prefer the report prepared by Ms. Landy.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making the net present value calculations in the various categories below, I found the report of the plaintiff's economic consultant, Mr. Carson, useful. However, the parties have liberty to speak to any totals which I may have inadvertently miscalculated.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One-to-One rehabilitation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Landy recommends that the plaintiff have a one-to-one rehabilitation worker for 15 hours a week. Dr. Sbordone confirms Ms. Landy's recommendation that the plaintiff have a one-to-one worker. He suggested that she first attend a six-month highly structured rehabilitation program. However, because of her young children, this was not practicable. Dr. Sbordone further indicated that even after such a program, the plaintiff would require ongoing assistance from qualified health care professionals to help her cope with her residual behavioral, cognitive and emotional problems. Dr. Anton deferred to the expertise of Dr. Sbordone in respect to his recommendations for further rehabilitation of the plaintiff's brain injury; and was of the view that there would be no further improvement in the spinal cord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cost of one-to-one rehabilitation depends on who is providing the service. A community therapist charges $35 an hour, a private community-based rehabilitation support worker charges $50 an hour. Both of those services require GST and travel time. An hourly rate of $69.50 plus GST is quoted for Waldee Community Services, which is inclusive of time and the associated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defendants argue that since there is no recommendation as to which of the three options is preferable, the least expensive should be chosen. They suggest a rate of $40 per hour. I agree with what was said in Williams (Guardian ad litem of) v. Low, </w:t>
      </w:r>
      <w:hyperlink r:id="rId445"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[2000] B.C.J. No. 408</w:t>
        </w:r>
      </w:hyperlink>
      <w:r>
        <w:rPr>
          <w:rFonts w:ascii="arial" w:eastAsia="arial" w:hAnsi="arial" w:cs="arial"/>
          <w:color w:val="000000"/>
          <w:sz w:val="20"/>
          <w:lang w:val="en-US" w:eastAsia="en-US" w:bidi="ar-SA"/>
        </w:rPr>
        <w:t xml:space="preserve"> (S.C.)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not an exercise in how to save money. This is an analysis of how best to compensate the plaintiff for her grievous injuries and her loss of quality of life that occurred through no fault of her own but, rather, because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This is not a discussion of retribution but, rather, one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Here, however, the quality of the service does not seem to be in dispute and that being the case, I am satisfied that the sum of $50 per hour is appropriate for a community therapist, which should include GST and travel. If travel is excessive, then the length of each session could be increased and the frequency of visits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defendants are of the view that 15 hours per week is excessive, and they refer to the evidence of Gene Wallace-Deering of Waldee Community Services, who provides a similar service for needy clients, and who testified that 15 hours per week is the highest number of hours provided to any of his clients. There is no evidence of what Mr. Deering is using as criteria for identifying those who require 15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am satisfied that 15 hours per week is the appropriate time required at the present value. I calculate that the present value of the costs of one-to-one care is $915,213.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Many of the activities of daily living have been taken over by the plaintiff's family, not because she cannot do many of these activities, but simply because her family members can do them much more quickly and efficiently. She has difficulties opening up cans, but there has been a recommendation for a specially-designed can opener or knife she could use, although it is time-consuming. Her mother gave evidence that the plaintiff dresses herself, but needs help with buttons and zippers. There is a button hook that was suggested by G.F. Strong but the plaintiff chose not to use it. The family helps her with her hair and earrings but I am satisfied that she can do most of that on her own, although it may be time-consuming.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Some of the items that she proposes to purchase are wall-mounted grab bars in the bath for $92 plus GST and PST. That expense is agreed to by the defendants and seems reasonable. A hydraulic lift would cost $2,465, but that does not appear to be required by the plaintiff as she is able to get in and out of the bath without assistance. The concern about her slipping in the bath can be remedied by a non-slip mat plus the assistance of the handrails. I accept a one-time purchase of grab bars for $106 including GST and PST.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It is agreed that an award should be made for the purchase and replacement of adaptive kitchen utensils to be $100 per year, which amounts to a present value of $2,347 according to my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Grooming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There is a claim for a podiatrist as the plaintiff is unable to care for her toenails. The evidence of Mr. Worthington-White, however, was that she can crouch and sit on low surfaces and reach her toes. She can also operate tweezers so she should be able to operate a toenail clipper. This was also confirmed by Mr. Cheesman. I am not satisfied that a podiatrist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There is a claim for a hairdresser for $25 plus GST on a weekly basis. I would think it would be more appropriate that that would be on a monthly basis for $30 including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am also satisfied that a pedicure four times a year would be appropriate for $30 per occasion, and a manicure four times a year for $30 per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At present value, I calculate a total award under this category as $14,080.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Pharmaceuticals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 also claims for certain pharmaceuticals. There does not seem to be any ongoing need for Paxil as she has been taken off of that medication. It is questionable whether she will require Tylenol 3 for the rest of her life. I am satisfied that she may need some pain management and I would set aside a lump sum of $2,000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Ms. Landy recommends physical conditioning or training for eight to ten sessions annually at $85 per hour. Dr. Anton was of the view that occasional short courses of physiotherapy would be required. I am satisfied those ten sessions per year at $85 per hour for three years is more appropriate, which at present value amounts to $2,421.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Child care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has until now been dependent on her mother, mother-in-law and husband to provide assistance in child care for her two young children. I find that because of the plaintiff's present cognitive, physical and emotional difficulties, she requires assistance with the children on a full-time basis. Ms. Landy recommends that she should have live-in child care assistance until the youngest child is age 12 at a rate of $1,300 to $1,400 per month, plus GST, plus a $750 initiation fee. That recommendation, however, fails to consider the fact that the children will be in school during the weekdays once they reach the age of six. The defendants suggest that after-school babysitting could be provided at $8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accept that the plaintiff should have a live-in caregiver until the youngest child is six years old, at a rate of $1,400 per month, plus a one-time $750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It would appear to me that once the youngest child reaches the age of six and is in school, a full-time caregiver is not required, but that the plaintiff will require some assistance when the children return from school. Babysitting services, in my view, should be provided when the full-time caregiver is no longer retained until the youngest child reaches the age of 12, for three hours per school day, and for eight hours per day for half the summer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 calculate a total award under this category at present value of $122,800.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plaintiff is reluctant to drive over long distances and she also requires a vehicle with automatic transmission and a cell phone to summon someone in the event of a roadside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am satisfied that the cost of the automatic transmission is appropriate on a one-time basis for $1,000 plus GST and PST. I do not believe that a cell phone is an expense that arises out of this accident, but is a common item that would have been purchased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Rehabilitation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It is recommended that case management services be obtained to coordinate the plaintiff's rehabilitation plan. Ms. Landy suggests that the range of hourly rates varies from $85 to $100 per hour. She suggests funding in stages, at six hours per month for the first six months; four hours per month for the next six months; and two hours per month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accept that recommendation, at $85 per hour, for six hours monthly for the initial six months which; four hours monthly for the next six months; and ongoing thereafter for two hours monthly.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At present value, I calculate that amount to $52,886.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Interior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am satisfied that two hours per week at $15 per hour is appropriate. I also accept the recommendation for an additional eight hours annually for heavy seasonal cleaning, also at $15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That amounts to a total yearly outlay of $1,680, which I calculate at present value to be $39,425.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Educational consultant and tutorial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An educational consultant and tutorial support are recommended to assist the plaintiff in completing her five remaining elective courses. I am of the view that there is assistance available for individuals like the plaintiff that is provided by the provincial and federal governments, according to Mr. Worthington-White. I am satisfied, however, that she will require some educational assistance and it seems to me that the lump sum of $3,000 would be appropriate tutorial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Sexual dysfunction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There is no need to review again Dr. Elliott's report. The defendant does not take issue with the one-time cost of therapy of $2,200.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The parties have agreed that the plaintiff's additional expenses arising out of the injuries sustained in the motor vehicle accident that have not been paid due to Part 7 of the Regulations to the 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amount to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In summary, I find that the plaintiff has suffered the injuries claimed, as set out in [paragraph]3 of these reasons for judgment. I find that she has suffered a traumatic brain injury and spinal cord injury as a result of the accident, which have had significant physical, cognitive, behavioral, and emotional impacts on her and dramatically affected her general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plaintiff is entitled to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$294,000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wage loss or loss of future earning</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$950,000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marriageability</w:t>
            </w:r>
          </w:p>
        </w:tc>
        <w:tc>
          <w:tcPr>
            <w:tcW w:w="378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In-trust award: past care</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542"/>
        <w:gridCol w:w="324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In-trust award: future care</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914"/>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One-to-one rehabilitation worker</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$915,213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705"/>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Activities of daily living</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$2,347</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450"/>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Grooming</w:t>
            </w:r>
          </w:p>
        </w:tc>
        <w:tc>
          <w:tcPr>
            <w:tcW w:w="450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$14,080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973"/>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Pharmaceuticals</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$2,421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287"/>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Child care assistance</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$122,800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Transportation</w:t>
            </w:r>
          </w:p>
        </w:tc>
        <w:tc>
          <w:tcPr>
            <w:tcW w:w="409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914"/>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Rehabilitation case management</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$52,886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496"/>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Interior home maintenance</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$39,425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333"/>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Educational consultant and tutorial</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support</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705"/>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Sexual dysfunction therapy</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53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2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$2,847,522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defendants have not proved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will entertain submissions in writing as to costs, and the parties have leave to apply for any other further direction arising out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1"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Iannone v. Sidhu, [2019] B.C.J. No. 1264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M.L. Fleming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4-8,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M136696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1264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1128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Deja Marie Iannone, Plaintiff, and Jaswinder S. Sidhu, Gold Key Sales and Lease Ltd., and Toor Construction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2"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19"/>
      <w:bookmarkEnd w:id="143"/>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Motor vehicles — Rules of the road — Defendant found solely liable for accident — Plaintiff collided with defendant's vehicle as defendant was making a left had turn at an intersection — Plaintiff testified light was green when defendant suddenly made turn — Defendant testified he made turn after light turned red — Plaintiff's evidence was corroborated by photograph and independent witnesses — As the left-turning driver, defendant had obligation to yield to oncoming trafficking in the intersection — Plaintiff's evasive action in response to defendant's left-hand turn was not negligent and his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alone caused the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18"/>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motor vehicle accident. The plaintiff collided with the defendant's vehicle as the defendant was making a left had turn at an intersection. The plaintiff testified the light was green for her when the defendant's van suddenly turned when she was two car lengths from the intersection. Testifying there was no time to apply the brakes and avoid a collision, she turned the steering wheel as hard as she could to the right to avoid "T-boning" the van. The plaintiff denied speeding or accelerating to beat the light, running a red light, or that she avoided braking. The defendant testified that he made his turn after the light had turned red and described turning left slowly, increasing the van's speed from a stop. He did not see the plaintiff's truck before the impact.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5" w:name="Holdings of Court_17"/>
            <w:bookmarkEnd w:id="145"/>
            <w:r>
              <w:rPr>
                <w:rFonts w:ascii="arial" w:eastAsia="arial" w:hAnsi="arial" w:cs="arial"/>
                <w:color w:val="000000"/>
                <w:sz w:val="20"/>
                <w:lang w:val="en-US" w:eastAsia="en-US" w:bidi="ar-SA"/>
              </w:rPr>
              <w:t>HELD: The defendant was solely liable for the accident.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accepted the plaintiff's evidence that she did not accelerate as she got closer to the intersection and she did not brake. Her evidence that the traffic light was green when she passed under the overhead sign was uncontradicted and corroborated by a photograph which showed that the traffic light was visible from that location. The defendant's evidence that the light was red when he began to turn was inconsistent not only with the plaintiff's evidence but also with that of the independent witnesses. Also inconsistent with the evidence of a red light was the evidence regarding the speed of the defendant's left turn from a stopped position. Had the light been red or even a late yellow, it was likely that he would have proceeded more quickly than he and other witnesses said he did. As the left-turning driver, the defendant had an obligation to yield to oncoming traffic in the intersection. Given the findings that the defendant started the turn once the light turned yellow and the front of the plaintiff's truck was no more than two seconds from the intersection, the plaintiff's truck was so close to the intersection as to constitute an immediate hazard. Her evasive action in response to the defendant's left-hand turn was not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caused the collision.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Legislation Cited_15"/>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3"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53" w:history="1">
        <w:r>
          <w:rPr>
            <w:rFonts w:ascii="arial" w:eastAsia="arial" w:hAnsi="arial" w:cs="arial"/>
            <w:i/>
            <w:color w:val="0077CC"/>
            <w:sz w:val="20"/>
            <w:u w:val="single"/>
            <w:shd w:val="clear" w:color="auto" w:fill="FFFFFF"/>
            <w:lang w:val="en-US" w:eastAsia="en-US" w:bidi="ar-SA"/>
          </w:rPr>
          <w:t>R.S.B.C. 1996, c. 318, s. 125</w:t>
        </w:r>
      </w:hyperlink>
      <w:r>
        <w:rPr>
          <w:rFonts w:ascii="arial" w:eastAsia="arial" w:hAnsi="arial" w:cs="arial"/>
          <w:color w:val="000000"/>
          <w:sz w:val="20"/>
          <w:lang w:val="en-US" w:eastAsia="en-US" w:bidi="ar-SA"/>
        </w:rPr>
        <w:t>, s. 128(1), s. 144(1),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7" w:name="Counsel_19"/>
      <w:bookmarkEnd w:id="1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4"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V.L. Medved, R.K. Dewar, B.G. Souza (present on February 19, 2019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 Kushneryk.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19"/>
      <w:bookmarkEnd w:id="148"/>
      <w:r>
        <w:pict>
          <v:line id="_x0000_s1125"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 at Trial 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Liability</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M.L. FLEMING J. (orally)"/>
            <w:bookmarkEnd w:id="149"/>
            <w:r>
              <w:rPr>
                <w:rFonts w:ascii="arial" w:eastAsia="arial" w:hAnsi="arial" w:cs="arial"/>
                <w:b/>
                <w:color w:val="000000"/>
                <w:sz w:val="30"/>
                <w:lang w:val="en-US" w:eastAsia="en-US" w:bidi="ar-SA"/>
              </w:rPr>
              <w:t>M.L. FLEMING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event a transcript of these reasons is ordered I may very well edit them to clarify my meaning or further explain myself. The result and the core analysis however will not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arises from a motor vehicle accident that occurred on December 1, 2011, at the intersection of Fraser Highway and Bradner Road in Abbotsford,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decision deals only with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accident the plaintiff, Deja Iannone, was driving a black Ford F350 truck eastbound on Fraser Highway. The defendant, Jaswinder Sidhu, was turning left in a white GMC 350 cube van from the westbound left turning lane, intending to drive south on Bradner Road. The force of the collision between the two vehicles pushed the van into another stopped in the northbound lane on Bradner Road on the south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Iannone and Mr. Sidhu each assert the other is solely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includes the testimony of Ms. Iannone; her son, Landon Sigouin; Mr. Sidhu; his two passengers, Gurinder Bhangu and Harman Bachhal; Brad Freeman, the driver of a vehicle stopped behind Mr. Sidhu; John Miller, the driver of the vehicle hit by the van; and Harvey Mitchler, the driver of a vehicle stopped directly in front of Mr. Miller northbound on Bradner Road. Sergeant Nightingale of the Abbotsford Police Department and two private investigators who took photographs and measurements of the intersection and the eastbound approach along Fraser Highway also testified. Sergeant Nightingale attended the scene after the collision. His notes and an occurrence report are in evidence along with photographs depicting the damage to both vehicles, Google Earth photographs and photographs taken by the private investigators. Sergeant Nightingale testified to issuing a warning ticket to Mr. Sidhu at the scene for failing to yield. The parties essentially agree his conclusion about liability is not admissible for its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no evidence regarding the duration of the light sequences at the intersection. Nor is there any expert opinion evidence reconstructing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undisputed or objectively established facts include the following:</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intersection is controlled by traffic lights in all directions. In addition to marked stop lines east and west on Fraser Highway and north and south on Bradner Road, there are three crosswalks. Only the east side of Fraser Highway is without one. Westbound, Fraser Highway has a straight-through lane and a bike lane that may not have been present when the accident occurred, as well as the designated left turn lane. Eastbound, Fraser Highway also has a designated left-turn lane and one straight-through lane. Northbound on the south side of the intersection, Bradner Road has two lanes, one for right-turning vehicles and the other for those going straight through or turning left. On the southeast corner of the intersection is a school set back from the road.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posted speed limit along Fraser Highway east and west of the intersection is 80 kilometres per hour. Some distance east is a sign that reads "50 kilometres when children on highway." Closer to Bradner Road, eastbound, there is an overhead sign with two automated lights that warn drivers the traffic light at the intersection is about to change. The traffic light itself is visible from the location of the warning sign.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intersection is a busy one. The accident occurred on a weekday at approximately 8:00 a.m. during the morning rush hour. The weather was cold and clear. Visibility was good.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Ms. Iannone was driving Landon and her younger son, Jayden, to school. The truck is a large, heavy one-ton pickup. Landon was in the front seat. Jayden was seated directly behind him. She and the boys had been living with her then boyfriend Greg Hunt in Aldergrove for about one month. Landon was 11 and in grade 6 at Clayburn Middle School, and Jayden was nine and in grade 4 at Prince Charles Elementary, both located in Abbotsford. Ms. Iannone drove them each morning typically dropping Landon first. The route took them east along Fraser Highway through the intersection and beyond.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Sidhu was working for the defendant Toor Construction Ltd ("Toor") and was driving to a job site. The van belonged to Toor. Its cargo box had no windows. Mr. Bhangu and Mr. Bachhal were front "seat" passengers. Mr. Bhanguwas seated in the middle and Mr. Bachhal was next to the passenger door. None of them saw the truck before the collision occurred.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Sidhu entered the westbound left-turning lane on Fraser Highway and then stopped in the intersection waiting to turn left when the light was green. Directly behind the van in the left turning lane, as I have indicated, was Mr. Freeman. His view of eastbound traffic was entirely blocked by the van.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was red for northbound traffic on Bradner Road. Mr. Mitchell's vehicle was stopped first in line, directly in front of Mr. Miller.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to the truck and van included damage to the left front corner of the truck and damage to the passenger door of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turning to the disputed evidence, I will review the law regarding the duties of motorists generally and with respect to collisions involving left turning drivers and straight-through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common law motorists have an over-arching duty to exercise reasonable care, which includes an obligation to keep a proper lookout and exercise reasonable caution in response to apparent potential hazards: </w:t>
      </w:r>
      <w:r>
        <w:rPr>
          <w:rFonts w:ascii="arial" w:eastAsia="arial" w:hAnsi="arial" w:cs="arial"/>
          <w:i/>
          <w:color w:val="000000"/>
          <w:sz w:val="20"/>
          <w:lang w:val="en-US" w:eastAsia="en-US" w:bidi="ar-SA"/>
        </w:rPr>
        <w:t>Stewart v. Dueck</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2012 BCSC 1729</w:t>
        </w:r>
      </w:hyperlink>
      <w:r>
        <w:rPr>
          <w:rFonts w:ascii="arial" w:eastAsia="arial" w:hAnsi="arial" w:cs="arial"/>
          <w:color w:val="000000"/>
          <w:sz w:val="20"/>
          <w:lang w:val="en-US" w:eastAsia="en-US" w:bidi="ar-SA"/>
        </w:rPr>
        <w:t xml:space="preserve">. It is well settled, however, that a motorist is "entitled to assume, within reason, that the other users of the [road]" will obey the law or the rules of the road": </w:t>
      </w:r>
      <w:r>
        <w:rPr>
          <w:rFonts w:ascii="arial" w:eastAsia="arial" w:hAnsi="arial" w:cs="arial"/>
          <w:i/>
          <w:color w:val="000000"/>
          <w:sz w:val="20"/>
          <w:lang w:val="en-US" w:eastAsia="en-US" w:bidi="ar-SA"/>
        </w:rPr>
        <w:t>Dueck</w:t>
      </w:r>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Henry v. Bennett</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2011 BCSC 1254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following statutory duties of motorists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R.S.B.C. 1996, c. 318, ss. 125</w:t>
        </w:r>
      </w:hyperlink>
      <w:r>
        <w:rPr>
          <w:rFonts w:ascii="arial" w:eastAsia="arial" w:hAnsi="arial" w:cs="arial"/>
          <w:color w:val="000000"/>
          <w:sz w:val="20"/>
          <w:lang w:val="en-US" w:eastAsia="en-US" w:bidi="ar-SA"/>
        </w:rPr>
        <w:t>, 128(1), 144(1), and 174, are relevant to determining a breach of the standard of care in this case:</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b/>
          <w:color w:val="000000"/>
          <w:sz w:val="20"/>
          <w:lang w:val="en-US" w:eastAsia="en-US" w:bidi="ar-SA"/>
        </w:rPr>
        <w:t>Obeying traffic controls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125 Unless otherwise directed by a peace officer or a person authorized by a peace officer to direct traffic, every driver of a vehicle and every pedestrian must obey the instructions of an applicable traffic control device.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128 (1) When a yellow light alone is exhibited at an intersection by a traffic control signal, following the exhibition of a green light,</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facing the yellow light must not enter the roadway,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proceeding across the roadway and facing the yellow light exhibited after he or she entered the roadway</w:t>
      </w:r>
    </w:p>
    <w:p>
      <w:pPr>
        <w:numPr>
          <w:numId w:val="12"/>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proceed to the sidewalk as quickly as possible, and</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Careless driving prohibited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15"/>
        </w:numPr>
        <w:spacing w:before="120" w:line="260" w:lineRule="atLeast"/>
        <w:jc w:val="both"/>
        <w:rPr>
          <w:rFonts w:ascii="arial" w:eastAsia="arial" w:hAnsi="arial" w:cs="arial"/>
          <w:sz w:val="20"/>
          <w:lang w:val="en-US" w:eastAsia="en-US" w:bidi="ar-SA"/>
        </w:rPr>
      </w:pP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case law provides the obligation of left turning and through drivers depends on the colour of the light. If the light is green when the left turn starts, the through driver has the right of way. If the light is red, the through driver must stop before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If the light is yellow, it is necessary to assess who the dominant driver was. The analytical framework, as discussed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includes: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principles laid down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lead to the conclusion that the starting point of the analysis is that when a left turning driver is assessing making a left turn in an intersection he or she must yield the right of way to oncoming traffic unless it is not an immediate hazard. Describing a driver as dominant means no more than that driver has the right of way, whereas the servient driver has the obligation to yield the right of way. The obligation imposed by s. 174 on the left turning vehicle is that it "must yield the right of way to traffic approaching from the opposite direction that is in the intersection or so close as to constitute an immediate hazard". 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As observed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33, the words "immediate hazard"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An approaching vehicle is an immediate hazard if it is so close to the intersection, the driver must take some sudden or violent action to avoid the threat of a collision with the vehicle attempting to turn left. The time for assessing whether the through driver is an immediate hazard is the moment when the left-turning driver starts to make the turn. The burden of proving when that is lies with the left-turning driver: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at 410.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Even if the through driver is found to be an immediate hazard, however, and therefore the dominant driver with the right of way, he or she can still be found contributorily negligent based on a breach of his or her common law duty and/or statutory obligations: </w:t>
      </w:r>
      <w:r>
        <w:rPr>
          <w:rFonts w:ascii="arial" w:eastAsia="arial" w:hAnsi="arial" w:cs="arial"/>
          <w:i/>
          <w:color w:val="000000"/>
          <w:sz w:val="20"/>
          <w:lang w:val="en-US" w:eastAsia="en-US" w:bidi="ar-SA"/>
        </w:rPr>
        <w:t>Boyd v. Baldwin</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2015 BCSC 887</w:t>
        </w:r>
      </w:hyperlink>
      <w:r>
        <w:rPr>
          <w:rFonts w:ascii="arial" w:eastAsia="arial" w:hAnsi="arial" w:cs="arial"/>
          <w:color w:val="000000"/>
          <w:sz w:val="20"/>
          <w:lang w:val="en-US" w:eastAsia="en-US" w:bidi="ar-SA"/>
        </w:rPr>
        <w:t xml:space="preserve">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To assess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through driver the court determines whether she could have stopped safely. If not and no other factors were at issue, then she will not be found negligent: </w:t>
      </w:r>
      <w:r>
        <w:rPr>
          <w:rFonts w:ascii="arial" w:eastAsia="arial" w:hAnsi="arial" w:cs="arial"/>
          <w:i/>
          <w:color w:val="000000"/>
          <w:sz w:val="20"/>
          <w:lang w:val="en-US" w:eastAsia="en-US" w:bidi="ar-SA"/>
        </w:rPr>
        <w:t>Kabir v. Simpson</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2016 BCSC 1594</w:t>
        </w:r>
      </w:hyperlink>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legal principles establish the key factual disputes in this case include the colour of the light, the truck's speed and distance from the intersection when Mr. Sidhu started his left turn, and the location of the van and the truck when they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of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Collision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Iannone owned a one-ton vehicle of her own but the Ford F350 belonged to Landon and Jayden's father, Mr. Sigouin. Ms. Iannone testified, and I accept, that she was familiar with the truck having driven it often before the accident. She and Landon testified that she and Mr. Sigouin essentially shared both vehicles. Ms. Iannone also gave evidence the truck's brakes and horn were working on the day of the accident, specifying that she had used the brakes earlier that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Ms. Iannone indicated it was "icy at the farms" when they left, the main roads including those at the scene of the accident were dry and bare, not slippery. Both she and Landon recalled leaving around 7:45 a.m. The drive to the schools took between 30 and 45 minutes. School started around 8:30. In cross-examination, she and Landon denied they were running late or in a rush. Ms. Iannone recalled traffic being busy. Landon could not recall specifically but said Fraser Highway was always busy.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Iannone gave evidence as she drove eastbound along Fraser Highway toward the intersection, the lights on the overhead warning sign were not illuminated or flashing. From there she could see a green light for eastbound traffic at the intersection. She estimated driving between 50 and 60 kilometres per hour between the warning sign and the intersection. Ms. Iannone said she noticed the van stopped ahead of the left-turning lane in the intersection when the truck was four or five car lengths from the intersection. The light was still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described the van turning all of a sudden about two car lengths from the intersection. According to Ms. Iannone, the light was still green when she last looked, also about two car lengths back. Testifying there was no time to apply the brakes and avoid a collision, she turned the steering wheel as hard as she could to the right to avoid "T-boning" the van, in order to protect herself and the boys from a severe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direct examination she estimated the collision happened one or two seconds later. In cross-examination she maintained her time estimate counting out "one one-thousand" and "two one-thousand" and denying this was meaningfully different from her discovery evidence that she was a few seconds from the intersection when the van started turning left. I note at discovery her evidence on this point also included there was not enough time to stop, and the collision was inevitable. Ms. Iannone denied speeding or accelerating "to beat the light", running a red light, or that she avoided braking because of a concern about ice or her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direct and cross-examination, consistent with the damage to the two vehicles, Ms. Iannone described the left front of the truck colliding with the passenger door of the van on a V angle, while she was turning or veering to the right onto Bradner Road. Ms. Iannone testified the impact occurred in the intersection just north of the south side crosswalk. The force of the impact pushed the two vehicles south on Bradner before the van struck Mr. Miller's vehicle, stopped northbound second in line of the east side of Bradner Road. She was unaware of the colour of the light but estimated the truck speed was 50 kilometres per hour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Landon gave similar evidence. He noticed the van in the left turning lane when the truck was about three car lengths from the intersection, although at the stop line, not in the intersection, and moving slowly, not stopped, indicating perhaps a slightly earlier observation. He described being surprised when the van turned left in front of them, causing his mother to veer to the right, and placed the location of the truck closer to the intersection, essentially at the stop line when the two vehicles collided. In cross-examination he denied the collision occurred on the south side of the crosswalk. He also estimated the speed of the truck at 50 or 60 kilometres per hour because the truck did not slide as it veered right. Without doubting his sincerity, I put little weight on this portion of his evidence given his age at the time, his role as a passenger and the reconstruction involved in this recollection. Landon also testified the truck hit the van's passenger door on a "V" angle on the west side of the section, the vehicles travelling together for a distance down Bradner Road. He too could not recall the colour of the traffic light at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Sidhu had been employed by Toor and driving the van for some time before the accident occurred. He was living in Abbotsford and very familiar with the intersection. He could not recall the speed of the van as he drove westbound along Fraser Highway but denied speeding. As he approached the intersection and entered the left-turning lane, the light was green so he stopped in the intersection "waiting for the light." He gave evidence about the light turning yellow and then red before he turned. He had no memory of eastbound traffic as he waited or just before turning. In direct examination he testified: "Yes, the light turned red and I felt safe, so I 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Sidhu described turning left slowly, increasing the van's speed from a stop. Although he could not say for how long, the van moved continuously before being hit by the truck. He did not see the truck before the impact but recalled the front of the van being over the second south side crosswalk line. He could not say how far over. He also had no idea of the angle at which the truck hit the van. His evidence about how the force of the collision moved the van causing the second collision with Mr. Miller's vehicle was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Bhangu and Mr. Bachhal gave much the same evidence, although both struggled more than Mr. Sidhu to understand some of the questions they were asked. Mr. Bhangu described the speed of the turn as a normal turning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Freeman, who was waiting behind the van in the left-turning lane, was unable to see oncoming eastbound traffic because the cargo box of the van blocked his view. He first saw the van stopped in the intersection with its left-turn signal on. The light was green. He recalled the van starting the left turn when the light turned yellow and the light being a late yellow or red when the van was "clearing the intersection." Mr. Freeman said more than once that he had been thinking about "sneaking through" on the yellow light but decided against it, the light being too yellow, when the collision occurred. In direct examination he testified the truck and van impacted pretty much at right angles and the van was moved sideways or east as it was heading south. In cross-examination he acknowledged he did not see the actual impact. In direct examination he said he thought the front of the van was in the south side crosswalk or just over the crosswalk at that point. In cross-examination he agreed the back of the van was still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Both Mr. Miller, the driver of the vehicle struck by the van, and Mr. Mitchler, stopped first in line northbound on Bradner Road on the south side of the intersection, testified the light was red for northbound traffic. Mr. Miller saw the van stopped in the intersection waiting to turn left. When it started to turn, he noticed a truck heading east at a high rate of speed and turning right. The light was still red for him. In cross-examination he agreed the speed of the truck was fast for a vehicle turning right, and did not estimate any particular speed. Nor did he recall seeing a right-turn signal.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Referred to a photograph taken from his vantage point, he indicated the truck was approximately three car lengths from the intersection when the van's left turn started, describing the speed of the turn as normal. Mr. Miller remembered being concerned there was not enough room for the two vehicles in the southbound lane on Bradner Road. His view of the actual collision, however, was blocked by the van. He recalled the van and the truck sliding toward him and knocking his vehicle over a few metres. Surprised and stunned by the impact, he was also hit in the face by his airbag and felt dazed for a 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Mitchler described the front of his vehicle stopped just before the stop line prior to the collision. East and westbound traffic were passing in front of him. He estimated being stopped for 30 seconds to one minute at the red light. He recalled looking forward at the light and seeing the van as it started to turn left. A truck appeared from his left side. Referred to the same photograph as Mr. Miller, he too estimated it was about three car lengths from the intersection at that point. In response he took his foot off the brake to let his vehicle roll forward, convinced the truck and the van were going to collide and hit him. He said the collision happened a millisecond later and remembered not being sure if he had been hit or not because there was such a loud bang. In cross-examination he agreed he saw the van cross over the eastbound lane for a fraction of a second. He did not see the truck enter the intersection or start its turn to the right because his view was blocked by the van. He confirmed that when he heard the impact, the light for him was still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Mitchler also described the van being pushed southeast and southbound or slightly at an angle before hitting Mr. Miller's vehicle. Both of the vehicles travelled southbound along Bradner Road out of his line of sight, but he could not say how far behind him, because he had not looked back before the collision and had rolled forward.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Iannone indicated she and the boys were scared, upset and crying after the collision. She drove the truck off the road up the driveway to the school out of the traffic. She said the first thing she did was ensure they were okay and call for help. She could not recall speaking to anyone at the scene other than the boys, the police and Mr. Hunt, who came to pick them up. She categorically denied apologizing for causing the accident, saying the brakes on the truck were not working or she could not brake due to icy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Mr. Sidhu testified he could not understand or speak English at the time, it was suggested to Ms. Iannone in cross-examination that she told him she could not brake or stop. She indicated she may have said there was no way she could have stopped to avoid hitting him. She agreed she did not collect names and contact information at the scene, but said this was because the police were there, not because she believed she was at fault. Ms. Iannone recalled telling the police officer what happened when she spoke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Landon testified that he did not talk to anyone other than his mother at the scene. He did not hear her say the accident was due to icy roads or that the brakes had failed. Both he and Ms. Iannone said she may have said she was sorry the accident happened because she is a nice person and she would have asked if everyone was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Sidhu said after the collision he got out and looked at the van but he did not speak to anyone. Although the police attended, he denied speaking to the officer or receiving any paperwork from him. He could not recall if Ms. Iannone said anything to him. He confirmed her evidence, however, about moving the truck to the driveway of the school. He also testified his employer, Mr. Toor, attended the scene, but Mr. Sidhu did not know if Mr. Toor spoke to police. Although Mr. Sidhu had a BC driver's licence, his evidence was he could say no more than "yes" or "no" in English, indicating he did not take English language classes until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Bhangu also testified to getting out and looking at the van but not speaking to anyone. He did not hear Ms. Iannone say anything. He too said Mr. Toor attended the scene. Unlike Mr. Sidhu, Mr. Bhangu recalled Mr. Toor speaking to the police. The other passenger, Mr. Bachhal said he remained in the van because there was broken glass on his face and arm. He also testified to not speaking to anyone. He remembers the police and Mr. Toor attending but not whether Mr. Toor spoke to police. Mr. Bachhal did not know if Mr. Sidhu spoke to police or if the officer handed him a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Freeman described "hopping out" of his vehicle after the collision to see if he could help. He said he spoke to Mr. Sidhu and Mr. Miller but not Ms. Iannone. He remembered asking the van driver how he was. Mr. Freeman was unsure if the van driver responded in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Miller said he asked people for their documents, and Ms. Iannone refused, mentioning she had a child in the truck. He also said he spoke to the driver of the van. Mr. Miller remembered the police showing up. He believes he told them briefly what he had witnessed.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Mitchler got out of his vehicle after the collision and noticed the damage to Mr. Miller's vehicle. He recalled walking over or calling to Ms. Iannone and asking if she and her children were okay, having observed them in the truck. He could not recall her response, but he remembered she looked okay and was out of her vehicle by then. At some other point he said he overheard her saying her brakes, "did not feel very well," and/or something like "the road was slippery". He could not recall whether she was speaking to the police or someone else at that point, but in response he walked over to the southwest corner of the intersection to look at the road surface which was dry and bare.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Sergeant Nightingale testified to having some independent recollection of attending the scene, but he also relied on his handwritten notes and an occurrence report that he prepared in part. When he arrived all of the vehicles involved in the collision were off the road at the southwest corner of the intersection. He recalled speaking to the driver of the van and perhaps one passenger, the driver of the truck and a witness. He said his practice is to obtain and make notes about the identification of each driver, which he did. His notes include not only Mr. Sidhu's full name, date of birth, BC driver's licence number, address and home phone number but also his cell phone number. He recorded the same details for Ms. Iannone, Landon and Jayden's full names and dates of birth, as well as the location in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his notes, Sgt. Nightingale identified Mr. Bhangu and Mr. Bachhal next to "mid pass" and "R passenger" along with their dates of births and cell phone numbers. The notes also record Mr. Miller and Mr. Mitchler as witnesses. Mr. Mitchler's date of birth and telephone numbers are included. The particulars for Mr. Miller include his address as well as the make and model of his vehicle and plate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are tick marks next to the names of Ms. Iannone and Mr. Sidhu. Sergeant Nightingale explained that meant he had compared the driver's licence to the person. He also testified to issuing a warning ticket to Mr. Sidhu before leaving the scene. Sergeant Nightingale did not recall speaking to Mr. Toor, and said he would have made a note of it if he had which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 to Sgt. Nightingale, general occurrence reports are electronically generated based on information inputted by the investigator. He confirmed he wrote the synopsis for the report. It sets out that he issued a "warning" to Mr. Sidhu for failing to yield. The Abbotsford Police records did not include a copy of the warning ticket. Sergeant Nightingale explained they are kept for only two or three years. Asked why he did not take statements from the parties or witnesses, he said what happened seemed quite clear to him, from speaking with those that he did at the scene. In cross-examination, he maintained that he did talk to the driver of the van. He testified he would have called for an interpreter if the driver was unable to communicate in English, something he does whenever language is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Assessing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Clearly credibility and reliability of the material evidence is a contested issue in this case. Not surprisingly the parties ask me to assess the evidence very differently and urge me to find very different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general, I have assessed the truthfulness and accuracy of the witnesses' testimony applying the test articulated many years ago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doing so I have considered the factors identified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including the following:</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capacity and opportunity of the witness to observe the events at issue;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his or her ability to remember those events;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witness to resist being influenced by his or her interest in recalling those events;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internal and external consistency of the witness's evidence;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witness's evidence harmonizes with or is contradicted by other evidence, particularly independent or undisputed evidence;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his or her evidence seems unreasonable, improbable or unlikely, bearing in mind the probabilities affecting the case;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witness's demeanour, meaning the way he or she presents while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Regarding the last factor, </w:t>
      </w:r>
      <w:r>
        <w:rPr>
          <w:rFonts w:ascii="arial" w:eastAsia="arial" w:hAnsi="arial" w:cs="arial"/>
          <w:i/>
          <w:color w:val="000000"/>
          <w:sz w:val="20"/>
          <w:lang w:val="en-US" w:eastAsia="en-US" w:bidi="ar-SA"/>
        </w:rPr>
        <w:t>Chorny</w:t>
      </w:r>
      <w:r>
        <w:rPr>
          <w:rFonts w:ascii="arial" w:eastAsia="arial" w:hAnsi="arial" w:cs="arial"/>
          <w:color w:val="000000"/>
          <w:sz w:val="20"/>
          <w:lang w:val="en-US" w:eastAsia="en-US" w:bidi="ar-SA"/>
        </w:rPr>
        <w:t xml:space="preserve"> and other authorities have discussed the dangers of relying wholly upon demeanour to determine credibility, recognizing the risk of preferring the testimony of a better actor and conversely misinterpreting an honest witness's poor presentation as deceptive.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Here the witnesses to the accident testified about events they observed over seven years ago during mere seconds from various locations in the intersection with different focuses and sight line restrictions. The passage of time and instantaneous nature of the events affect the reliability of all of their testimony, making it necessary to consider the recollections of each with some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addition to recognizing the limits on the reliability of the testimony of the accident witnesses, I have considered the potential influence of interest. Only Mr. Mitchler and Mr. Freeman were truly independent witnesses. However, their opportunity to observe was limited by their locations, and for Mr. Freeman, the barrier created by the van's windowless cargo box. Although Mr. Miller is not a party to this action, the second impact caused serious damage to his vehicle and he said, physical injury that required medical treatment over a one-year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assessed the disputed evidence in light of the undisputed evidence and the limited objective evidence that includes the measurements and photographs of the scene, its approach, and the photographs of the damage to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say at this point I reject the defendants' submission that Landon's evidence should be given little weight because of his demeanour, as well as his interest. I disagree with the suggestion he was not credible because he did not seem confident and looked down sheepishly while testifying. Landon was a soft-spoken witness, but I was never concerned he lacked confidence regarding the accuracy of his testimony. Instead, my impression was that he testified sincerely, derived in part from his readiness to acknowledge what he could not recall or never observed in the first place. He was also direct and responsive. I have considered carefully, however, Landon's young age at the time of the accident and Ms. Iannone's testimony that she and Landon subsequently discussed the accident, partly because it was so distressing for him. Their discussions make it possible they contaminated one another's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Despite her obvious interest, I found Ms. Iannone sincere and largely straightforward. Her evidence was also materially consistent. Any apparent differences between her direct evidence and the discovery evidence put to her in cross examination were well explained by her. Her testimony was also consistent with objective evidence such as the photographs depicting the damage to the vehicles and the visibility of the light at the intersection from the overhead warning sign. Further, I note that the defendants provided no evidence about many allegations put to her in cross-examination, all of which she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only significant external inconsistency is that raised by Mr. Mitchler regarding what he recalled overhearing her say to a third party. Based on all of the evidence, I am satisfied Ms. Iannone discussed the circumstances of the accident with Sgt. Nightingale and possibly Mr. Sidhu. Had Ms. Iannone said what Mr. Mitchler recalled overhearing to Sgt. Nightingale, I expect he may have reached a different conclusion about Mr. Sidhu failing to yield. In addition, given the road conditions were dry and bare at the accident location but described by Ms. Iannone as icy near to Mr. Hunt's home, and accepting her uncontradicted evidence that she had used the brakes that morning and they were working, I accept that Mr. Mitchler misunderstood what he thought he overheard.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Aside from their testimony about the colour of the light when the left turn commenced, the evidence of Mr. Sidhu and his passengers was vague and uncertain. I am left in some doubt about Mr. Sidhu's evidence regarding his inability to speak English at the time of the accident and other important aspects of his and their testimony. Mr. Miller, Mr. Freeman and Sgt. Nightingale recall talking to Mr. Sidhu. It seems that none observed anything about his language skills. I accept Sergeant Nightingale would have called for an interpreter if he had been concerned. His notes contain contact information for Mr. Sidhu not included on a driver's license, his cell phone number as well as the cell phone numbers for his passengers. Immediately after the accident, Mr. Miller and Mr. Freeman were able to observe Mr. Sidhu emerge from the van as the driver. It was not suggested to them they perhaps spoke to Mr. Toor instead. Although Mr. Sidhu and his passengers say Mr. Toor attended the scene, they gave no evidence about calling him or any interactions he had with them once he arrived. I accept that Sgt. Nightingale would have made a note of Mr. Toor's name if had spoken to him. I accept therefore that Sgt. Nightingale and Mr. Sidhu spoke directly, and he received a warning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Speed of the Truck as It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Only Ms. Iannone, Landon and Mr. Miller gave evidence on this point. Mr. Miller did not quantify her speed and in cross-examination agreed, she was driving fast for a vehicle turning right. Ms. Iannone testified to driving between 50 and 60 kilometres per hour. She was not asked why she was driving below the speed limit of 80 kilometres per hour. In cross-examination, however, she indicated she was driving with the flow of traffic and had a vague recollection of another vehicle four or five car lengths ahead of her. She did not suggest she slowed due to the presence of the school at the intersection and the time of day. I accept her evidence that she did not accelerate as she got closer to the intersection and she did not brake. Her ability to abruptly turn the truck to the right is more consistent with the speed she estimates than the suggestion she was travelling faster and closer to the speed limit. I am satisfied, therefore, that she was driving no faster than 60 kilometres per hour as she approached the intersection and saw Mr. Sidhu begin to turn left.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Colour of the Traffic Light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Iannone's evidence that the warnings lights were not flashing and the traffic light was green when she passed under the overhead sign is uncontradicted and corroborated, as I have indicated, by a photograph, which shows that the traffic light is visible from that location. I accept therefore the light was green at that point. Although Ms. Iannone testified to last observing a green light about two car lengths from the intersection and being about one to two car lengths away when Mr. Sidhu started his left turn, in submissions she argued the light was yellow, not green,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Sidhu's evidence and that of his passengers that the light was red when the van began to turn is inconsistent not only with Ms. Iannone's evidence but also with that of Mr. Freeman and Mr. Mitchler, the independent witnesses, and Mr. Miller. Mr. Freeman directly observed the van start its left turn when the light was yellow. Mr. Miller and Mr. Mitchler observed a red light for northbound traffic on Bradner Road. Mr. Mitchler recalled the light remained red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Also inconsistent with the evidence of a westbound red light is the evidence regarding the speed of Mr. Sidhu's left turn from a stopped position. Had the light been red or even a late yellow, it is likely that Mr. Sidhu would have proceeding more quickly than he and other witnesses said he did. Accordingly I find Mr. Sidhu commenced his left turn once the traffic light turned yellow. Based on the weight of the evidence, I also infer the van was well into the intersection at that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question then becomes how far was the truck from the intersection at that point. Ms. Iannone and Landon's evidence places it one to three car lengths back from the intersection one or two seconds prior to the collision. Mr. Miller and Mr. Mitchler saw it approximately three car lengths away, looking left from their positions stopped northbound on Bradner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Iannone estimated the truck was travelling slightly slower, 50 kilometres an hour, when it collided with the van. I accept this, drawing the inference she would have stopped applying the gas pedal once she saw the van start to turn left, and also considering the effect of veering right on the speed of the 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Location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Iannone and Landon estimate the truck and van collided slightly north of where the other witnesses placed them, most of whom estimated the front of the van was in or over the second line of the south side crosswalk, and moving south. Although some of the witnesses also suggested the truck impacted the van at a 90-degree angle, the photographs of the damage to the vehicles along with their evidence about the collision location makes this implausible. The damage to the vehicles is entirely consistent with the left front corner of the truck colliding with the passenger door of the van. I am satisfied, therefore, the angle of the collision was the V described by Ms. Iannone and Landon, or closer to 45 degrees. Given the vehicle damage, the angle of the impact, the size and obvious weight of the truck, the fact the van and truck were heading south, and the evidence of Ms. Iannone, Landon and Mr. Mitchler, I also accept the force of the collision moved the vehicle south as well as east before causing the impact to Mr. Miller's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Only Ms. Iannone and perhaps Landon had a clear view of the point of impact. Mr. Sidhu and his passengers did not see the truck coming. The view of the other witnesses was blocked by the van. The impact occurred very quickly and unexpectedly in chaotic circumstances. Doing the best I can with the understandably frail evidence on this point, I find that the front of the van had crossed over the eastbound lane and shoulder on Fraser Highway and was entering the crosswalk when the impact occurred. With the rear of the van still occupying the eastbound lane, the front left corner of the truck was several feet back colliding as it did with the passenger-side door.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Timing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defendants argue the time required for the van to travel from its stopped position to a location further south makes it clear Ms. Iannone was much further back from the intersection than she or Landon indicated. I disagree. There is no dispute that Mr. Sidhu and his passengers did not see the truck before the impact, and once it started turning the van did not stop. The east and westbound turning lanes face one another. Photographs taken at ground level depict a fairly short distance from the left-turning position in the intersection to the southern crosswalk on Bradner Road. Ms. Iannone's path of travel took her both to the intersection in the eastbound lane and right because she steered hard in that direction, a distance that none of the witnesses estimated and neither party made specific submissions about, while the truck was losing some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these circumstances, taking Ms. Iannone, Landon, Mr. Miller and Mr. Mitchler's evidence together and bearing in mind Mr. Mitchler's decision to roll forward to avoid what he saw as an inevitable collision, I am satisfied the front of the truck was no more than two seconds away from the intersection when Mr. Sidhu started to turn left. Perhaps a second or more passed from the time the front of the truck entered the intersection to the time of the collision. I have already accepted the light was still red for northbound traffic on Bradner Road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the left-turning driver, Mr. Sidhu had an obligation to yield to oncoming trafficking in the intersection or so close as to constitute an immediate hazard. The light being yellow when Mr. Sidhu started turning left, Ms. Iannone had an obligation to stop before entering the intersection unless she was not able to do so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Sidhu's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clear. He simply did not look for oncoming traffic, focusing instead on the colour of the light, therefore failing to determine whether the left turn could be made safely. At that moment, the truck was close to the intersection heading straight towards him, very much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Given my findings that he started the turn once the light turned yellow and the front of the truck was no more than two seconds from the intersection, I accept the truck was so close to the intersection as to constitute an immediate hazard. It was necessary for Ms. Iannone to take sudden if not violent action to avoid a collision. She was the dominant driver, therefore, and Mr. Sidhu servient. He, not Ms. Iannone, had an obligation to yield the right of way. Not having looked for eastbound traffic before he began the turn, he continued the turn without looking for any oncoming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addition to Ms. Iannone's obligation to stop the truck in response to the yellow light unless she could not do so safely, she had an obligation to take reasonable steps to avoid the collision. On the facts of this case, this inquiry returns me to the same question. Once Ms. Iannone saw Mr. Sidhu begin his left turn, could she have braked in time to avoid the collision instead of turning to the right to avoid a head-on collision? I accept that at two seconds or less from the intersection when Mr. Sidhu started turning in front of her, Ms. Iannone did not have sufficient time or distance to stop in order to avoid hitting the van. This is especially true for a vehicle as large and apparently heavy as the truck. I find therefore her evasive action in response to Mr. Sidhu's left-hand turn was not negligent and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caused the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[Exchange with counsel edited.]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Souza, counsel for the plaintiff did not make submissions about costs in the event of this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SOUZA: My -- what I have been told is that no offers have been made in this one, and that the plaintiff should be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SOUZA: As the successful party. However, Ms. [Indiscernible] is not here. If fulsome submissions are required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COURT: Well, she is obviously the successful party. I cannot see any reason not to award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KUSHNERYK: I cannot think of any,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Thank you. All right. So you have my decision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COURT: It is necessary for me to seize myself of that portion of the trial (damages). So with that you can agree on a time estimate I suppose and schedule dates as early as possible. I am concerned about the passage of time here, obviously. The accident was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SOUZA: And just to be clear, the costs order is based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M.L. FLEMING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6"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K.D. v. British Columbia's Women's Hospital</w:t>
        </w:r>
      </w:hyperlink>
      <w:bookmarkStart w:id="150" w:name="Backward_fnref_fnr-1_0"/>
      <w:hyperlink r:id="rId466" w:anchor="Forward_fnref_fnr-1" w:history="1">
        <w:r>
          <w:rPr>
            <w:rFonts w:ascii="arial" w:eastAsia="arial" w:hAnsi="arial" w:cs="arial"/>
            <w:b/>
            <w:bCs/>
            <w:i/>
            <w:color w:val="BE161D"/>
            <w:kern w:val="32"/>
            <w:sz w:val="28"/>
            <w:szCs w:val="32"/>
            <w:shd w:val="clear" w:color="auto" w:fill="FFFFFF"/>
            <w:vertAlign w:val="superscript"/>
            <w:lang w:val="en-US" w:eastAsia="en-US" w:bidi="ar-SA"/>
          </w:rPr>
          <w:t>1</w:t>
        </w:r>
      </w:hyperlink>
      <w:bookmarkEnd w:id="150"/>
      <w:hyperlink r:id="rId466" w:history="1">
        <w:r>
          <w:rPr>
            <w:rFonts w:ascii="arial" w:eastAsia="arial" w:hAnsi="arial" w:cs="arial"/>
            <w:b/>
            <w:bCs/>
            <w:i/>
            <w:color w:val="0077CC"/>
            <w:kern w:val="32"/>
            <w:sz w:val="28"/>
            <w:szCs w:val="32"/>
            <w:u w:val="single"/>
            <w:shd w:val="clear" w:color="auto" w:fill="FFFFFF"/>
            <w:lang w:val="en-US" w:eastAsia="en-US" w:bidi="ar-SA"/>
          </w:rPr>
          <w:t>, [2004] B.C.J. No. 2504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 24 - 28, Dec. 1 - 5, 8 - 12 and 15 -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 2003, and Jan. 5 - 9, 12 and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March 3, 22 and 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Argument: March 31, and April 1 and 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C975902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2504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2004 BCSC 1568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136 A.C.W.S. (3d) 157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K.D., plaintiff, and British Columbia's Women's Hospital and Health Centre, Dale Robert Steele, Nancy E. Kent, and Harold G. Hunt,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7"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1" w:name="Keywords_20"/>
      <w:bookmarkEnd w:id="151"/>
      <w:r>
        <w:rPr>
          <w:rFonts w:ascii="arial" w:eastAsia="arial" w:hAnsi="arial" w:cs="arial"/>
          <w:b/>
          <w:color w:val="000000"/>
          <w:sz w:val="20"/>
          <w:lang w:val="en-US" w:eastAsia="en-US" w:bidi="ar-SA"/>
        </w:rPr>
        <w:t xml:space="preserve">Health law — Health care professionals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inform — Standard of care — Specialists — Duty of care — Professional responsibility - - Professions — Health care — Doctors.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2" w:name="Case Summary_19"/>
            <w:bookmarkEnd w:id="1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KD for damages for psychological injuries sustained following the complicated birth of her twin boys, Baby N and Baby K, and the subsequent death of Baby K. KD was pregnant with the twins in November 1995 when she attended the defendant Women's Hospital for routine fetal heart rate tests. Concerns were raised and the testing continued for a period of approximately six hours. The twins were delivered by caesarean section following the six hours of testing. Baby N was healthy at birth. Baby K required resuscitation, and died about eight days later. At the time of trial, KD continued to suffer from a serious mental illness which significantly impaired her functioning. She named Drs. Steele, Kent, and Hunt, and the hospital itself, as defendants. Steele was KD's attending obstetrician, Kent was the perinatologist on the evening of the twins' birth, and Hunt was a junior obstetrical resident also on duty that evening. KD's claim with respect to the hospital was with respect to the conduct of the nurses. She said that her mental illness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failing to perform the caesarean section earlier and failing to keep her fully informed about her medical status. In the alternative, she alleged that Steele had made a negligent misstatement to her following the delivery which caused or contributed to her mental suffering.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3" w:name="Holdings of Court_18"/>
            <w:bookmarkEnd w:id="15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KD's pregnancy was considered high risk because there were twin fetuses; she had a prior cone biopsy of her cervix; and she had an infection that could lead to lesions. On the evidence, the court found that the placenta for the troubled fetus was seriously compromised at some point prior to birth, and that the fetus suffered from Down's Syndrome. The combined problems led to acute injury to the central nervous system of Baby K, and compromised cardiac function. The court concluded that the cause of the problem was likely beyond the capacity of present medical science to explain. There was no evidence to suggest that KD ought to have received different treatment or that problems could have been detected or solved. The doctors and hospital met their duties of care in connection with the management of the twin pregnancy and the delivery of the twins. Although KD suffered serious psychological pain and loss of function, the doctors and the hospital were not responsible for her losses.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4" w:name="Counsel_20"/>
      <w:bookmarkEnd w:id="1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M.R. McMillan, F.E. Hayman and M.A.M. Brunton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B.C. Women's Hospital: C.L. Woods and J.A. McJannet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Dale Robert Steele: P.M. Willcock and S.M. Denholm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Nancy E. Kent and Harold G. Hunt: N.L. Fishman and A.P. Mayer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5" w:name="Judgment_20"/>
      <w:bookmarkEnd w:id="155"/>
      <w:r>
        <w:pict>
          <v:line id="_x0000_s1129" style="position:absolute;z-index:2517821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INDEX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3241"/>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3660"/>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3033"/>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705"/>
        <w:gridCol w:w="2196"/>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BACKGROUND MEDICAL FACTS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3033"/>
        <w:gridCol w:w="3241"/>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NST</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15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BPP</w:t>
            </w:r>
          </w:p>
        </w:tc>
        <w:tc>
          <w:tcPr>
            <w:tcW w:w="317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215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OCT</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915"/>
        <w:gridCol w:w="1987"/>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CREDIBILITY COMMENTS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4182"/>
        <w:gridCol w:w="2091"/>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Prior to May 11, 1993</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15, 1995</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Centre for Prenatal Diagnosis and Treatment ("C.P.D.T.")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8"/>
        <w:gridCol w:w="523"/>
        <w:gridCol w:w="3555"/>
        <w:gridCol w:w="2195"/>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Assessment Room</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523"/>
        <w:gridCol w:w="4601"/>
        <w:gridCol w:w="115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High-risk Unit [20:38 to 21:47]</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[129]</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8"/>
        <w:gridCol w:w="523"/>
        <w:gridCol w:w="4182"/>
        <w:gridCol w:w="1568"/>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Operation - 21:47 to 22:02</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523"/>
        <w:gridCol w:w="4705"/>
        <w:gridCol w:w="1046"/>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Post-Anaesthetic Recovery ("PAR")</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5228"/>
        <w:gridCol w:w="1046"/>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16, 1995 to November 23, 1995</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4915"/>
        <w:gridCol w:w="1359"/>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November 24, 1995 to June 13, 1996</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9"/>
        <w:gridCol w:w="419"/>
        <w:gridCol w:w="4182"/>
        <w:gridCol w:w="2091"/>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14, 1996 to date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KEY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5646"/>
        <w:gridCol w:w="177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Baby K.'s Placenta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Jevon, Pathologist</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[224]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5646"/>
        <w:gridCol w:w="177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Baby K.'s Brain Study Interpretation:</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Armstrong and Dr. Sargent -</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Paediatric Neuroradiologists</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[230]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4601"/>
        <w:gridCol w:w="1046"/>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Armstrong, Plaintiff's Expert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8"/>
        <w:gridCol w:w="627"/>
        <w:gridCol w:w="4182"/>
        <w:gridCol w:w="1464"/>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Sargent, Defence Expert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3137"/>
        <w:gridCol w:w="251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Discussion</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5646"/>
        <w:gridCol w:w="177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Cause of Baby K.'s Death:</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Perlman and Dr. Solimano,</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Neonatologists</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4496"/>
        <w:gridCol w:w="1150"/>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Perlman, Plaintiff's Expert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4287"/>
        <w:gridCol w:w="135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Solimano, Defence Expert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7"/>
        <w:gridCol w:w="3137"/>
        <w:gridCol w:w="251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Discussion</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5646"/>
        <w:gridCol w:w="177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Cause of K.D.'s Psychiatric Illness:</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O'Shaughnessy, Psychiatrist</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359"/>
        <w:gridCol w:w="5647"/>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1.(a)</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any of the defendants fail to meet</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applicable standard of care with</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respect to keeping K.D. informed about</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her medical status?</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fail to meet the applicable standard of care with respect to timing of the emergency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6"/>
        <w:gridCol w:w="5019"/>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Obstetrician Standard of Care:</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Drs. McGrath and Simpson</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[279]</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27"/>
        <w:gridCol w:w="4183"/>
        <w:gridCol w:w="836"/>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McGrath, Plaintiff's Expert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510"/>
        <w:gridCol w:w="732"/>
        <w:gridCol w:w="3973"/>
        <w:gridCol w:w="1046"/>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Dr. Simpson, Defence Expert</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[282]</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4"/>
        <w:gridCol w:w="836"/>
        <w:gridCol w:w="2824"/>
        <w:gridCol w:w="2196"/>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Discussion</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6"/>
        <w:gridCol w:w="5019"/>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Perinatologist Standard of Care:</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McGrath</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[296]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6"/>
        <w:gridCol w:w="5019"/>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Resident Standard of Care:</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Dr. McGrath and Dr. Bagdan</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626"/>
        <w:gridCol w:w="5019"/>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Nursing Standard of Care:</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Nurse Tranmer</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[304]</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3"/>
        <w:gridCol w:w="177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If there was a breach of duty of care,</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it cause any harm?</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3"/>
        <w:gridCol w:w="177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Dr. Steele make misrepresentations</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K.D. following the emergency caesarean</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section, which were made negligently and</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which K.D. reasonably relied to</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her detriment?</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4601"/>
        <w:gridCol w:w="1673"/>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Negligent Misrepresentation</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[316]</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6"/>
        <w:gridCol w:w="5647"/>
        <w:gridCol w:w="17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Misrepresentation reasonably relied</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 to K.D.'s detriment</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[320]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3450"/>
        <w:gridCol w:w="3450"/>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Damages</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[324]</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3660"/>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SUMMARY</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6" w:name="GRAY J."/>
            <w:bookmarkEnd w:id="156"/>
            <w:r>
              <w:rPr>
                <w:rFonts w:ascii="arial" w:eastAsia="arial" w:hAnsi="arial" w:cs="arial"/>
                <w:b/>
                <w:color w:val="000000"/>
                <w:sz w:val="30"/>
                <w:lang w:val="en-US" w:eastAsia="en-US" w:bidi="ar-SA"/>
              </w:rPr>
              <w:t>GRAY J.</w:t>
            </w:r>
          </w:p>
        </w:tc>
      </w:tr>
    </w:tbl>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K.D., was pregnant with twins on November 15, 1995 when she went to the defendant hospital for a routine test of the fetal heart rates. The testing began just before 4:00 p.m., but it raised concerns, and continued through most of the next six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twins were delivered by caesarean section at about 10:00 p.m. that night. "Baby N." was healthy at birth, but "Baby K." required resuscitation. Baby K. died about eight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K.D. is suffering serious mental illness which significantly impairs her functioning. She has sued Drs. Steele, Kent and Hunt and the hospital. Dr. Steele was K.D.'s attending obstetrician. Dr. Kent was the perinatologist on duty at the hospital the evening of November 15, 1995. Dr. Hunt was a junior obstetrical resident also on duty at the hospital that evening. K.D.'s claim against the defendant hospital is with respect to the conduct of its nurses.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K.D.'s position is that her mental illness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in failing to perform the caesarean section earlier and failing to keep her fully informed about her medical status. She also alleges in the alternative that Dr. Steele made a negligent misstatement to her following the delivery which caused or contributed to her mental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position is that K.D.'s mental illness is the tragic but unavoidable consequence of the loss of Baby K. All defendants argued that they met the applicable standard of care, and that in any event, the alleged damages are not causally linked to any breach of duty. Dr. Steele denies making a negligent misstatement.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alternative, if they are liable, the defendants argue that assessment of damages must take into account the fact that Baby K. had the condition which is commonly termed "Down's Syndrome". The defendants argue that any award must take into account the fact that if Baby K. had survived, there would be costs associated with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This case is particularly challenging from a legal perspective for a number of reasons. It raises difficult factual issues, including resolving numerous conflicts in the evidence of expert witnesses. It involves consideration of the cause of Baby K.'s death or of relevant harm to him, which is particularly difficult because no autopsy was performed on Baby K. It potentially raises issues concerning the cause of K.D.'s psychiatric illness and the application of Athey v. Leonati,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and of the law relating to indirect harm.</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fail to meet the applicable standard of care with respect to the following:</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keeping K.D. informed about her medical status;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timing of the emergency caesarean section?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breach of duty of care, did it cause any harm?</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Steele make any misrepresentations to K.D. following the emergency caesarean section, which were made negligently, and on which K.D. reasonably relied to her detriment?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K.D. is entitled to damages, what is the proper award for the following:</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wage loss;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cost of care;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K.D. is entitled to damages, are Canada Pension Plan disability benefits deductible from any award?</w:t>
      </w:r>
    </w:p>
    <w:p>
      <w:pPr>
        <w:numPr>
          <w:numId w:val="1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hospital is presently named B.C. Children's and Women's Hospital, but is referred to simply as the hospital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Dr. Steele obtained his fellowship in obstetrics and gynaecology in 1992. Since 1993, he has been practising in Vancouver, and has been both a member of the active staff of the defendant hospital and a clinical assistant in the department of obstetrics and gynaecology of the University of British Columbia. Dr. Steele delivers roughly 200 babies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Dr. Kent is a perinatologist, being a sub-specialist obstetrician and gynaecologist with further training in high-risk pregnancies. Dr. Kent's career before completion of her residency included a one-year rotating internship and a few years of work as a physician. She obtained her fellowship in obstetrics and gynaecology in June 1989. During the period 1991 through 1993, Dr. Kent completed a further fellowship in the subspecialty of maternal/fetal medicine at U.B.C., a subspecialty also termed "perinatology". That fellowship is a program without accreditation.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Kent then worked for a few months at the defendant hospital as a sonologist, being a physician who reports on ultrasound studies. From June through December 1993, Dr. Kent worked as a perinatologist as a locum at Toronto General Hospital. In 1994, she worked as a guest lecturer in obstetrics at the Faculty of Medicine at the University of Tasmania. Dr. Kent became a staff perinatologist at the defendant hospital beginning November 1, 1995, a couple of weeks prior to the birth of K.D.'s twins.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Dr. Hunt completed medical school in 1994, and later that year started a five-year obstetrics and gynaecology residency program through U.B.C. He spent the first year of the program in Victoria, B.C. doing a rotating internship. That internship included six weeks of obstetrics and gynaecology work. Dr. Hunt then moved to Vancouver, and commenced a six month rotation in obstetrics on July 1, 1995. He had been in that rotation for 4 1/2 months at the time of K.D.'s delivery of twins. He was not at that time licensed to practise medicine.</w:t>
      </w:r>
      <w:r>
        <w:rPr>
          <w:rFonts w:ascii="arial" w:eastAsia="arial" w:hAnsi="arial" w:cs="arial"/>
          <w:sz w:val="20"/>
          <w:lang w:val="en-US" w:eastAsia="en-US" w:bidi="ar-SA"/>
        </w:rPr>
        <w:cr/>
      </w:r>
    </w:p>
    <w:p>
      <w:pPr>
        <w:numPr>
          <w:numId w:val="1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MEDICAL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NST, BPP and OCT fetal testing procedures were considered or used during K.D.'s pregnancy. A brief explanation of those three procedures follows. The explanation is derived from the medical evidence at trial, and it is largely non-contentious.</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measurement of the fetal heart rates when the fetuses are not under the stress of labour is often termed "non-stress testing" or "NST".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NST testing is generally performed by attaching equipment to the mother's abdomen to record the time of the test, the fetal heart rate ("FHR") in beats per minute ("BPM"), and the muscle activity in the wall of the maternal abdomen. The equipment produces markings on a strip which continues throughout the testing, and is often termed a "tracing" or "strip". The NST tracing may also be marked by hand to indicate when the mother reported that she felt fetal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External NST monitoring produces different results from internal monitoring of a fetal heart, and must monitor the heartbeat through the mother's tissues and fetal tissues such as the placenta and amniotic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NST testing of twins is more challenging than for single fetuses. It can be difficult to separate the heart rates of twin fetuses from each other and from that of the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Normal baseline fetal heart rate for NST testing is 120 to 160 BPM, although higher or lower baselines can be acceptable depending on the clinical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NST testing can provide reassurance that the fetus is doing well. It can also assist in detecting placental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External monitoring has a high false positive rate. A "false positive" is a test result which indicates concern and in that sense is "positive" but, in fact, a vigorous, healthy baby is delivered and there was no cause for concern. Some researchers have reported false positive NST rates in excess of 50 percent when fetal heart rate acceleration was considered insufficient. One cause of false positives is sleeping fetuses, but that is not the only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interpretation of the NST strips is a central issue in this case. They are interpreted by considering the baseline heart rate and the nature of deviations from it, and, if the mother's abdomen is undergoing contractions, the comparisons between the fetal heart rate and the mother's contractions.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the mother's uterus is undergoing contractions, the increases or decreases from the baseline are termed early, late, or variable, depending on the timing in comparison to the contractions. When the mother's uterus is not contracting, the increases or decreases are sometimes termed "variable" if they have the shape characteristic of variable contractions during labour. The accelerations and decelerations can be deep or shallow, and can be quick or slow to return to baseline.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there can be some variation in terminology, the doctors interpreting the strips generally referred to them as falling into one of three overall descriptions: "non-reassuring" (also termed "ominous" or "abnormal"); "equivocal"; or "reassuring" (also termed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"non-reassuring" strips suggest that there should be immediate action, such as delivery. Certain decelerations or a significant change in the baseline heart rate may cause the strip to be considered "non-reassuring". For example, a flat tracing, which has no variability, may be "non-reassuring" or "ominous".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"Reassuring" strips have an acceptable baseline and are "reactive". There is some variation in defining which strips are "reactive". One generally accepted interpretation is that in order to be considered "reactive" at the gestational age of K.D.'s fetuses on November 15, 1995, there must be at least two "accelerations" in a 20-minute period. For the purpose of that determination, an acceleration is an increase of at least 10 BPM from baseline which is sustained for at least 10 to 15 seconds. NST testing is usually stopped once a tracing meets that definition of "reactive". The medical assumption is that the fetus is moving and its heart rate is responding to the movements, and that this is characteristic of a healthy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Strips that are difficult to interpret are termed "equivocal", and are a middle ground between "reassuring" and "non-reassuring" strips. For example, they may lack the reassuring feature of accelerations, but may also lack the more concerning features of prolonged or late decelerations. They may have accelerations, but either not frequently enough or not large enough be considered "reactive". They may have somewhat decreased variability but not totally decreased variability. Variable decelerations are not necessarily concerning. They are consistent with intermittent pressure on a fetus' umbilical 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Tracings that do not have accelerations to the extent that they can be classified "reactive" are "non-reactive", and are either "equivocal" or "non-reassuring". NST tracings may be "non-reactive" after 90 minutes because of many reasons, including these: the mother is taking certain medication; the test result is a false positive; the fetus is hypoxic; the fetus has congenital anomalies such as to the heart or nervous system; and the mother has one or more of certain maternal medical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"Reassuring" NST results are usually associated with a fetus that becomes a healthy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contrast, a tracing that lacks acceleration and is equivocal is not a good predictor that the fetus is really sick. Therefore, the usual medical response to a tracing that has insufficient acceleration to qualify as "reactive" is to conduct further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hospital usually runs NST strips for 20 minutes. However, it is not unusual to prolong an NST for up to 90 minutes to see whether it becomes reactive. One reason to prolong the test is that the fetus may be asleep, and may wake up and cause the tracing to become reactive. Fetuses rarely sleep for more than 75 straight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Another possible explanation for a strip being non-reactive is that the fetus may be suffering hypoxia, meaning that there is a less than ideal or adequate supply of oxygen in the blood. Hypoxia is the most common risk to a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Hypoxia is one of the causes of persistently decreased variability, an absence of decelerations, and late accelerations. The impact of hypoxia on a fetus is related to both the degree and duration of any "insult". An hypoxic event may result in nothing more than a transient dysfunction, in which case it can be called an "insult". A severe insult can cause permanent injury. The term "insult" therefore does not establish whether there has been an injury, and instead refers to an hypoxic event. Brief periods of hypoxia in healthy fetuses do not appear to cause long-term damage. Pre-term infants are more resistant to the brain-damaging effects of asphyxia than full-term infants.</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biophysical profile ("BPP") is performed by assessing fetal health indicators using an ultrasound and the NST. A BPP is considered to be a better predictor of problems with the fetus than just the NST. At the defendant hospital, in contrast to some other Canadian hospitals, BPP's are not routine, and if done, are performed by perinatologists rather than technicians. A consulting obstetrician like Dr. Steele cannot order a BPP at the defendant hospital, and must instead consult a perinatologist to obtain that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perinatologist conducting a BPP will observe the fetus for 30 minutes using an ultrasound on the pregnant woman's abdomen. The BPP is scored from 0 to 10, in even numbers. Each of five factors can be scored either 0 or 2. The factors are observed fetal movement, observed fetal muscle tone, observed fetal breathing, adequate amniotic fluid volume, and reassuring NST.</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An oxytocin challenge test ("OCT") consists of administering the drug oxytocin to a pregnant woman to induce uterine contraction and stress the placenta, and observing how the fetus responds to those contractions. This may result in the premature delivery of an infant, and the infant may then suffer from the complications of prematurity.</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CREDIBILITY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is a case in which all witnesses described what they actually believed had occurred at various times. Of course, evidence that a witness believes is truthful is not always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argued that K.D.'s evidence should be rejected wherever it conflicted with evidence of the defendants or with any written records. They argued that several aspects of K.D.'s testimony simply must be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 example, they argued that K.D.'s evidence that Dr. Kent wondered whether to score the BPP as a five or a six must be wrong, since the test is always scored in even numbers. They argued K.D.'s evidence that Dr. Kent told her she might be sent by helicopter to Edmonton because of a bed shortage was nonsensical, both because of when she says the conversation occurred, and in light of the hospital procedures for such a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Defence counsel argued that K.D. had ruminated over the relevant events for the entire eight-year period before trial. They referred to the fact that K.D. reported ruminating to Dr. O'Shaughnesy, the forensic psychiatrist whose evidence she relies on. Dr. O'Shaughnessy reported that K.D. had ruminated on his first conversation with her, and misinterpreted some of his comments. Defence counsel argued that this rumination, together with treatment K.D. has received for mental illness, have made her memory less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Defence counsel also relied on the evidence of Dr. O'Shaughnessy that depression affects memory, both perception of past events and interpretation of those events, as well as ongoing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Plaintiff's counsel argued that K.D.'s evidence on key issues is reliable and should be accepted. K.D.'s counsel argued that she has suffered difficulty in remembering events since the traumatic events of November 15, 1995, but that her recollection of the events of November 15 is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reliability of K.D.'s evidence is particularly important for three reasons. First, it relates to the determination of what occurred on November 15, 1995. Second, it relates to K.D.'s complaint of negligent misrepresentation, and her memory of what Dr. Steele said to her. Third, her testimony about her thought process was the basis of Dr. O'Shaughnessy's report about the cause of her mental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Significant portions of K.D.'s evidence are not reliable, including her testimony that Dr. Kent wondered out loud whether to score the BPP at a 5 or 6. Her evidence about the sequence of events on November 15, 1995 is particularly unreliable, when considered in light of the medical evidence of the rationale for various procedures, and contemporaneous medical records. K.D.'s depression and rumination may have distorted some of her recollections. I do not reject her evidence in all respects, but instead set out in the following reasons what evidence I accept.</w:t>
      </w:r>
      <w:r>
        <w:rPr>
          <w:rFonts w:ascii="arial" w:eastAsia="arial" w:hAnsi="arial" w:cs="arial"/>
          <w:sz w:val="20"/>
          <w:lang w:val="en-US" w:eastAsia="en-US" w:bidi="ar-SA"/>
        </w:rPr>
        <w:cr/>
      </w:r>
    </w:p>
    <w:p>
      <w:pPr>
        <w:numPr>
          <w:numId w:val="2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CHRONOLOGY</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May 11,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K.D. had accomplished many things by the time she was in her late twenties. She rode horses competitively as a child. She was a competitive rower in high school, and competed at a national level during university. One year, she won her team's "Most Valuable Woman Rower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K.D. completed a Bachelor of Fine Arts degree in 1988. Shortly after that, she purchased a property in Victoria, which she was able to sell later at a significant profit. In 1988, following her first degree, she worked for the Insurance Corporation of British Columbia as a claims representative and later as a claims adjuster.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K.D. married G.D. in around 1990. G.D. had Bachelors' degrees in science and education. K.D. and G.D. moved to the Vancouver area. K.D. began architectural school at U.B.C. in September 1990, and completed it about ten days before the birth of her first child, "Son G.", in May 1993. During the summer breaks in her architecture studies, K.D. worked for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K.D.'s pregnancy with Son G. was considered high-risk because K.D. suffered from an infection which could lead to lesions. If there had been active lesions at the time of delivery, a caesarean section would have been required to minimize the risk to the fetus during delivery. While the risk was small, the potential damage was severe neurological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K.D. was not required to undergo a caesarean section to deliver Son G. K.D. received oxytocin to induce labour at a time that there were no active lesions. Son G. was delivered with the assistance of forceps. K.D.'s tailbone was injured during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Following a six-month maternity leave, K.D. returned to work at I.C.B.C., in a union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K.D. subsequently suffered hyperthyroidism. She took medication for a year, but in January 1995 it was no longer required and she stopped taking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Also following the birth of Son G., K.D. was treated for pre-cancerous changes to her cervix. The defendant, Dr. Steele, performed a cone biopsy, in which he removed a wedge of her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Despite the thyroid and cervix problems, K.D. had an active lifestyle before the birth of the twins, enjoying hiking and kayaking. She had no history of mental illness and had not taken any form of counselling for emotional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K.D. worked for I.C.B.C. again from October 1993 to April 1995. During part of this time she volunteered in the office of Lynn Weiker, an architect. K.D. hoped that in future she could get an internship there towards completing the requirements to register as an architect. K.D. hoped to become a fully qualified architect. Since work as an architect is less financially predictable in the short term, K.D. wanted to maintain the financial security of her position at I.C.B.C. for the short term, and explore how to make the transition to working as an architect.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May 1995, an ultrasound confirmed that K.D. was pregnant with twins. They appeared to be fraternal and to have separate amniotic sacs and placentas. Both K.D. and G.D. were excited about the prospect of becoming parents of twins. Because she was pregnant with twins and had undergone a cone biopsy, K.D. faced an increased risk that she would have an incompetent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Early in the pregnancy, K.D. suffered some bleeding. Her family doctor, Dr. Colleen Lee, advised K.D. to take a leave from work. K.D. did so and stayed at home on bed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Steele assumed care of K.D. as her obstetrician. K.D. suffered chicken pox in July and took medication for it. Also in July, she was tested for certain risks, and appeared to be at low risk of delivering a child with Down's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late August, there were some changes to K.D.'s cervix, and Dr. Steele admitted K.D. to the hospital. Testing there confirmed a concern that her cervix would be incompetent. In an effort to maintain the pregnancy, Dr. Steele performed a cervical cerclage. This procedure was essentially putting a stitch into the cervix to keep the cervix closed so that the fetuses would remain in K.D.'s uterus. This was a particularly difficult cervical cerclage owing to the anatomy of the cervix following the cone biopsy.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Following the cervical cerclage, K.D. remained in the hospital on bed rest. She was subject to bed rest in the "Trendelenburg" position. This is an uncomfortable position with the legs elevated and the head below the pelvis. The purpose of the Trendelenburg position is to try to reduce pressure on the cervix and thereby reduce the likelihood of early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K.D. remained in hospital on bed rest for almost three months, until November 11, 1995. During this period of hospitalization, nurses periodically conducted NST testing of her fetuses. The monitoring typically lasted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During most of this hospitalization for bed rest, K.D. underwent NST testing simply because she was a patient in the hospital and hospital protocol required the testing, rather than because there were concerns about the fetuses which suggested such testing was necessary. However, in October 1995, K.D. had bronchitis exacerbated by her asthma, and NST testing would have been suggested at this time even if K.D. were not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the NST testing, K.D. could usually see the digital readout of the FHR, but not the tracing.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Through conversation with the nurses performing the periodic NSTs, K.D. came to believe that she understood some of the warning signs from NST testing. In particular, she came to believe that the heart rates should be in the range between 140 and 165 BPM, with the higher rates during fetal movement. K.D. came to believe that it was a good sign if there were periodic, sudden heart rate accelerations followed by settling to a rate at the lower end of the range. She came to believe that there was a real concern if the FHR was below 125, and that oxygen deprivation would occur at around 100 BPM.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Technicians also performed ultrasound examinations periodically on K.D. during her hospitalization for bed rest. This testing would have been done even if she had not been hospitalized, both because it was a twin pregnancy and because of the cervical cerclage.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K.D. suffered some anxiety and depression during her three-month bed rest hospitalization. These symptoms appeared to be the result of the boredom of bed rest, the discomfort of the Trendelenburg position, and her continuing concern to maintain the twin pregnancy. K.D. likely also suffered from the loneliness of being separated from her husband G.D. and Son G. G.D. is a high school teacher, and at the time was teaching biology. Son G. was then about 2 1/2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second-last ultrasound conducted during this hospitalization was performed on October 26, 1995. It reported normal growth and normal amniotic fluid for both fetuses.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November 7, 1995, K.D. was given dexamethasone. This drug is used to speed the maturity of the fetal lungs in pregnancies at risk for pre-term delivery. Twins are often born prior to the 40-week term. By this date, the fetuses were viable, meaning that they had achieved a high enough gestational age that they were likely to survive outside the womb. K.D. was relieved that the fetuses were now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last ultrasound conducted during this hospitalization was performed on November 9, 1995. The ultrasound report stated that the gestational age of the fetuses was 33 weeks and three days. The fetuses may, in fact, have been closer to 32 weeks in gestational age. The ultrasound report stated that the fetal trunk growth for one of the fetuses was at the 10th percentile and there was mild oligohydramnios. The fetus in question was the one that was ultimately born second and named Baby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will sometimes refer to the fetus which became Baby K. as the "troubled fetus" and to the fetus which became Baby N. as the "healthy fetus". This is in part to avoid confusion arising from the fact that Baby K. is described in the records as "Twin A" while a fetus, but after birth as "Twin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Most fetuses fall within the 10th to 90th percentile, so the November 9, 1995 ultrasound was reporting one fetus which was smaller than usual. The report of a small fetus can be a measurement error, and so ordinarily an ultrasound showing a small fetus will be repeated in two weeks. Another explanation for a small fetus is that there is placental dysfunction, presenting as fetal growth restriction. Severe placental insufficiency can put the fetus at risk of hypoxia.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"Mild oligohydramnios" is a reference to the amniotic fluid being less than would ordinarily be expected. Amniotic fluid is predominantly fetal urine. Reduced amniotic fluid can be the result of the placenta delivering less blood to the fetus' kidney, causing less production of urine by the kidneys and less amniotic fluid.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Oligohydramnios can indicate an unhealthy placenta. The concern increases with the degree of oligohydramnios. Mild oligohydramnios is not particularly worrisome and is a frequent finding on ultrasound.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Steele told K.D. that one fetus had reduced amniotic fluid and a slower growth rate, but that the results were still within the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Steele discharged K.D. from the hospital on November 11, 1995. She had an NST test prior to discharge. With respect to the fetus that became Baby K., the heart rate was 135, and the tracing showed good variability, small accelerations, and variable decelerations. The small variable decelerations were typical of a fetus with a slightly reduced amniotic fluid, and like the ultrasound test, suggested mild oligohydramnios. This indicated that K.D. should stay on bed rest, which was also suggested by the concerns about her cervix.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plan for K.D.'s discharge was that she would stay on bed rest at home and would undergo outpatient testing. She was instructed to count fetal movements, attend for NST twice a week and a further ultrasound examination in two weeks, and see Dr. Steele at his office as appropriate. Had the ultrasound not shown mild oligohydramnios and potential for small trunk growth, Dr. Steele would not have ordered the NST or ultrasound testing.</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15, 1995</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Centre for Prenatal Diagnosis and Treatment ("C.P.D.T.")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November 15, 1995, K.D. went to the hospital C.P.D.T., which is the outpatient monitoring area. G.D. and Son G. waited in the waiting room. The NST testing commenced in the fetal monitoring area of the C.P.D.T. around 4:11 p.m. The fetus which became Baby N. was monitored for about 20 minutes and the tracing was "reactive" and "reassuring" and the baseline FHR was about 135 to 140. At about 4:20 p.m., a separate machine began monitoring the fetus that became Baby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Even after about 45 minutes, the NST for the troubled fetus was not "reactive". A small portion of the tracing for the troubled fetus was reactive, but most of the witnesses assumed that at that point the monitor was picking up the heartbeat of the other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This tracing was different from both that of the healthy fetus and from the November 11, 1995 NST for the troubled fetus because it was not "reactive". The baseline heart rate for the troubled fetus was about 125. For this gestational age, a FHR as low as 100 BPM is not abnormal.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However, K.D. was concerned about the FHR because the digital read-out of the FHR was lower than it had been in previous testing, and because she wrongly thought 125 BPM was the borderline of the rate for concern. K.D. was able to read the digital read-out of the FHR of each twin fetus during most of the monitoring.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Kent was the perinatologist on call. A nurse from C.P.D.T. paged her at about 4:45 p.m., and when they spoke, told her that one of the fetuses did not display accelerations after about 25 minutes of monitoring. The C.P.D.T. usually closes for the day at around 4:30 p.m. It was usual in such circumstances to transfer the patient to the assessment room to prolong the 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Kent went to K.D. at around 4:45 p.m. and reviewed the strips. In the few minutes before Dr. Kent arrived, there were some small accelerations which would have been consistent with the fetus beginning to wake up. Dr. Kent asked the nurse to monitor the fetus for a further 10 to 15 minutes, even though the unit was officially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Kent told the nurse that if the tracing became "reactive", K.D. could go home and the nurse should book a further NST accordingly. If the tracing did not get better, Dr. Kent asked to be paged again, and they would discuss transferring K.D. to another part of the hospital for longer monitoring. K.D. heard this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Kent also told K.D. directly that the nurse would monitor her for another 10 to 15 minutes and hopefully the fetus would wake up and move around a bit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nurse paged Dr. Kent again around 4:55 p.m. When they spoke, the nurse reported that the tracing was still not "reactive", and so Dr. Kent arranged to transfer K.D. to the assessment room for further monitoring. Dr. Kent intended to review the tracing after another 30 minutes of monitoring.</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Around 5:00 p.m., K.D. was transferred to the assessment room. That is an area for hospital patients considered low risk, and is like an emergency room. K.D. stayed there from about 5:00 p.m. until about 7:20 p.m. G.D. and Son G. were with her most of the time, although they left for part of the time to get food at the hospital cafeteria.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about 5:30 p.m., an assessment room nurse called Dr. Kent and advised her that the strip was no different, and there were no accelerations to speak of. The baseline heart rate was at 112 BPM, and there was a deceleration to 105 BPM. The drop from the previous 125 BPM was not likely to be significant clinically, but it concerned K.D. because of her impressions about healthy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Kent then paged Dr. Steele. When they spoke, she advised him that after about an hour of tracings for one fetus, there were no accelerations and the tracing was "equivocal". She offered to page a resident for him, but he said he would look after that. Dr. Kent did not ask Dr. Steele to come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Steele then spoke to a nurse. He asked her to have a low risk resident assess K.D. and then report to Dr. Steele. Dr. Steele told the nurse he planned to go to the hospital after he finished at his office, and wasn't due to leave until 9:00 p.m. Dr. Steele had patients scheduled until around 8:00 p.m. and was on call at the hospital that evening. He intended to come to the hospital when he finished his office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nurse contacted Dr. Hunt, the resident on call for the low risk area obstetrical unit, which included the C.P.D.T. She told Dr. Hunt that K.D.'s NST was "equivocal" and asked him to do the assessment and report to Dr. Steele.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about 6:05 p.m., Dr. Hunt introduced himself to K.D. and explained that Dr. Steele had asked him to see her because of a concern regarding the NST. Dr. Hunt examined K.D. and took a history from her. Among other things, she told him she was feeling both of the fetuses move, and had been on an antibiotic for a left ear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Later, while still in the assessment room, K.D. thought that one fetus was not being as active as the other, but she did not mention that. She was not checking for fetal movement, in part because the NST monitoring strips made that difficult. She does not have a clear recollection about the fetal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At around 7:00 p.m., following his physical examination of K.D. and his review of the NST tracing available to him and the balance of K.D.'s chart, Dr. Hunt telephoned Dr. Steele, who was still at his office. Dr. Hunt told Dr. Steele that the NST for the troubled fetus had decreased long-term and beat-to-beat variability, and a baseline heart rate of 120 beats per minute with occasional variable decelerations. Dr. Steele understood that the strip was persistently "equivocal", and had been that way for over 90 minutes. Dr. Hunt told Dr. Steele that K.D. was reporting fetal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Dr. Steele's note which he wrote by hand following the surgery later that evening, he stated that Dr. Hunt told him in this call that the NST was "non-reassuring". However, this note was in error. The evidence establishes that Dr. Hunt told Dr. Steele the underlying description of the tracing and that it was "equivocal".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tracing at this time was "equivocal", rather than "non-reassuring", and so it would be surprising for Dr. Hunt to have described it as "non-reassuring". In addition, if Dr. Steele had been told the tracing was "non-reassuring", he would have taken other steps that evening, such as coming to the hospital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K.D.'s counsel suggested that Dr. Hunt was inexperienced in interpreting antepartum NST strips, as distinct from NST strips produced during labour. While he had minimal experience with antepartum strips, Dr. Hunt's interpretation of the strips to Dr. Steele was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Hunt thought at the time that the lack of reactivity was most likely the result of a sleeping fetus. The strip had run so long that was unlikely. However, Dr. Hunt's analysis did not make any difference in this case. Dr. Steele did not think a sleeping fetus was the most likely explanation, and the management plan for K.D. did not depend on Dr. Hunt's reasoning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Drs. Steele and Hunt discussed possible management plans for K.D. This was part of Dr. Steele's work in training Dr. Hunt, rather than because Dr. Steele needed advice from Dr. Hunt. They discussed continuing monitoring, conducting an OCT, or conducting a BPP.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is no highly reliable way to assess a fetus. Doctors know that fetuses can recover from what look like "terrible tracings" without demonstrable harm. The doctor must assess the concern suggested by the NST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When the NST shows some reason for concern but is not sufficiently alarming that delivery is appropriate, further testing may be appropriate. One further test is the BPP, which may be helpful in assessing fetal well-being and has few risks associated with it. Another test is the OCT, which has the risk of inducing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this situation, Dr. Steele believed that a false positive was the most likely explanation, but that further testing was appropriate to rule out hypoxia.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Drs. Steele and Hunt agreed that a BPP was likely the best next step, but Dr. Steele wanted and needed the opinion of a perinatalogist on whether to perform the test or take some other step. Drs. Hunt and Steele discussed that K.D. might require early delivery if the BPP was not "reassuring".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Following the discussion of management plans, Dr. Steele asked Dr. Hunt to ask a perinatologist on call to see K.D. for a consultation, including, if appropriate, a BPP. Dr. Hunt then paged the perinatologist on call, who turned out to be Dr.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Kent telephoned Dr. Hunt in response to the page. Dr. Hunt told Dr. Kent that Dr. Steele requested a perinatology consultation to perform a BPP and asked whether she could do a BPP. There was conflicting evidence concerning whether Dr. Hunt specifically requested a consultation or a BPP, but it is an unimportant distinction in this case. Whatever words were used, Dr. Kent understood that she was asked to assess K.D., including conducting a BPP if she thought appropriate, and to give her opinion to Dr. Steele about the best way to continue to manage K.D.'s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Kent responded that she could do the BPP but she hoped to attend to another matter first, and so needed to know if the tracing result had deteriorated. Dr. Hunt responded that it looked about the way it had from the start of the assessment room monitoring. Dr. Kent decided to deal with the other matter, and then arrived to see K.D. about 25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Drs. Kent and Hunt went to the assessment room and saw K.D. and G.D., who were both with Son G. Dr. Kent explained to K.D. that Dr. Steele had asked her to do a BPP, which was a procedure like an ultrasound, and meant disconnecting the monitor and taking K.D. to an ultrasound machine in a nearby room. Dr. Kent told K.D. the BPP was a 30 minute test to obtain more information and she would be looking for breathing and movement of the fetus. K.D. told Dr. Kent that she had felt some movement by the troubled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Prior to conducting the BPP 30 minute observation, Dr. Kent used the ultrasound to orient herself, to confirm that the healthy fetus looked fine, and to measure the deepest vertical amniotic fluid pocket for the troubled fetus. The fetal heart rate may have appeared briefly on the monitor, while the equipment was in measurement mode.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During the period of about 7:35 p.m. to 8:05 p.m., Dr. Kent conducted a BPP on K.D. in the multipurpose room. This consisted essentially of Dr. Kent operating an ultrasound machine to obtain echo pictures of the troubled fetus, and watching the monitor's display in order to score the BPP. The fetal heart rate was not displayed during the 30 minute observation period. That is because the machine was in the mode for continued observation, not measurement. Dr. Kent asked G.D. and Son G. to leave the room to avoid distracting her during the test, and they left. Dr. Kent was required to concentrate intently on the ultrasound screen, particularly to detect evidence of fetal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During the BPP, K.D. asked if Dr. Kent still thought the fetus was asleep, and Dr. Kent replied that she did not. They discussed the varying movement patterns of fetuses, and K.D. said that the troubled fetus seemed to move most at night. K.D. also told Dr. Kent that she had noticed intermittent bursts of activity from the troubled fetus.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During the last five minutes of the monitoring, Dr. Kent observed a burst of activity, which caused her to give a score of 2 for fetal movement and 2 for fetal tone. K.D. also saw the movement on the monitor.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Kent scored 0 for the NST. She scored 0 for fetal breathing, because she did not see the fetal diaphragm moving. She scored 2 for the amniotic fluid volume, because it was sufficient for that score, even though there was mild oligohydramnios. Accordingly, Dr. Kent scored the BPP test at 6 out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At the time, the recommended management for a BPP score of 6 at a gestational age less than 36 weeks with sufficient amniotic fluid (such as the troubled fetus at the time) was to repeat the BPP in about 24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Having completed the BPP, Dr. Kent paged Dr. Hunt and he came to the assessment room. They discussed the BPP results and management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While Dr. Hunt was nearby, Dr. Kent then telephoned Dr. Steele at his office. This occurred at around 8:10 p.m. Dr. Steele commenced the conversation by saying something like "don't tell me that I'm going to have to drop everything and immediately deliver the patient". Dr. Kent was taken aback by the comment, but responded that "no", the evidence did not suggest that there was an urgent need to deliver the babies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Kent told Dr. Steele the BPP score of 6, with 2 off for each of NST and breathing. That was a result which did not suggest an urgent delivery was required. Dr. Kent also told Dr. Steele about the burst of activity at the end of the BPP. She said the tracing showed decreased variability with a baseline heart rate of 115-119 beats per minute. Essentially, Drs. Kent and Steele thought at this time that the persistently equivocal NST was likely a false positive, and the evidence did not indicate hypoxia.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Drs. Steele and Kent also discussed management options, in light of poor reactivity during over 2 1/2 hours of monitoring. They discussed prolonging the NST monitoring, performing an OCT, discontinuing the monitoring but scheduling a further NST, and repeating the BPP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Kent told Dr. Steele that the usual protocol would be to simply repeat the BPP in 24 hours while discontinuing any other monitoring. However, Dr. Kent stated that she was concerned, and that she thought the monitoring should continue with further tests to be conducted in the morning or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Steele also did not want to just shut off the monitor and did not want to transfer K.D. to a ward without first speaking to her personally. Dr. Steele had concluded, prior to November 15, 1995, that K.D. was someone who required a lot of reassurance.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Drs. Kent and Steele agreed that it was appropriate to continue the NST monitoring, and to transfer K.D. to the high-risk area for that purpose. They discussed that once Dr. Steele was at the hospital, he would likely conduct an OCT, and if that was not done, possibly repeat the BPP the next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Kent told Dr. Steele that K.D. needed to see Dr. Steele because she was concerned. However, Dr. Kent did not say it was urgent for Dr. Steele to see K.D. Dr. Steele told Dr. Kent that he planned to go to the hospital when he finished at his office, but they did not discuss what time that would be. At this point, Dr. Steele was probably about two hours behind schedule in seeing patients in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Hunt overheard some of what Dr. Kent was saying on the telephone to Dr. Steele. He recalls hearing Dr. Kent report the BPP results and then say something like "you will have to assess that yourself".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Counsel for K.D. argued that Dr. Kent told Dr. Steele that she could not assess whether K.D.'s fetuses should be delivered immediately. I reject that interpretation. It is inconsistent with the evidence of both Drs. Kent and Steele, the contemporaneous notes, and the conduct of Dr. Steele in remaining at his office. In addition, it is unlikely that a consulting perinatologist would simply decline to provide an opinion on the significant issue of whether immediate delivery was required. I expect that if Dr. Steele had been told at 6:05 p.m. that the perinatologist could not decide whether to deliver or not, Dr. Steele would have taken immediate steps, such as coming to the hospital to examine K.D. himself. It is more likely that Dr. Kent told Dr. Steele he would have to assess whether to perform an OCT, or assess how K.D. was feeling emotionally.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Kent reviewed the chart, noting the information from Dr. Hunt's examination. She did not conduct her own physical examination because Dr. Hunt's examination was sufficiently recent. She assessed the tracings, did the BPP, and discussed a management plan with Dr. Steele. This constituted a full consultation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Kent completed a consultation record following the BPP. In it, she recorded details from K.D.'s chart, from Dr. Hunt or his note, from what K.D. told her, from her observations of the NST strips, and from nursing admission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Following the BPP, Dr. Kent told K.D. that, even though the BPP showed the fetus moving and that was a good sign, they wanted to continue monitoring, and K.D. would be transferred to the high-risk unit. Dr. Kent also told K.D. that Dr. Steele might do an OCT, and if the test suggested it, the babies could be delivered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Following his discussion with Dr. Kent, Dr. Steele's plan was to transfer K.D. to the high-risk labour and delivery area for further NST monitoring and consideration of further testing and early delivery if the tracing did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K.D. was returned to the assessment room at about 8:10 p.m. At around that time, one of Son G.'s aunts took him to a babysitter's home to spend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Kent told a nurse in the high-risk unit around 8:15 p.m. that Dr. Steele would be coming in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At around 8:30 p.m., Dr. Hunt spoke to Dr. Steele. Dr. Steele remained responsible for K.D.'s management. Dr. Hunt confirmed Dr. Steele's plan to transfer K.D. for further NST monitoring and consideration of further testing and early delivery if the tracing did not improve. Dr. Hunt advised K.D. of this plan.</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High-risk Unit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[20:38 to 21:47 (8:38 p.m. to 9:47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Following the BPP, K.D. was transferred to the high-risk unit where another NST strip commenced. Dr. Hunt ordered blood tests and ordered that K.D. could have full fluids and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Like the earlier tracings, the tracing for the troubled fetus in the high-risk unit was non-reactive. By this time, the baseline heart rate for the troubled fetus was down to around 100 beats per minute, and had decreased amplitude of variability approaching a flat tracing. As stated earlier, an FHR at this gestational age as low as 100 BPM is not abnormal. K.D. wrongly thought it was the rate indicating the fetus was deprived of oxygen.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one point, the troubled fetus' heart rate decelerated to about 90 beats per minute and then to about 80 beats per minute. This was the first major deceleration of the fetal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Kent was at the nursing station near K.D. when she was told there had been a deceleration of the fetal heart rate. At about 8:45 p.m., Dr. Kent came to K.D.'s bedside while the nurses commenced an "intrauterine resuscitation". They administered oxygen to K.D. with an oxygen mask and started an intravenous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Within the next few minutes, K.D.'s physical position was changed (including lowering her head and wedging her hip), and the troubled fetus heart rate resumed beating at roughly 100 beats per minute. It is likely there was some hypoxia during the three to five minute period that the fetal heart rate was down to 80 to 90 BPM.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Kent told K.D. that the steps taken were routine when the heart rate decreased as it had, and the fetus' heart rate had recovered and it was fine for the moment, but that K.D. might be delivered that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Neither Dr. Kent nor the nurses reported these events to Dr. Steele at this time. Dr. Kent did not call Dr. Steele about this deceleration because the heart rate recovered. Dr. Kent told one of the nurses that Dr. Steele would be in soon. Dr. Kent assumed that Dr. Steele was on his way, although they had not discussed the time when he would finish in his office. Dr. Kent told the ward clerk to page her if the nurses had any further concerns about the fetal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K.D. told the nurses that she felt both fetuses moving.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At 9:10 p.m., the nurses took blood from K.D. and sent it for the testing appropriate for a patient who is to undergo surgery. This would enable a fast cross-match in case a transfusion was required during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21:20, being 9:20 p.m., the troubled fetus' heart rate again decelerated suddenly, this time to about 90 BPM, at the same time as the monitor recorded some uterine contractions. It then recovered to 110 BPM. It took about three minutes before the fetal heart rate returned to the baseline of 105 to 110 BMP. That change in baseline was a significant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At around this time, a nurse moved the equipment, with the result that K.D. could not see the digital monitor of the FHR.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 nurse from the hospital contacted Dr. Steele at his office at about 9:25 p.m., and told Dr. Steele that the strip was quite abnormal and he ought to come into the hospital as quickly as he could. An anesthesiologist joined the telephone call and confirmed that. This was the first contact Dr. Steele had received about the status of K.D. since about 8:10 p.m., following the conclusion of the BPP.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Steele stopped what he was doing and immediately drove to the hospital. By around 9:30 p.m., being 21:30, the troubled fetus' baseline heart rate had dropped to 100 BPM, and after a mild deceleration, the baseline drifted down to about 90 BPM at about 9:42 p.m., being 21:42. Dr. Steele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Steele could see some of the NST strip, which was printing on the machine near K.D.'s head. Dr. Steele could see that something was seriously wrong and he needed to deliver the babies. He called for a "stat" (immediate) caesarean section, and then spoke to K.D..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Steele told K.D. that he did not have time to talk, but there was something wrong with the tracing of one of the fetuses, and he needed to do an immediate c-section, so he would prepare that and talk to her more later. At that point, the troubled fetus' heart rate had slipped to about 90 beats per minute. Shortly afterwards it decelerated to about 70 beats per minute. Preparations began for a "stat"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K.D. was quickly moved to a gurney. There was an urgent flurry of activity. K.D. had trouble hearing instructions owing to her ear infection, and consequently received instructions in loud voices, which heightened her distress over the sudden activity and related sounds.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Operation - 21:47 to 22:02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Steele performed the caesarean section on K.D. with the assistance of Dr. Hunt and in the presence of G.D. It was done on an urgent basis, with all available personnel including the high-risk nurses helping. They did not take the time to shave K.D.'s body hair near the surgical field, instead simply pouring iodine over the area. K.D. remained conscious, but was given an epidural anaesthetic to numb the lower half of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healthy fetus, Baby N., was delivered first at around 10:00 p.m. The troubled fetus, Baby K., was delivered about two minutes later. A resuscitation team, consisting of doctors, nurses, and respiratory therapists, was present at the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Baby K. was still, and did not have a heart rate at birth. The resuscitation team inserted a breathing tube and provided oxygen to resuscitate him. They applied pressure to his chest to encourage blood circulation.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Baby K. appeared dysmorphic, meaning that his features were a somewhat unusual. Baby K.'s birth weight and length were at the 50th percentile for 33 weeks, but his head circumference was only at the 10th percentile.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Special Care Nursery ("SCN") staff took immediate responsibility to care for both babies. Baby K was more flaccid than any other baby Dr. Steele had delivered since completing his residency two years before. Drs. Steele and Hunt attended to sewing up K.D.'s uterus.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G.D. wanted to sit down, and was instructed to lie on the floor, which he did. K.D. thought G.D. had passed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G.D. assumed that Baby K. was suffering from oxygen deprivation during the period of his resuscitation. G.D. also assumed, based on the resuscitation time, that Baby K. suffered some brain damage during the resuscitation. G.D. believed that four minutes without breathing would lead to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Dr. Steele did not know how long the resuscitation took, although he knew it took longer than average. He knew this was not a situation where a healthy baby had recovered quickly after resuscitation.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Following the operation, a nurse commented to Dr. Steele that the emergency cart for the operating room was not properly stocked, and the SCN team spent valuable time looking for supplies that should have been on the cart. However, the reported timing of events does not suggest any delay during the surgery or resuscitation. The cart supplies are extras ordinarily used only when there is a problem with the supplies in the resuscitator heater unit on which the baby is resuscitated. It is not likely that any delay actually occurred because the necessary items were present on the operating room emergency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operation, including stitching K.D., concluded around 10:35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Kent encountered Dr. Steele as he was leaving the operating room. Dr. Steele appeared angry. He advised Dr. Kent that one of the fetuses required resuscitation, and Dr. Kent was surprised at that outcome.</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Post-Anaesthetic Recovery ("PAR")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K.D. was transferred to the post-anaesthetic recovery room ("PAR") at about 10:35 p.m. G.D. joined his wife K.D. in the PAR.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Shoo Lee was the on-call neonatologist at that time, and was at his home when Baby K. and Baby N. were born. He was advised of the birth and came to the hospital. He stabilized management of Baby K. and later went to the PAR to speak to K.D..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Steele had a least one conversation with K.D. in the PAR, and at least one conversation with her after her transfer to the postpartum ward named "Arbutus". Dr. Steele was upset following the delivery and angry that he had not been advised earlier about the change in K.D.'s clinical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During his conversations with K.D. and G.D., Dr. Steele said both babies were alive. He said that Baby N. was huge and very vigorous for a premature twin. He said that Baby K. was very ill and appeared dysmorphic, and that might indicate a problem, but was just an impression. He said he was devastated.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Steele said he wished he had been called to the hospital earlier. He said that the resuscitation took longer than average. He told the parents that it was very early, and everyone would have to wait and see how Baby K. was. He told them that someone from the SCN would come and speak to them about the status of the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Plaintiff's counsel argued that Dr. Steele made further significant comments related by K.D. For example, K.D. testified that Dr. Steele said that it took 11 or 12 minutes to resuscitate Baby K. and that they usually stopped resuscitation efforts after eight minutes. K.D. testified that Dr. Steele said the resuscitation continued for this unusually long period because staff felt badly about the delay in delivery. K.D. also testified that Dr. Steele said that kind of resuscitation would have caused severe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reject the submission that Dr. Steele made these further comments. I am satisfied that Dr. Steele did not know how long the resuscitation took, did not believe that there was a policy of ceasing resuscitation after a certain time period, and did not believe that the resuscitation necessarily caused brain damage, and therefore would not have made such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also reject the submission that Dr. Steele said that Baby K.'s condition was caused by a delay in delivery, that someone would be coming to ask the parents to take the baby off the ventilator, and that things would have been different if he had been there 20 minutes earlier. Dr. Steele did not have enough information at that point to formulate an opinion about Baby K.'s condition or its cause, and would not have made such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Around 11:40 p.m., Dr. Shoo Lee told K.D. that Baby K. had no heart rate at birth but was successfully resuscitated. He told her Baby K. was very sick, and they were not sure whether he would survive or whether there would be long-term consequences, but they were doing everything they could. He told her they would keep her advised. Dr. Shoo Lee does not have a specific recollection of this discussion. However, based on the clinical records and his standard practice, the evidence establishes on the balance of probabilities that the conversation occurred.</w:t>
      </w:r>
      <w:r>
        <w:rPr>
          <w:rFonts w:ascii="arial" w:eastAsia="arial" w:hAnsi="arial" w:cs="arial"/>
          <w:sz w:val="20"/>
          <w:lang w:val="en-US" w:eastAsia="en-US" w:bidi="ar-SA"/>
        </w:rPr>
        <w:cr/>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16, 1995 to November 23,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morning after birth, Baby K. was in an incubator in his own room in the SCN.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Baby K. was examined by ultrasound on November 16, 1995, at about eleven hours after birth. The attending paediatric neuroradiologist interpreted the ultrasound as showing "diffuse increased echogenicity of the cerebral parenchyma seen throughout both cerebral hemispheres with small lateral ventricles bilaterally". In other words, the attending paediatric neuroradiologist reported evidence of cerebral edema, being swelling of the brain. This is discussed in more detail below under the heading "Baby K.'s Brain Study Interpretation: Dr. Armstrong and Dr. Sargent, Paediatric Neuroradiologists". Interpretation of this ultrasound was contentious and the opposing opinions of Drs. Armstrong and Sargent are set out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Also on November 16, 1995, a social worker at the hospital met with K.D. and G.D., and noted that their primary concern was whether or not they would be put in the position of having to make a decision regarding removal of life support from Baby K., and their secondary concern was whether Baby K. would be severely disabled due to neurological damage. K.D. and G.D. did not find the reality of having a child with Down's Syndrome as overwhelming as the fear that he may have significant special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the first day or two after birth, Baby K. looked swollen, which suggests he had edema. Around this time, K.D. developed an infection around the surgical incision.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On November 19, 1995, at age four days, Baby K.'s head was examined by ultrasound and CT scan. Dr. Sargent, who was the paediatric neuroradiologist interpreting the report at the time, wrote that "although the echogenicity on the original study appeared abnormal, the echogenicity on the present study is normal". He also reported bilateral symmetrical patchy areas of edema including the central structures. Again, this interpretation was contentious and is discussed in more detail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On November 20, 1995, at about 84 hours (3 1/2 days) after birth, Baby K. was extubated, meaning that his breathing was no longer controlled externally. Baby K. appeared to be recovering to some extent at this time, and looked less swollen. He had a rash in a skinfold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On November 20, 1995, K.D.'s placenta was received by the pathologist's laboratory. This delay in transporting the placenta from the delivery room to the laboratory was not explained. While there were irregularities in completing forms, the evidence establishes that the placenta examined by Dr. Baldwin was K.D.'s placenta. Dr. Baldwin's pathology report is discussed below under the heading "November 24, 1995 to June 13,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On November 21, 1995, a preliminary report stated that Baby K. had trisomy 21 in all cells, confirming Down's Syndrome. This was later confirmed in a final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On November 22, 1995, K.D. was discharged from hospital. She went home with Baby N., Son G., and G.D. Baby K. was in hospital and was moved from low-risk to high-risk.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On November 22, 1995, at about age seven days, Baby K. was stable, although being provided with an environment which was 100% oxygen. However, later that day his condition began to deteriorate, with heart concerns and concerns about an infection in the bloodstream which was spreading throughout the body. Baby K. was not able to resist this infection, resulting in disseminated intravascular coagulation ("DIC"). In other words, Baby K.'s blood clotting factors were depleted and Baby K. had widespread bleeding from multiple organs and orifices, skin, lungs, and puncture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By this time it was apparent that Baby K. had a PDA (patent ductus arteriosus) with a left-to-right shunt, and there were concerns that this could not be treated because of other problems suffered by Baby K. The PDA refers to a blood vessel reopening which should close permanently at birth when a baby starts using its lungs. The PDA causes blood to back up, and with a left to right shunt, to flood the lungs, leading to respiratory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 November 23, 1995, at about age eight days, Baby K. was deteriorating slowly. He had more laboured aspirations. He had septicaemia, an infection throughout the body and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hospital records show that the parents had telephoned earlier and expressed the desire that Baby K. not be the subject of resuscitation or intubation, and three doctors agreed. It was the practice of the hospital's neonatal intensive care unit that two doctors must be in agreement before a decision can be made not to resuscitate a patient or to withdraw treatment. In this case, the three doctors were all pediatricians and they all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K.D. and G.D. have no recollection of providing these instructions to the health care professionals. On the balance of probabilities, their lack of memory is the result of the grief and trauma associated with that period, but the conversations did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Later on November 23, 1995, there was a meeting of the team including doctors, nurses, the respiratory therapist and a social worker. Those individuals unanimously concluded that Baby K. had a poor long-term prognosis and might not survive the present infection. Baby K.'s oxygen saturation was dropping, although it might have been temporarily reversed by intubating and ventilating Baby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Shoo Lee telephoned G.D. at home and advised him of this, and sought the parents' instructions. G.D. asked K.D. her wishes, but she said she was incapable of making a decision at that point, and left the matter to G.D. G.D. told Dr. Shoo Lee that they did not want Baby K. to be intubated unless he was clearly getting better and intubation would facilitate continued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G.D. now regrets the decision he made, even though he was acting on medical advice and with the hope of minimizing Baby K.'s suffering. He believes this decision has caused great suffering to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At around 8:00 p.m. on November 23, 1995, Baby K. died in his parents' presence. The death certificate states the cause of death was cardiac failure because of hypoxia due to sepsis, PDA and other significant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K.D. and G.D. declined an autopsy for Baby K. Neither K.D. nor G.D. recall being asked about an autopsy, but their memory is impaired.</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24, 1995 to June 13,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There was a memorial service for Baby K.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In the first few months following the delivery of the twins and the death of Baby K., Baby N. continued to thrive. K.D. and G.D. have little recollection of this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Baldwin, the consulting pathologist, prepared a report printed November 27, 1995 regarding Baby K.'s placenta. Her report said that the placenta had an unusual but widespread abnormality in its blood vessels, called vasculopathy. Dr. Baldwin noted that only one-third of the placental tissue of Baby K. appeared normal. She wrote that she did not know the cause of the blood vessel problems, and it was not explained by the Down's Syndrome. She wrote that the degree of vascular impairment and acute thromboses (clots within or outside vessels) was enough to explain heart irregularities in the fetus. The delay in delivery of the placenta did not affect the conclusions she made after examining the placenta.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late February 1996, K.D. wrote a letter of complaint to the hospital. In the letter she said she had barely begun to describe her complaints. K.D.'s letter makes reference to not including parents in a review of Baby K.'s death, and K.D. wrote that she was suspicious about how Baby K. got an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On April 12, 1996, K.D. and G.D. had a lengthy meeting with Dr. Steele. K.D. and G.D. obtained the impression during this meeting that Dr. Steele thought he had acted appropriately, but thought Dr. Kent and the hospital had not communicated to him the urgent need for him to get to the hospital on November 15, 1995. By this time, K.D. and G.D. had obtained a copy of the placenta pathology report, but not the NST tracings.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By the spring of 1996, K.D. was suffering emotionally. In May 1996, she started seeing Dr. Carter, a psychiatrist. K.D. found the appointments difficult in part because they were on the hospital site. Dr. Carter prescribed medications, but they were of little benefit. Nurse's notes from May refer to K.D. ruminating about the death of Baby K., having trouble deciding whether to attend a meeting at the hospital, and being overwhelmed about deciding whether to terminate treatment. It also refers to K.D. feeling she was to blame for the death of Baby K. because she was not more assertive.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the spring of 1996, K.D. began physically harming herself. She would cut her abdomen in the region of the caesarean scar with razors. She also became suicidal. Dr. Carter diagnosed her at that time as suffering major depression post-partum, with some depression being related to the grief of the loss of a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K.D. had planned to return to work at I.C.B.C. in May 1996, when her maternity leave ended. She did not do so owing to her health. She began receiving long-term disability benefits on May 22, 1996 in the monthly amount of $1,860.</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14, 1996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K.D. voluntarily admitted herself to St. Paul's Hospital psychiatric ward on June 14, 1996. The records of the time show that she reported considering killing herself. She was given powerful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On June 16, 1996, K.D. was committed as a psychiatric patient at St. Paul's. K.D. and G.D. were angry about this committal, apparently unaware that K.D. could be kept in hospital against her will. Hospital notes from this time include reference to hallucinations, with K.D. seeing and hearing her dead infant, and having flashbacks of the birth of the twins and the death of Baby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Around this time, K.D. applied for long-term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On June 21, 1996, K.D.'s involuntary admission ended, but she continued to stay on a voluntary basis at St. Paul's Hospital psychiatric ward. Hospital notes from this time refer to K.D. being preoccupied with thoughts of Baby K.'s death. During this hospitalization, K.D. continued to take steps to harm herself. These included steps to cut at her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K.D. was treated by electro-convulsive therapy ("ECT") at St. Paul's Hospital. The hospital records suggest that it provided some relief for her from suicidal thoughts, self-harm and repetitive thoughts. K.D. does not recall feeling relief, but it probably occurred, although only temporarily. The treatments caused profound temporary memory loss. K.D. now regrets having taken the ECT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K.D. was discharged from St. Paul's on July 22, 1996. At that time, her diagnosis was post-partum depression with psychotic features, severe-perinatal loss of twin, and that she had 5 treatments of 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Commencing in October 1996, K.D. also started receiving CPP disability benefits in the monthly amount of about $900, which was in addition to her long-term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K.D. continued to care for Son G. and Baby N. at home, although she was depressed and exhausted and had little human contact beyond her family. G.D. cared for the children as well when he was home from work. K.D. continued to obtain treatment from Dr. Carter. K.D. suffered ongoing obsessional thoughts with ruminations over what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For about two years starting in the fall of 1996, K.D. returned to volunteer at Ms. Weiker's architectural office, sometimes two mornings a week, but not consistently. Sometimes K.D. did not go because of her own health concerns, and sometimes because of Ms. Weiker's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In March 1997, K.D. wrote Dr. Steele requesting a complete copy of his file and saying "I need to confirm everything that happened and exactly why my son 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May 1997, Dr. Carter added the diagnosis of Post-Traumatic Stress Disorder, and noted symptoms compatible with Mixed Anxiety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the fall of 1997, K.D. and G.D. met with Ms. Sutherland-Boels, then vice-president of patient services at the hospital, and Dr. Pendleton, a perinatologist. Dr. Pendleton suggested that the troubled fetus was in trouble before K.D. arrived at the hospital on November 15, 1995, and that the damage he suffered had already occurred. K.D. and G.D. did not believe this explanation. K.D. thought that this was inconsistent with what she observed in the delivery room, and her view that it would take a heart rate of well below 125 BPM to cause multi-organ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K.D. and G.D. and their two children as plaintiffs commenced this lawsuit in November 1997. Later K.D. became the sole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K.D. continued to suffer emotionally. She continued to be periodically treated in hospital for the results of cutting her abdomen. Once she wrote in chalk on the sidewalk of the hospital entrance and a stairwell that the hospital killed her baby.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January 1998, K.D. arrived unannounced at Dr. Steele's office and appeared angry. She said she had been speaking with Drs. Wilson and Pendleton. She indicated that she was concerned that Dr. Steele should have come to the hospital earlier than he had on the night of November 15,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early 1998, K.D. was examined by Dr. Perry at the U.B.C. Mood Disorder Clinic. Dr. Carter had referred K.D. to Dr. Perry for a further opinion. Dr. Perry thought that K.D.'s thinking around the death of her baby seemed psychotic, and Dr. Perry considered that K.D. had a psychotic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K.D. approached the Ministry of Social Services seeking help to care for her home and family. To her dismay, they investigated whether she was a fit mother, in part because she had been diagnosed with a mental illness. She continues to fear that her children will be removed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By June 1998, Dr. Carter's records make reference to K.D. having flashbacks to the time of the caesarean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hospital provided K.D. with some money for art therapy and she found this of some assistance in the summer of 1998. She did not pursue this therapy because of financial and transportation concerns. She took a woodworking course and small business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the fall of 2002, K.D. paid about $4,600 for oars and a rowing skull in the hope that rowing would give her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K.D. volunteered as supervisor of the chess club attended by one of her sons, and coached field hockey. She also attempted to do some rowing coaching but was unable to continue this due to concentration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At trial, K.D. was 37 years old. She had not worked in the eight years since the birth of the twins and the death of Baby 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K.D. has been a stay-at-home mother with her two sons, G. and N., who at the time of trial were about age 10 and 8. However, her functioning has been significantly impaired. G.D. does a significant amount of the childcare and other domestic duties. The home is not nearly as well kept as it was before the birth of the twins.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K.D. frequently thinks about the delivery and becomes enraged. She feels she has not had a break from the memory since November 15, 1995, although the memory was dulled around the time of the ECT treatments. She dreams about it daily and feels helpless.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K.D. is usually fatigued. She suffers difficulty sleeping and is often woken by nightmares. She has used sleeping medications but they have provided limited assistance. She has problems concentrating and with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K.D. finds that several things will trigger stress and tension and thoughts about the delivery. The triggers include hearing banging and sirens, being jostled as though someone is in a hurry, and people or mannerisms which remind her of the doctors involved in the delivery. She may shake and tremble and have trouble speaking. Years ago these episodes lasted for up to ten minutes, but now they usually last for under one minute. Sometimes K.D. will shriek in response to these triggers, and it can take hours or days for her to fully calm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K.D. overreacts to cries by the surviving twin, who is now Son N. K.D. is very reluctant to see doctors or go to the hospital. She rarely has more than a few good days in a row. She continues to have urges to cut herself and has suicidal thoughts.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K.D. is not presently taking medications except for asthma and thyroid problems. Over the years, Dr. Carter prescribed a number of different antidepressant and antipsychotic medications with only marginal improvement. K.D. is seeing Dr. Carter about monthly. She gets some relief from exercise. She struggles with self-control.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G.D. presently teaches high-school photography. He had not taken any extended leaves from works since November 15,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Before Baby K. died, K.D. and G.D. wanted to have a family of three or four children. However, they have not had any further children, out of concern over K.D.'s ability to cope with pregnancy and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the summer of 2003, G.D. and K.D. acquired a new property. G.D. was on summer vacation from his work as a high school teacher. G.D. and K.D. personally made renovations to this new property, and it was sold in the fall of 2003 for a gross profit of about $70,000. K.D. was able to do some painting and planning of designs, although this was not easy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On November 14, 2003, K.D. transferred her interest in the family home to G.D. The market value had increased by about 25% from the purchase price. At the time of trial, K.D. and G.D. were making improvements to their home for the purpose of renting it. Their evidence was that the property is in G.D.'s name in the hope that he can claim tax deductions against his income, which is greater than K.D.'s income.</w:t>
      </w:r>
      <w:r>
        <w:rPr>
          <w:rFonts w:ascii="arial" w:eastAsia="arial" w:hAnsi="arial" w:cs="arial"/>
          <w:sz w:val="20"/>
          <w:lang w:val="en-US" w:eastAsia="en-US" w:bidi="ar-SA"/>
        </w:rPr>
        <w:cr/>
      </w:r>
    </w:p>
    <w:p>
      <w:pPr>
        <w:numPr>
          <w:numId w:val="3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KEY MEDICAL EVIDENCE</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Baby K.'s Placenta - Dr. Jevon, Pathologist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defendant Dr. Steele led the evidence of Dr. Jevon, a physician with an anatomic pathology specialty and paediatric pathology subspecialty. Dr. Jevon reviewed Dr. Baldwin's November 27, 1995 report and description of K.D.'s placenta, and examined the stained slides prepared from that placenta. He did not review the photo taken of the placenta because it has been mislaid. He did not review Baby K.'s chart and was not aware that K.D. reported fetal movement prior to delivery, or of the results of NST testing, or that Baby K. had Down's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Dr. Jevon was cross-examined, including on the issue of whether the placenta he was reporting on was Baby K.'s. I accept Dr. Jevon's opinion, and that it was based on Baby K.'s placenta.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Dr. Jevon's opinion, the placenta was quite abnormal. Sections of the fetal side showed recent and remote thrombi, which are clots within or outside blood vessels. Some vessels showed signs of decay which would take days to have progressed to that stage. Some vessels showed signs of a repair process which occurs only five days to two months after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abnormal part of the placenta had changes indicating chronic or longstanding hypoxia. The changes indicate extensive thrombosis (clotting) of vessels of varying age and changes which usually occur over weeks or months. The possible causes of the clotting problem include genetic or chromosomal causes like Down's Syndrome, and certain infections.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Dr. Jevon's opinion, the changes would be expected to result in severe fetal growth restriction and fetal death, and had occurred over a long duration. In his opinion, the changes exceeded those usually seen in association with intrauterine fetal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Dr. Jevon's opinion, it is highly unlikely that this pregnancy would have progressed to term. In his opinion, it is likely the troubled fetus was in the process of intrauterine demise, which was interrupted by the caesarean section.</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Baby K.'s Brain Study Interpretation: Dr. Armstrong and Dr. Sargent, Paediatric Neuroradiologists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Paediatric neuroradiologists are specialists in interpreting studies, including computed tomography ("CT") scans and ultrasound studies of the brains of children including newborns. There was conflicting evidence from two paediatric neuroradiologists regarding interpretation of the two ultrasound studies and the single CT scan conducted on Baby K. during his short life. They differed in particular on whether the studies provided evidence of cerebral edema.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"Hypoxia" is the lack of oxygen getting into the blood. "Ischemia" is the lack of oxygenated blood getting to the brain. "Encephalopathy" means sick or damaged brain. When a brain suffers hypoxic ischemic encephalopathy, also called "HIE", one of the effects is that there is a loss of the control of water inside and outside of brain cells. This causes water to flood the brain tissue, and in the acute phase, causes swelling of the brain, known as cerebral edema.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Other signs and symptoms associated with HIE include acute organ dysfunction, which may result in cerebral palsy.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Edema develops slowly after HIE. HIE suffered at birth would not normally result in edema demonstrable on ultrasound within 11 hours of birth, which is when the first ultrasound study was done on Baby K.'s brain. Edema is expected to peak at approximately 72 hours after HIE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Paediatric neuroradiologists look for signs that cerebral edema has occurred. In this case, both experts considered echogenicity. Dr. Sargent also considered impact on the ventricle system, while Dr. Armstrong also considered the size of the interhemispheric fissure.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"Echogenicity" refers to how much the item being examined reflects the ultrasound waves. Bone is highly echogenetic, while fluid-containing structures are low in echogenicity. By convention, the highly echogenetic structures look white on the ultrasound and the low ones black. If a structure becomes abnormal, its echogenicity may change from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ventricles are fluid-containing structures in the brain. Small ventricles are consistent with brain swelling, because it is assumed that the ventricles flatten to make up for the space in the skull taken by the edema.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Paediatric neuroradiologists become skilled in identifying what looks normal on an ultrasound study and CT scan of a newborn brain. In the words of Dr. Sargent, the expert called on behalf of Dr. Steele, assessing cerebral echogenicity is an "art" rather than a really hard objective finding. In addition, interpretation of an ultrasound or CT scan is more difficult in the case of premature babies, and more difficult the more premature the birth.</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Armstrong, Plaintiff's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Dr. Armstrong, the expert who testified at the request of K.D., practises at the Hospital for Sick Children in Toronto, Ontario. In Dr. Armstrong's opinion, the studies of Baby K.'s brain do not indicate any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Dr. Armstrong's opinion, both of the ultrasound studies were normal, and neither of them show the brightness which indicates increased echogenicity. In his opinion, the November 19, 1995 ultrasound shows more echogenicity than the one of November 16,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In Dr. Armstrong's opinion, the normal structures of the brain were well-defined in the November 16, 1995 ultrasound, while in cases of cerebral edema, the definition of normal structures is lost. In his opinion, the CT scan was normal.</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Sargent, Defence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Sargent is the paediatric neuroradiologist who testified at the request of Dr. Steele. He is on staff at the hospital. He is one of two or three doctors in British Columbia practising paediatric neuroradiology.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Dr. Sargent's opinion, Baby K.'s brain suffered injury at least 12 hours before birth, and because the first ultrasound is so abnormal, possibly two or three days prior to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In Dr. Sargent's opinion, the November 16, 1995 ultrasound was clearly abnormal. He agreed with the attending doctor that it demonstrates small ventricles and diffuse increased echogenicity, which is evidence of cerebral edema. In Dr. Sargent's view, the echogenicity is at the extreme end of the spectrum. In other words, in his opinion, parts of the ultrasound scan were very abnormally bright.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Dr. Sargent prepared the initial report on the second ultrasound study. He reported that the echogenicity had returned to normal in comparison with the first ultrasound. At trial, he was less convinced that the echogenicity had returned to normal. In his opinion, there was some, but less, abnormal echogenicity or brightness on the second ultrasound. In his opinion, the ventricular system was normal in size, shape and position on this second ultrasound. This finding is consistent with the edema having peaked and being part way to resolving. It would not be expected if the edema was due to HIE at birth, and is evidence that the injury occurred hours or days prior to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Dr. Armstrong and Dr. Sargent agreed that the ventricles in the second ultrasound were bigger than in the first ultrasound. Only Dr. Sargent, however, considered that to be a factor which was consistent with a finding of cerebral edema. Dr. Sargent agreed that it was a less significant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Dr. Armstrong was of the view that the interhemispheric fissure did not appear to be reduced in size, and that indicated the absence of edema. Dr. Sargent disagreed with both the observation and the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Dr. Sargent's opinion, the CT scan is abnormal, and demonstrates patchy edema in some areas of the cortex, and provides evidence of central edema involving the thalamus. In his opinion, that is unequivocal evidence of injury to the brain.</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Both paediatric neuroradiologists who testified were highly qualified in their field. I accept the evidence of Dr. Sargent and reject the evidence of Dr. Armstrong where it conflicts with that evidence, for the following reasons: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Sargent's opinion is more consistent than Dr. Armstrong's with the clinical findings of Baby K.'s multi-organ failure;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Sargent's opinion is consistent with the opinion of the attending paediatric neuroradiologist, who would have seen far more of the ultrasound results than the 16 still images remaining from the "live" ultrasound and available at trial and to the experts;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Sargent practises at the hospital, and is therefore more familiar with the particular ultrasound machines and their brightness levels, and reviewed the original studies. Dr. Armstrong did not see the originals until the trial. He agreed that the originals look brighter than the copies he reviewed in preparation of his report, although in his opinion the content was essentially the same;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Sargent practises at the hospital and regularly reviews ultrasound studies from the special care nursery. In contrast, Dr. Armstrong is not involved in reviewing ultrasounds for diagnostic purposes, but only when comparing them with CT and Magnetic Resonance Imaging studies and for legal cases.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of Baby K.'s Death: Dr. Perlman and Dr. Solimano, Neonatologists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There was conflicting evidence from neonatologists regarding the cause of Baby K.'s death. Neonatologists are pediatricians who have completed subspecialty training in neonatology, being the diagnosis, treatment and prognosis of medical conditions of the newborn infant.</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Perlman, Plaintiff's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Dr. Perlman testified on behalf of K.D. In his opinion, Baby K. was a disadvantaged twin fetus while in K.D.'s uterus owing to placental insufficiency which existed for the last weeks of the pregnancy; at birth, Baby K. demonstrated that he had been asphyxiated very recently, and had been in a life-threatening condition during the hours prior to birth; it was likely although not certain that Baby K. sustained irreversible brain injury around the time of birth; and Baby K. developed a serious multisystem dysfunction including an acute brain illness during the first few days after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In Dr. Perlman's opinion, Baby K. recovered from the HIE with multisystem involvement four to five days after birth to the extent that he could be transferred out of the intensive care unit, but was soon returned; Baby K. was not treated actively after this point because the parents were advised that he would not survive even with intensive care; and the immediate cause of death was the withholding of mechanical ventilation.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Dr. Perlman gave little weight to the information from the blood sampling of Baby K.'s umbilical cord. In his opinion, the sample was very unlikely arterial, in part because it is difficult to get a sample from the artery, and in part because the measurements were inconsistent with the NST and Baby K.'s condition at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Dr. Perlman's opinion, the time course of Baby K.'s observed seizures was most consistent with the timing of the insult some time during the last several hours before birth. In his opinion, the multisystem findings related to the lungs, cardiovascular system, kidneys, liver, and haematological system were consistent with post-asphyxial HIE, and with timing of insult some time within 12 to 24 hours before birth. In his opinion, the large numbers of nucleated red blood cells and their persistence suggest that fetal hypoxemia (low blood oxygen levels) had been present for at least some days before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In Dr. Perlman's opinion, Baby K.'s serious infection was likely from an organism which rarely causes a lethal illness, and was treated appropriately with antibiotics. In his view, Baby K.'s DIC was mild, and there was no serious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Dr. Perlman's opinion, Baby K.'s death was caused by a series of events, chronologically being as follows: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placental insufficiency causing growth restriction, hypoxemia and later hypoxia, thrombocytopenia, and relative neutropenia, but the placental hypoxia here may not have caused brain injury, since K.D. did not experience a loss of fetal movements;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asphyxia during birth;</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HIE with associated multisystem dysfunction;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suspected sepsis with DIC, but was unlikely to be lethal;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withholding life support was the precipitating cause of death, but the previous four causes were the underlying causes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Perlman relied on Dr. McGrath's opinion that Baby K. would have suffered shorter hypoxia if the NST had been acted upon earlier, and that the standard of care demanded that Baby K. be delivered three hours earlier than he was. Dr. Perlman also relied on Dr. Armstrong's opinion.</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Solimano, Defence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Dr. Solimano is a neonatologist who testified at the request of the hospital. In his opinion, sometime between November 11 and 15, the decreased function and reserve of the troubled fetus' placenta led to marked acute on chronic multisystem injury, including central nervous injury. In addition, the troubled fetus suffered deterioration of cardiac function and accumulation of fluid in the subcutaneous tissue and pleural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Dr. Solimano's opinion, the NST and BPP testing showed the results of the in-utero central nervous injury. In his opinion, due to poor in-utero cardiac function, the troubled fetus failed in transition and lost his heart rate at birth. Baby K. required aggressive resuscitation, cardiac support was a major component of his resuscitation and newborn management, and heart failure remained a major problem until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In Dr. Solimano's opinion, delivery at an earlier time on November 15 would not have affected Baby K.'s clinical condition, degree of encephalopathy (brain illness) or ultimate outcome. There was no evidence that there were any delays in resuscitation due to equipment availability or any other factors at the time of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 Dr. Solimano's opinion, both the lack of reactivity and accelerations of the non-reassuring NST, and the lack of breathing movements of the BPP, indicate that the troubled fetus' autonomic nervous system was absent or depressed. The autonomic nervous system is the part of the nervous system responsible for control of the bodily functions not consciously directed, such as breathing, the heartbeat, and digestive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clinical records show that Baby K. had a large heart, and a moderate amount of pleural fluid. In Dr. Solimano's opinion, these are signs of heart failure in-utero.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The clinical records show that Baby K. developed persistent pulmonary hypertension and required a high level of ventilatory support, even though a chest radiograph indicated that he had only a minor degree of respiratory distress syndrome, a lung immaturity of the premature. In Dr. Solimano's opinion, this is associated with conditions with chronic in-utero hypoxia due to placental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Baby K. showed signs of injury not only to the central nervous system, heart and lungs, but also to his kidneys, liver, adrenals and clotting system. In Dr. Solimano's opinion, such a degree of multisystem injury is only seen in the most severe cases of hypoxia-ischemia.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Solimano relied on Dr. Sargent's opinions regarding the ultrasound study and CT scan interpretation, to the effect that Baby K. showed the injury patterns typical with both acute near total intrauterine asphyxia and with partial prolonged asphyxia. In Dr. Solimano's opinion, this could be because in the most severe cases of hypoxic-ischemic injury both patterns tend to extend towards the other, reflecting a more generalized necrosis of the central nervous system.</w:t>
      </w:r>
      <w:r>
        <w:rPr>
          <w:rFonts w:ascii="arial" w:eastAsia="arial" w:hAnsi="arial" w:cs="arial"/>
          <w:sz w:val="20"/>
          <w:lang w:val="en-US" w:eastAsia="en-US" w:bidi="ar-SA"/>
        </w:rPr>
        <w:cr/>
      </w:r>
    </w:p>
    <w:p>
      <w:pPr>
        <w:numPr>
          <w:numId w:val="4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Once again, both neonatologists who testified were well-qualified in their field. I accept the evidence of Dr. Solimano and reject the evidence of Dr. Perlman where it conflicts with that evidence, for the following reasons:</w:t>
      </w:r>
      <w:r>
        <w:rPr>
          <w:rFonts w:ascii="arial" w:eastAsia="arial" w:hAnsi="arial" w:cs="arial"/>
          <w:sz w:val="20"/>
          <w:lang w:val="en-US" w:eastAsia="en-US" w:bidi="ar-SA"/>
        </w:rPr>
        <w:cr/>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Perlman assumed that Baby K.'s umbilical cord blood gas measurements were incorrectly taken from the vein instead of the artery, even though the evidence was that such sampling at the hospital was likely correct. In contrast, Dr. Solimano assumed that the measurements were correct, and showed that Baby K. was not hypoxic at birth. But Dr. Solimano was also of the opinion that the placenta was so sick that the samples would have been similar whether from the vein or the artery in any event;</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Perlman put significant weight on the fact that K.D. reported continuing fetal movement. The evidence was that it is very difficult for a mother to accurately distinguish which of twin fetuses is moving, and that K.D. reported that the troubled fetus seemed to move most at night;</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Solimano's opinion was based on conclusions about the ultrasound and CT scan studies which were consistent with Dr. Sargent's opinion, which I have accepted. In contrast, Dr. Perlman relied on the opinion of Dr. Armstrong, which I have not accepted;</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Perlman relied on the opinion of Dr. McGrath, which as discussed below I have not accepted, while Dr. Solimano reviewed the NST strips, and his conclusions were consistent with Dr. Simpson's opinion; and</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Perlman wrongly assumed that the BPP score included a 0 for insufficient amniotic fluid and absence of signs of fetal breathing. In fact, the BPP was scored 2 for adequate amniotic fluid, but 0 for a non-reassuring NST. Dr. Perlman considered this an unimportant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doctors differed about the significance of Baby K.'s seizure activity decreasing over his brief life. Dr. Perlman was of the view that this indicated recovery, while Dr. Solimano was of the view that this indicated that Baby K. was losing brain activity.</w:t>
      </w:r>
      <w:r>
        <w:rPr>
          <w:rFonts w:ascii="arial" w:eastAsia="arial" w:hAnsi="arial" w:cs="arial"/>
          <w:sz w:val="20"/>
          <w:lang w:val="en-US" w:eastAsia="en-US" w:bidi="ar-SA"/>
        </w:rPr>
        <w:cr/>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of K.D.'s Psychiatric Illness:</w:t>
      </w:r>
    </w:p>
    <w:p>
      <w:pPr>
        <w:spacing w:before="120" w:line="260" w:lineRule="atLeast"/>
        <w:ind w:left="14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Dr. O'Shaughnessy,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K.D. relied on the evidence of Dr. O'Shaughnessy, an expert in forensic psychiatry. Dr. O'Shaughnessy's opinion was based on about 3 1/2 hours of interviews with K.D., a telephone conference with G.D., and review of K.D.'s medical records from August 23, 1995 until about late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Dr. O'Shaughnessy's opinion, K.D.'s memory regarding communication in the period November 15-23, 1995, is likely suspect given her emotional state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Dr. O'Shaughnessy's opinion included the following statements:</w:t>
      </w:r>
      <w:r>
        <w:rPr>
          <w:rFonts w:ascii="arial" w:eastAsia="arial" w:hAnsi="arial" w:cs="arial"/>
          <w:sz w:val="20"/>
          <w:lang w:val="en-US" w:eastAsia="en-US" w:bidi="ar-SA"/>
        </w:rPr>
        <w:cr/>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death of her child, K.D. has had what can only be described as profound psychiatric disturbance. For all intents and purposes she has been disabled emotionally, psychologically, and socially since November 1995 despite aggressive treatment for her psychiatric disturbances. Her diagnosis is difficult to define and it would certainly appear that she has multiple different disorders that are co-occurring. Unfortunately, these disorders overlap and it is difficult to separate them out into cleanly circumscribed disorders.</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a number of symptoms compatible with depression, a number of symptoms compatible with Post-Traumatic Stress disorder, a number of symptoms compatible with Generalized Anxiety Disorder, and in addition symptoms of obsessive-compulsive behaviours.</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symptoms of depression were the profound depressed mood as well as the irritability and anger episodes, the impairment in energy, drive, and motivation, as well as chronic fatigue and loss of abilities to enjoy activities or interests. As well, she experienced marked sleep impairment with difficulties both initiating and maintaining sleep. She expressed suicidal ideation with active and passive thoughts but without any true attempts to kill herself. By all accounts, her depression was quite severe and certainly in the early phase was to the point that it required civil commitment and forced treatment with ECT.</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Her symptoms of Post-Traumatic Stress Disorder include the intrusive recollections of the traumatic events such as the caesarean section, watching the resuscitation of her child, etc. As well, she described symptoms commonly seen in such disorders such that she developed marked anxiety symptoms whenever she was reminded of events of the trauma such as T.V. shows, passing Women's Hospital, etc. In addition, she affirmed avoidance type symptoms such as avoiding talking about the trauma, avoiding things reminding her of it, and in addition described autonomic nervous system arousal phenomena including enhanced startle response, anxiety with probable panic attacks, marked emotional reactivity, etc..</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these disorders, K.D. showed generalized anxiety symptoms that are often seen in conjunction with Mood Disorders and Post-Traumatic Stress Disorder. These included impairment in her self-confidence and self-esteem.</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these disorders, it is evidence that K.D. had grief and mourning at the loss of her infant. It is very difficult to separate out a mourning reaction from depression and Post-Traumatic Stress Disorder. In general terms, women who lose a child at the end of a pregnancy will invariably go through a serious grieving process and there are a number of studies affirming this phenomenon. Normal grief will last well up to a year with gradually diminishing symptoms. These consist of a general sadness and sense of loss with symptoms that may appear to be similar to depression. They generally resolve over time although it is probable that most women will continue to have painful memories of the loss, especially when reminded by anniversary events or similar themes. The vast majority of women, however, do not experience the type of symptoms described by K.D. and in fact go on to lead normal lives without requirements for ongoing psychiatric intervention. One can distinguish the normal grieving process from K.D.'s illness in a variety of ways including the course of the illness over time, the severity of the symptoms, as well as the phenomenology or characteristics of the specific symptoms, as noted above. In my opinion, although clearly grief would have been a factor, K.D.'s clinical state is not compatible with a grief or mourning reaction.</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K.D.'s clinical condition is, to say the least, extraordinary. It is rare that we find a patient to be so ill for so long a period of time. I do not fully understand why this has happened and quite frankly at times we do not fully understand why some patients continue to be severely ill whereas others get better. There do, however, appear to be a number of factors that may play a significant role in the chronicity of her disorder. The first is that K.D. has always been a high achieving, competitive individual who valued a great deal of control over her life and demanded a great deal of herself and others. Secondly, K.D. had a very difficult pregnancy in which she required to have a prolonged period of bed rest where she had little to do but think about the pregnancy and the events in her life. Putting it simply, after weeks of anxiety and uncertainty she felt quite confident only four days prior to the caesarean section that the efforts she had made to ensure the viability would be rewarded. A fourth factor that seems to have relevance is the fact that over the course of time K.D. became very aware of procedures in the hospital and was obviously quite attentive to what was occurring.</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had she been assured that everything possible would have been done to ensure the viability of the fetus yet death ensued in any event that she would have had a relatively normal grief reaction that would be self-limited. She would not have gone on to develop the symptoms of severe depression nor would she experience the intrusive traumatic memories or the inherent anxiety associated with them. Likewise, she would not have gone on to develop the intense rage that at times became inappropriate nor would she have experienced the inappropriate feelings of guilt and responsibility for the loss of her child. I would not have expected her to go on to experience a disabling psychiatric illness.</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the traumas associated with the [perceived] failure to adequately attend to the change in her fetus' condition, the [perception that there was a] subsequent rapid caesarean section, and the [perception that all these things happened including] the subsequent witnessing of the failed resuscitation attempts of her child precipitated the complicated psychiatric disorder that followed. This in turn was often worsened by receiving further information to indicate in her mind that there had been mistakes made by her medical staff and nursing staff. Over time, this dwelling on the events became both obsessional and intrusive and continued to fuel her rage, depression and anxiety. In my view, she would not have gone on to develop this type of psychiatric illness had there not been the delay in attending to her fetus' needs, the lack of communication and consultation, and the rapid intervention that was unfortunately unsuccessful.</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it is clear that given the lengthy severe psychiatric history that she will have at best a guarded prognosis for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[Passages in square brackets added on basis of Dr. O'Shaughnessy's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accept Dr. O'Shaughnessy's opinion about K.D.'s diagnosis and prognosis. Determination of the causes of K.D.'s psychiatric disturbance is a particularly difficult task, especially because it must be based to some extent on the reliability of K.D.'s recollections. Based on my other findings, it is not necessary for me to make a determination of the causes of K.D.'s psychiatric illness.</w:t>
      </w:r>
      <w:r>
        <w:rPr>
          <w:rFonts w:ascii="arial" w:eastAsia="arial" w:hAnsi="arial" w:cs="arial"/>
          <w:sz w:val="20"/>
          <w:lang w:val="en-US" w:eastAsia="en-US" w:bidi="ar-SA"/>
        </w:rPr>
        <w:cr/>
      </w:r>
    </w:p>
    <w:p>
      <w:pPr>
        <w:numPr>
          <w:numId w:val="5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5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fail to meet the applicable standard of care with respect to keeping K.D. informed about her medical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K.D. argued that all the defendant doctors were negligent in failing to keep her fully advised about her medical condition, treatment options, and preferred course of treatment. K.D.'s counsel essentially argued that K.D. was in the hospital for a matter of hours and it was not until Dr. Steele attended on her personally at the hospital and called for the immediate (stat) caesarean section that K.D. was provided with the necessary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The leading case on standard of care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Wilson v. Swanson, </w:t>
      </w:r>
      <w:hyperlink r:id="rId40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At pages 811-812, Rand J. sets out the duty owed by a physician toward his patient: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surgeon by his ordinary engagement undertakes with the patient is that he possess the skill, knowledge or judgment of the generality or average of the special group or class of technicians to which he belongs and will faithfully exercise them. In a given situation some may differ from others in that exercise, depending on the significance they attribute to the different factors in light of their own experience. The dynamics of the human body of each individual are themselves individual and there are lines of doubt and uncertainty at which a clear course of action may be precluded. There is here only the question of judgment; what of that? 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In Dudas v. Munro, </w:t>
      </w:r>
      <w:hyperlink r:id="rId468" w:history="1">
        <w:r>
          <w:rPr>
            <w:rFonts w:ascii="arial" w:eastAsia="arial" w:hAnsi="arial" w:cs="arial"/>
            <w:i/>
            <w:color w:val="0077CC"/>
            <w:sz w:val="20"/>
            <w:u w:val="single"/>
            <w:shd w:val="clear" w:color="auto" w:fill="FFFFFF"/>
            <w:lang w:val="en-US" w:eastAsia="en-US" w:bidi="ar-SA"/>
          </w:rPr>
          <w:t>[1997] B.C.J. No. 774</w:t>
        </w:r>
      </w:hyperlink>
      <w:r>
        <w:rPr>
          <w:rFonts w:ascii="arial" w:eastAsia="arial" w:hAnsi="arial" w:cs="arial"/>
          <w:color w:val="000000"/>
          <w:sz w:val="20"/>
          <w:lang w:val="en-US" w:eastAsia="en-US" w:bidi="ar-SA"/>
        </w:rPr>
        <w:t xml:space="preserve"> (S.C.), McDonald J. cautioned that physicians must be compared to those of ordinary skill in their speciality, not by a standard of perfection. In that case, the infant plaintiff suffered a severe blood loss prior to birth. It was alleged that the attending obstetrician, Dr. Munro, should have delivered the plaintiff more quickly than he did. In dismissing the claim, His Lordship stated as follows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Belknap v. Greater Victoria Hospital Society </w:t>
      </w:r>
      <w:hyperlink r:id="rId400" w:history="1">
        <w:r>
          <w:rPr>
            <w:rFonts w:ascii="arial" w:eastAsia="arial" w:hAnsi="arial" w:cs="arial"/>
            <w:i/>
            <w:color w:val="0077CC"/>
            <w:sz w:val="20"/>
            <w:u w:val="single"/>
            <w:shd w:val="clear" w:color="auto" w:fill="FFFFFF"/>
            <w:lang w:val="en-US" w:eastAsia="en-US" w:bidi="ar-SA"/>
          </w:rPr>
          <w:t>(1989), 1 C.C.L.T. (2d) 192</w:t>
        </w:r>
      </w:hyperlink>
      <w:r>
        <w:rPr>
          <w:rFonts w:ascii="arial" w:eastAsia="arial" w:hAnsi="arial" w:cs="arial"/>
          <w:color w:val="000000"/>
          <w:sz w:val="20"/>
          <w:lang w:val="en-US" w:eastAsia="en-US" w:bidi="ar-SA"/>
        </w:rPr>
        <w:t xml:space="preserve"> (B.C.C.A.), at pp. 220-21, the following passages from a unanimous judgment of the House of Lords in Maynard v. West Midlands Regional Health Authority, [1985] 1 All E.R. 635 were adopted: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Differences of opinion and practice exist ... in the medical as in other professions. There is seldom any one answer exclusive of all others to problems of professional judgment. A court may prefer one body of opinion to the other: but that is no basis for a conclusion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one man clearly is not negligent merely because his conclusion differs from that of other professional men ... The true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or treatment on the part of a doctor is whether he has been proved to be guilty of such failure as no doctor of ordinary skill would be guilty of if acting with ordinary care ... a doctor who professes to exercise a special skill must exercise the ordinary skill of his specialty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McDonald J., at para 6, further adopted statements from Challand v. Bell (1959), 27 W.W.R. 182 (Alta. S.C.) at pp. 184-86: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required that [a doctor] use the highest degree of skill, for there may be persons who have a higher education and greater advantages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requires a fair and reasonable standard of care and competence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medical cases, the fact that something has gone wrong is very often not in itself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proper sense of proportion requires us to have regard to the conditions in which ... doctors have to work. We must insist on due care for the patient at every point, but we must not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is only a misadventure.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The Supreme Court of Canada said the following in Neuzen v. Korn </w:t>
      </w:r>
      <w:hyperlink r:id="rId368" w:history="1">
        <w:r>
          <w:rPr>
            <w:rFonts w:ascii="arial" w:eastAsia="arial" w:hAnsi="arial" w:cs="arial"/>
            <w:i/>
            <w:color w:val="0077CC"/>
            <w:sz w:val="20"/>
            <w:u w:val="single"/>
            <w:shd w:val="clear" w:color="auto" w:fill="FFFFFF"/>
            <w:lang w:val="en-US" w:eastAsia="en-US" w:bidi="ar-SA"/>
          </w:rPr>
          <w:t>(1995), 127 D.L.R. (4th) 577</w:t>
        </w:r>
      </w:hyperlink>
      <w:r>
        <w:rPr>
          <w:rFonts w:ascii="arial" w:eastAsia="arial" w:hAnsi="arial" w:cs="arial"/>
          <w:color w:val="000000"/>
          <w:sz w:val="20"/>
          <w:lang w:val="en-US" w:eastAsia="en-US" w:bidi="ar-SA"/>
        </w:rPr>
        <w:t xml:space="preserve"> (S.C.C.) concerning the standard of care and evidence of standard practice. Sopinka J. for the court wrote (at para. 33, or p. 588-89):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K.D.'s position is that she would have suffered less if she had known more, earlier. She relied on the opinion of Dr. McGrath, an obstetrician who is head of the division of maternal fetal medicine in Kingston, Ontario. Dr. McGrath opined that K.D. was entitled to know what the concerns about her baby were and what management options were available to her. I accept that opinion, but note that it does not suggest that specific information must be provided within specific time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 evidence suggests that Dr. Steele intended to meet with K.D. to discuss with her in person the concerns about the troubled fetus and the management options, and intended to do so when he finished with his patients at his office. This is not a case in which it can be said that Dr. Steele ought to have provided K.D. with certain information at a specific time. A doctor may, for example, be required to provide certain information to a patient prior to subjecting the patient to certain surgical procedures. However, here, Dr. Steele was in the position of balancing the interests of his office patients with the interest of K.D. in being fully informed about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xml:space="preserve">  While the evidence led by the plaintiff suggested that it was good practice to keep a patient informed of events as they progress, the evidence fell short of establishing that any of the doctors would be "guilty of such failure as no doctor of ordinary skill would be guilty of if acting with ordinary care" in failing to provide specific information earlier. Information was provided to K.D. by Drs. Hunt and Kent as set out above. There is no merit to this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any of the defendants fail to meet the applicable standard of care with respect to timing of the emergency caesarean section?</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Obstetrician Standard of Care: Drs. McGrath and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expert evidence was in conflict regarding the question of when a caesarean section ought to have been performed on K.D.</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McGrath, Plaintiff's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K.D. relied on the evidence of Dr. McGrath. He is an obstetrician and gynaecologist who did extra training in fetal/maternal medicine (perinatology). He has been on the attending staff at Kingston General Hospital and Hotel Dieu Hospital, Kingston, Ontario, since 1977. He was Chair of the Division of Maternal Fetal Medicine, Department of Obstetrics and Gynaecology, Queen's University, from 1979 to 2003. He has been Chair of the Obstetrical Review Panel of the College of Physicians and Surgeons of Ontario since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In Dr. McGrath's opinion, the tracings available by 17:50 (5:50 p.m.) ought to have raised significant concern. In his opinion, at that time either urgent delivery or further assessment by an immediate BPP would have been the correct course of action. In Dr. McGrath's opinion, when the fetal heart tracing was no better following the BPP, urgent delivery was indicated despite the BPP findings. In his opinion that decision ought to have been made around 18:30, being 6:30 p.m. In his opinion, this was not done "and the management falls below the standard".</w:t>
      </w:r>
      <w:r>
        <w:rPr>
          <w:rFonts w:ascii="arial" w:eastAsia="arial" w:hAnsi="arial" w:cs="arial"/>
          <w:sz w:val="20"/>
          <w:lang w:val="en-US" w:eastAsia="en-US" w:bidi="ar-SA"/>
        </w:rPr>
        <w:cr/>
      </w:r>
    </w:p>
    <w:p>
      <w:pPr>
        <w:numPr>
          <w:numId w:val="5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 Simpson, Defence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Dr. Steele's counsel relied on the opinion of Dr. Simpson, an obstetrician practicing at St. Paul's Hospital, Vancouver, B.C. Dr. Simpson's evidence was that she would not have felt compelled to deliver these infants by caesarean section prior to the decelerations noted at approximately 21:20 (9:20 p.m.) hours.</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 found both Drs. McGrath and Simpson to be well qualified professionals. I accept Dr. Simpson's evidence and reject Dr. McGrath's evidence where it conflicts with Dr. Simpson's evidence,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Dr. McGrath's opinion stated that it was appropriate to conduct a BPP, but he then suggested that delivery ought to have occurred despite the score of a six on a BPP. He wrote that the BPP "may, in fact, have been falsely reassuring", then wrote suggesting delivery, without pointing to any particular change which would suggest delivery. This suggests that he had an impression based on the NST tracings, but that it was a matter of judgement on which competent practitioners could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Dr. McGrath agreed that according to the practice recommended by the leading obstetrical text, Williams on Obstetrics, in 1995, a score of six out of ten on initial BPP, with normal fluid volume in under 36 weeks' gestation, has recommended management to repeat the BPP in 24 hours. Dr. McGrath said he would not have applied that in this case, again suggesting a judgment which might not be shared among competent practitioners.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contrast, Dr. Simpson explained that it was the sudden deep deceleration occurring at 21:20 (9:20 p.m.) which would have caused her to call for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evidence as a whole suggests that whether to call for delivery is a matter of clinical judgment. The NST tracings suggested further investigation, but the BPP results did not suggest immediate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factors suggesting that the doctors should not conduct an immediate caesarean section were:</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fetuses were of a sufficiently young gestational age that, while viable, there were risks of premature birth;</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healthy fetus was doing well and could have been unnecessarily compromised by a premature delivery. The risks of a premature delivery include serious disease, asthma, and vision problems;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high rate of false positives leading to unnecessary caesarean sections;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risks of surgery to the mother, as with any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On November 15, 1995, K.D.'s fetuses were about 33 weeks and 2 days in gestation, and therefore older than the 26 or 27 weeks of development needed for twins to be viable outside the womb. However, they were still almost seven weeks less than term, and twin fetuses tend to act like single fetuses one week younger. It was a matter of judgement to weigh the risk of hypoxia against the risks of premature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Dr. McGrath referred to the management "falling below the standard", although his written report did not articulate what standard he was referring to. During his cross-examination, Dr. McGrath stated that "I wrote a report from the point of view of what would have been the best obstetrical care during the time that this - from the time that [K.D.] arrived in the hospital until she was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While Dr. Simpson referred to whether she personally would have felt compelled to deliver prior to 9:20 p.m., the focus of her report was on the "reasonable and acceptable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summary, I am not satisfied that the preponderant opinion of obstetricians would have been to deliver K.D.'s fetuses prior to 21:20 (9:20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Dr. Steele was contacted about five minutes following the significant change at 21:20 (9:20 p.m.), and immediately went to the hospital. While Dr. Steele was in transit, arrangements were made which enabled the stat caesarean section to proceed especially quickly. The babies were delivered about 40 minutes after the change at 21:20 (9:20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Had Dr. Steele been at K.D.'s bedside at the moment of the significant change, the twins might have been delivered up to fifteen minutes earlier. However, the evidence does not support a finding that the circumstances were sufficiently concerning that Dr. Steele ought to have been monitoring the NST strips that closely. Nor does the evidence support a finding that a caesarean section would have been performed on a non-emergency basis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evidence of Dr. Solimano, which I have accepted, is that delivery at an earlier time on November 15, 1995 would not have affected Baby K.'s clinical condition, degree of brain illness, or ultimate outcome.</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Perinatologist Standard of Care: Dr. McGrath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K.D. also relied on the opinion of Dr. McGrath regarding the standard of care owed by Dr. Kent. Defence counsel did not tender any evidence from a perinatologist.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As discussed above, I do not accept Dr. McGrath's opinion regarding when the BPP and NST results suggested that immediate delivery was required. I have accepted Dr. Simpson's opinion that it was the change in the NST results which occurred at 9:20 p.m. which indicated that delivery was required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Dr. Kent's care met the applicable standard of care. The change which occurred at 9:20 p.m. was not brought to her attention (even though she had asked to be contacted if there were further concerning changes). The advice Dr. Kent gave Dr. Steele following the BPP and her responses to the tracings met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Dr. Steele would like to have been advised promptly of the changes and "intrauterine resuscitation" which occurred at 8:45 p.m. However, the evidence does not support a finding that it was a breach of the standard of care by Dr. Kent to fail to call Dr. Steele or direct someone else to advise him promptly of these changes. From her perspective, the brief change had stabilized, standard management permitted waiting 24 hours to repeat a BPP, and the NST could provide information about any significant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This was not the most complete communication possible between Drs. Kent and Steele. However, Dr. Kent's failure to advise Dr. Steele of this change was not negligent. In addition, delivering Baby K. earlier that day would not have affected his clinical condition, degree of brain illness, or ultimate outcome.</w:t>
      </w:r>
      <w:r>
        <w:rPr>
          <w:rFonts w:ascii="arial" w:eastAsia="arial" w:hAnsi="arial" w:cs="arial"/>
          <w:sz w:val="20"/>
          <w:lang w:val="en-US" w:eastAsia="en-US" w:bidi="ar-SA"/>
        </w:rPr>
        <w:cr/>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Resident Standard of Care: Dr. McGrath and Dr. Bagdan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K.D. argued that Dr. Hunt was negligent, but relied on facts which were not supported by the evidence. For example, K.D.'s counsel argued that Dr. Hunt inadequately described the NST results to Dr. Steele.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K.D.'s counsel relied on Dr. McGrath's opinion regarding Dr. Hunt's conduct. Defence counsel relied on the opinion of Dr. Bagdan, a former Resident and Medical Student Teaching Director at St. Paul's Hospital site in Vancouver. Dr. Bagdan opined that Dr. Hunt acted within the scope of his training as a junior resident, and performed competently.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Dr. Hunt's conduct met the required standard of care. As matters developed, his role was primarily to report on the NST strips to Dr. Steele, conduct a physical examination of K.D. and report as required, and arrange for Dr. Kent's consultation and, if appropriate, BPP. While Dr. Hunt incorrectly described the November 9, 1995 ultrasound report as showing "moderate" instead of "mild" oligohydramnios (an error copied from someone else's charting error), that had no effect on K.D.'s treatment. Dr. Hunt completed his duties as required.</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Nursing Standard of Care: Nurse Tranmer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K.D. relied on the opinion of Joan Tranmer, R.N., Ph.D., as an expert in obstetrical nursing. While she may be properly called "Dr. Tranmer", I will follow the practice used by counsel of referring to her as "Nurse Tranmer", to distinguish her from the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Nurse Tranmer opined that the medical and nursing care team failed to keep Dr. Steele accurately informed of the status of the troubled fetus. However, in cross-examination, she agreed that the nurses were entitled to rely on help from a perinatologist present on the unit and able to assist, and on advice by Dr. Kent that Dr. Steele was on his way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nursing staff appropriately drew Dr. Kent's attention to the heart rate charge which led to the "intrauterine resuscitation" at about 8:45 p.m. After the troubled fetus' heart rate had recovered, Dr. Kent told a nurse that Dr. Steele would be in soon, and that Dr. Kent should be paged if there were any further concerns about the fetal heart.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nursing staff were entitled to rely on Dr. Kent's words and conduct, which essentially suggested that K.D. and the troubled fetus were stable, that it was acceptable for Dr. Steele to learn about the changes when he arrived at the hospital, and that no further steps were required unless there was a change in the troubled fetus' heart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As stated earlier, Dr. Steele would like to have been advised promptly of the changes and "intrauterine resuscitation" which occurred at 8:45 p.m. As with Dr. Kent, the evidence does not support a finding that it was a breach of the standard of care by the nurses to fail to call Dr. Steele promptly to advise him about these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next concern about the fetal heart rate arose at 9:20 p.m. The nursing staff called Dr. Steele about five minutes later. There was no evidence suggesting that they ought to have taken other steps, such as paging Dr. Kent instead or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nursing care met the required standard of care with respect to communication about the NST strips for the troubled fetus.</w:t>
      </w:r>
      <w:r>
        <w:rPr>
          <w:rFonts w:ascii="arial" w:eastAsia="arial" w:hAnsi="arial" w:cs="arial"/>
          <w:sz w:val="20"/>
          <w:lang w:val="en-US" w:eastAsia="en-US" w:bidi="ar-SA"/>
        </w:rPr>
        <w:cr/>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breach of duty of care, did it cause any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Having concluded there was no breach of duty of care, it is not necessary to consider this question.</w:t>
      </w:r>
      <w:r>
        <w:rPr>
          <w:rFonts w:ascii="arial" w:eastAsia="arial" w:hAnsi="arial" w:cs="arial"/>
          <w:sz w:val="20"/>
          <w:lang w:val="en-US" w:eastAsia="en-US" w:bidi="ar-SA"/>
        </w:rPr>
        <w:cr/>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Steele make misrepresentations to K.D. following the emergency caesarean section, which were made negligently and on which K.D. reasonably relied to her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The claim of negligent misrepresentation is an unusual one in a medical malpractice case. The leading decision on negligent misrepresentation is Queen v. Cognos Inc., </w:t>
      </w:r>
      <w:hyperlink r:id="rId469"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court held at para. 33 that there were five general requirements to establish the tort of negligent misrepresentation: (1) there must be a duty of care based on a "special relationship" between the representor and the representee; (2) the representation in question must be untrue, inaccurate or misleading; (3) the representor must have acted negligently in making the misrepresentation; (4) the representee must have relied, in a reasonable manner, on the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Of the statements which Dr. Steele made to K.D. following delivery of the twins, the following deserve consideration. Dr. Steele said:</w:t>
      </w:r>
      <w:r>
        <w:rPr>
          <w:rFonts w:ascii="arial" w:eastAsia="arial" w:hAnsi="arial" w:cs="arial"/>
          <w:sz w:val="20"/>
          <w:lang w:val="en-US" w:eastAsia="en-US" w:bidi="ar-SA"/>
        </w:rPr>
        <w:cr/>
      </w:r>
    </w:p>
    <w:p>
      <w:pPr>
        <w:numPr>
          <w:numId w:val="6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devastated;</w:t>
      </w:r>
    </w:p>
    <w:p>
      <w:pPr>
        <w:numPr>
          <w:numId w:val="6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he wished he had been called to the hospital earlier;</w:t>
      </w:r>
    </w:p>
    <w:p>
      <w:pPr>
        <w:numPr>
          <w:numId w:val="6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resuscitation took longer than average; and</w:t>
      </w:r>
    </w:p>
    <w:p>
      <w:pPr>
        <w:numPr>
          <w:numId w:val="6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very early, and everyone would have to wait and see how Baby K.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All of these statements are true. However, Dr. Steele's statement that he wished he had been called to the hospital earlier was potentially misleading. It suggested that if Dr. Steele had been called to the hospital earlier, there would have been some change in outcome. In the context of discussion about the resuscitation of Baby K., it suggested that Baby K. might have avoided the prolonged resuscitation if Dr. Steele had been called earlier.</w:t>
      </w:r>
      <w:r>
        <w:rPr>
          <w:rFonts w:ascii="arial" w:eastAsia="arial" w:hAnsi="arial" w:cs="arial"/>
          <w:sz w:val="20"/>
          <w:lang w:val="en-US" w:eastAsia="en-US" w:bidi="ar-SA"/>
        </w:rPr>
        <w:cr/>
      </w:r>
    </w:p>
    <w:p>
      <w:pPr>
        <w:numPr>
          <w:numId w:val="6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This then requires consideration of whether it was negligent for Dr. Steele to make that statement. There was no expert opinion about the standard of care of an obstetrician speaking to his patient in such circumstances. Dr. Steele's conduct would be negligent only if a reasonable doctor, faced with the same circumstances, would not have given K.D. the same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xml:space="preserve">  Dr. Steele's comment was made at a time when it was clearly a first reaction. At the strongest, it was a preliminary opinion, honestly held, that Baby K.'s condition might have been different if Dr. Steele had been called earlier. A doctor giving an initial opinion, even if it later turns out to be erroneous, may not be giving that opinion negligently. See Jinks v. Cardwell, </w:t>
      </w:r>
      <w:hyperlink r:id="rId470" w:history="1">
        <w:r>
          <w:rPr>
            <w:rFonts w:ascii="arial" w:eastAsia="arial" w:hAnsi="arial" w:cs="arial"/>
            <w:i/>
            <w:color w:val="0077CC"/>
            <w:sz w:val="20"/>
            <w:u w:val="single"/>
            <w:shd w:val="clear" w:color="auto" w:fill="FFFFFF"/>
            <w:lang w:val="en-US" w:eastAsia="en-US" w:bidi="ar-SA"/>
          </w:rPr>
          <w:t>[1989] O.J. No. 1492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Although it has turned out that it would not have made any difference if Dr. Steele had been called earlier, the evidence did not demonstrate that a reasonable doctor would not have made the same statement at the time it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In fact, in relying on Dr. Perlman's opinion, K.D. has argued that Baby K.'s outcome would have been different if Dr. Steele had been called to the hospital earlier. It is not negligent for Dr. Perlman to hold that view, although I have rejected that opinion as discussed above. Similarly, it could not have been negligent for Dr. Steele to hold such an opinion at a preliminary stage. As a result, Dr. Steele did not make this statement negligently.</w:t>
      </w:r>
      <w:r>
        <w:rPr>
          <w:rFonts w:ascii="arial" w:eastAsia="arial" w:hAnsi="arial" w:cs="arial"/>
          <w:sz w:val="20"/>
          <w:lang w:val="en-US" w:eastAsia="en-US" w:bidi="ar-SA"/>
        </w:rPr>
        <w:cr/>
      </w:r>
    </w:p>
    <w:p>
      <w:pPr>
        <w:numPr>
          <w:numId w:val="6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Misrepresentation reasonably relied on to K.D.'s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A negligent misstatement gives rise to a claim for damages only if the representee relied, in a reasonable manner, on the negligent misrepresentation. The reliance must be objectively reasonable (see Nixon v. Eden, </w:t>
      </w:r>
      <w:hyperlink r:id="rId471" w:history="1">
        <w:r>
          <w:rPr>
            <w:rFonts w:ascii="arial" w:eastAsia="arial" w:hAnsi="arial" w:cs="arial"/>
            <w:i/>
            <w:color w:val="0077CC"/>
            <w:sz w:val="20"/>
            <w:u w:val="single"/>
            <w:shd w:val="clear" w:color="auto" w:fill="FFFFFF"/>
            <w:lang w:val="en-US" w:eastAsia="en-US" w:bidi="ar-SA"/>
          </w:rPr>
          <w:t>[1998] B.C.J. No. 1986</w:t>
        </w:r>
      </w:hyperlink>
      <w:r>
        <w:rPr>
          <w:rFonts w:ascii="arial" w:eastAsia="arial" w:hAnsi="arial" w:cs="arial"/>
          <w:color w:val="000000"/>
          <w:sz w:val="20"/>
          <w:lang w:val="en-US" w:eastAsia="en-US" w:bidi="ar-SA"/>
        </w:rPr>
        <w:t xml:space="preserve"> (S.C.)), and does not depend on the reaction of a particular individual like K.D..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K.D. argued that she reasonably relied on Dr. Steele's comment by concluding that Baby K. would have been better if Dr. Steele had been called earlier. This argument fails, because it is not objectively reasonable for a patient to rely on such a comment at such a time in such a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Owing to the early timing of the comment and its vague nature, it would at most have been reasonable for K.D. to rely on it to seek further information. It was not objectively reasonable for her to interpret it as meaning that Baby K. definitely would have been better if Dr. Steele had done the caesarean section earlier. Baby K.'s outcome was at that time clearly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xml:space="preserve">  Further, it was not objectively reasonable for K.D. to conclude from this comment that the only reason Dr. Steele was not at the hospital earlier was that someone had acted negligently. K.D. assumed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of her own impressions regarding the significance of the troubled fetus' heart rate and the impact of resuscitation on Baby K.</w:t>
      </w:r>
      <w:r>
        <w:rPr>
          <w:rFonts w:ascii="arial" w:eastAsia="arial" w:hAnsi="arial" w:cs="arial"/>
          <w:sz w:val="20"/>
          <w:lang w:val="en-US" w:eastAsia="en-US" w:bidi="ar-SA"/>
        </w:rPr>
        <w:cr/>
      </w:r>
    </w:p>
    <w:p>
      <w:pPr>
        <w:numPr>
          <w:numId w:val="6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As a result of the findings on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misstatement, it is not necessary to address the question of damages.</w:t>
      </w:r>
      <w:r>
        <w:rPr>
          <w:rFonts w:ascii="arial" w:eastAsia="arial" w:hAnsi="arial" w:cs="arial"/>
          <w:sz w:val="20"/>
          <w:lang w:val="en-US" w:eastAsia="en-US" w:bidi="ar-SA"/>
        </w:rPr>
        <w:cr/>
      </w:r>
    </w:p>
    <w:p>
      <w:pPr>
        <w:numPr>
          <w:numId w:val="6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K.D.'s 1995 pregnancy was considered high risk for three reasons: there were twin fetuses, K.D. had a prior cone biopsy of her cervix, and she had an infection that could lead to lesions. The management of those risks included a cervical cerclage and a lengthy and uncomfortable period when K.D. was on bedrest, both inside and outside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K.D. was discharged from hospital on November 11, 1995, when the fetuses were of a gestational age that they were expected to be viable outside the womb. The NST testing to that time was reassuring. The most recent ultrasound indicated a possible concern about one fetus, because of its small size and the slightly reduced amount of its amniotic fluid. The ultrasound did not suggest a significant concern, and the concern was managed by scheduling further NST and ultrasound testing and continuing bed rest at K.D.'s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Unknown to anyone at the time, the placenta for the troubled fetus was seriously compromised, and that fetus suffered from trisomy 21, also known as Down's Syndrome. Sometime between November 11, 1995 and November 15, 1995, the problems led to acute injury to the central nervous system of the troubled fetus, and to deterioration of cardiac function. The exact cause of the problem appears to be beyond the capacity of present medical science to explain on the basis of the available information, and remains a mystery. There was nothing which suggested K.D. ought to have received different treatment during this time period, or that the problems could have been detected and 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K.D.'s NST testing on November 15, 1995 began as equivocal for the troubled fetus. The attending physicians managed that concern by a further test of fetal well-being, the BPP, and by continued monitoring. That management met the required standard of care. K.D. wrongly believed at the time that the NST results were more concerning than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K.D.'s NST results became more concerning as the evening progressed, but it was not until 9:20 p.m. that they became sufficiently concerning that the standard of care required immediate delivery. The nursing staff met the standard of care with respect to reporting on the NST. Dr. Steele was called, and arrived at the hospital about twenty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By an unfortunate coincidence, Dr. Steele saw the NST tracings at almost the very moment that the NST tracing suggested immediate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Dr. Steele called for a "stat" caesarean section and the twins were delivered at around 10:00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doctors and hospital met their duties of care in connection with the management of the twin pregnancy and the delivery of the twins.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Tragically, Baby K. was seriously ill at birth. He required prolonged resuscitation and suffered multi-organ failure. The medical evidence does not establish exactly why there were problems with the placenta for the troubled fetus. It does establish that even if Baby K. had been delivered earlier on November 15, 1995, it would not have affected his clinical condition, degree of brain damage, or ultimate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Fortunately, Baby N. was vigorous and healthy at birth. He was sufficiently healthy that it is easy to overlook the fact that delivery at that gestational age presented a number of potential serious threats to his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Following the delivery, Dr. Steele told K.D. that he was devastated and that he wished he had been at the hospital earlier. Since K.D. already thought that the NST results were troubling, she concluded that either Dr. Kent or the hospital had neglected clear signs that there should be an earlier delivery. Of course, she was not trained in obstetrics, and did not appreciate the context of "false positives" or the difference between NST results suggesting further investigation and those suggesting early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Baby K.'s condition generally deteriorated over the next week, although there were times when he showed some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On November 23, 1995, the doctors and parents agreed to withhold artificial ventilation to Baby K. This reduced the period of Baby K.'s suffering before his inevitable early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K.D. has suffered tremendous psychological pain and loss of function since Baby K.'s delivery and death. The defendants are not responsible for her losses because they met the legal standard of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As a result, K.D.'s claim is dismissed. Unless the parties have submissions as to costs, the defendants are entitled to their costs at Scale 3. If any party seeks to make submissions as to costs, they should provide written submissions on a schedule agreed among counsel. If counsel cannot agree to a schedule, they can apply for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GRAY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30" style="position:absolute;z-index:25183334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57"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57"/>
      <w:r>
        <w:rPr>
          <w:rFonts w:ascii="arial" w:eastAsia="arial" w:hAnsi="arial" w:cs="arial"/>
          <w:sz w:val="20"/>
          <w:lang w:val="en-US" w:eastAsia="en-US" w:bidi="ar-SA"/>
        </w:rPr>
        <w:tab/>
      </w:r>
      <w:r>
        <w:rPr>
          <w:rFonts w:ascii="arial" w:eastAsia="arial" w:hAnsi="arial" w:cs="arial"/>
          <w:color w:val="6D6E71"/>
          <w:sz w:val="18"/>
          <w:lang w:val="en-US" w:eastAsia="en-US" w:bidi="ar-SA"/>
        </w:rPr>
        <w:t>The style of cause in these proceedings was G.A.D. v. British Columbia Children's Hospital when the case filed but was amended by Court order dated March 25, 2003. See [2003] B.C.J. No. 654.</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Knodell v. New Westminster (City), [2005] B.C.J. No. 2026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S74422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2026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 M.P.L.R. (4th) 258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142 A.C.W.S. (3d) 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2212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Cindy Christine Knodell, plaintiff, and The Corporation of the City of New Westminster, John Doe and Jane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2"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8" w:name="Keywords_21"/>
      <w:bookmarkEnd w:id="158"/>
      <w:r>
        <w:rPr>
          <w:rFonts w:ascii="arial" w:eastAsia="arial" w:hAnsi="arial" w:cs="arial"/>
          <w:b/>
          <w:color w:val="000000"/>
          <w:sz w:val="20"/>
          <w:lang w:val="en-US" w:eastAsia="en-US" w:bidi="ar-SA"/>
        </w:rPr>
        <w:t>Municipal law — Powers of municipality — Particular subject matter — Snow removal — City's application to dismiss plaintiff's action for damages for personal injuries was allowed — Plaintiff slipped and fell on icy sidewalk — Court found that City's snow and ice removal program was a policy decision, which constituted a bona fide exercise of its discretion based on budgetary constraints and availability of workers and equipment — City was not negligent in carrying out its policy — Policy met reasonable standard of care imposed under Occupiers Liability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Liabilities of municipality — Tortious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City's application to dismiss plaintiff's action for damages for personal injuries was allowed — Plaintiff slipped and fell on icy sidewalk — Court found that City's snow and ice removal program was a policy decision, which constituted a bona fide exercise of its discretion based on budgetary constraints and availability of workers and equipment — City was not negligent in carrying out its policy — Policy met reasonable standard of care imposed under Occupiers Liability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or against municipality — Types of actions against municipalities — Ice or snow on sidewalk — City's application to dismiss plaintiff's action for damages for personal injuries was allowed — Plaintiff slipped and fell on icy sidewalk — Court found that City's snow and ice removal program was a policy decision, which constituted a bona fide exercise of its discretion based on budgetary constraints and availability of workers and equipment — City was not negligent in carrying out its policy — Policy met reasonable standard of care imposed under Occupiers Liability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Dangerous premises — Duty of occupier — City's application to dismiss plaintiff's action for damages for personal injuries was allowed — Plaintiff slipped and fell on icy sidewalk — Court found that City's snow and ice removal program was a policy decision, which constituted a bona fide exercise of its discretion based on budgetary constraints and availability of workers and equipment — City was not negligent in carrying out its policy — Policy met reasonable standard of care imposed under Occupiers Liability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9" w:name="Case Summary_20"/>
            <w:bookmarkEnd w:id="15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City to dismiss plaintiff's action for damages for personal injuries suffered by plaintiff when she slipped and fell on an icy sidewalk -- Plaintiff was diagnosed with fracture of the radius and ulna of the left wrist -- She also suffered adhesive capsulitus in her left shoulder, a bruised coccyx, and lower back pain -- City owned sidewalk -- City's maintenance program required it to clear snow and ice from sidewalks by 10 a.m. on the day following accumulation -- Plaintiff fell before maintenance workers began their duties at 7:30 a.m. -- City argued that its maintenance program was a policy decision that was rational and was made bona fide, and that it was not negligent in carrying out the policy, such that it was not reviewable by court -- HELD: Application allowed -- City's policy for clearing of snow and ice from sidewalks constituted a bona fide exercise of its discretion based on budgetary constraints and availability of workers and equipment -- It was neither irrational, nor so unreasonable as to constitute an improper exercise of its discretion -- City's policy met reasonable standard of care imposed under Occupiers Liability Act -- City was not an insurer; it was only required to take such care as was reasonable to see that pedestrians would be reasonably safe -- City was not negligent in carrying out its policy -- Whether City owed plaintiff a duty of care at common law or under the Act, it met a reasonable standard of care, and was therefore not liable for plaintiff's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0" w:name="Legislation Cited_16"/>
      <w:bookmarkEnd w:id="1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3"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333" w:history="1">
        <w:r>
          <w:rPr>
            <w:rFonts w:ascii="arial" w:eastAsia="arial" w:hAnsi="arial" w:cs="arial"/>
            <w:i/>
            <w:color w:val="0077CC"/>
            <w:sz w:val="20"/>
            <w:u w:val="single"/>
            <w:shd w:val="clear" w:color="auto" w:fill="FFFFFF"/>
            <w:lang w:val="en-US" w:eastAsia="en-US" w:bidi="ar-SA"/>
          </w:rPr>
          <w:t>R.S.B.C. 1996, ch. 337, s. 1</w:t>
        </w:r>
      </w:hyperlink>
      <w:r>
        <w:rPr>
          <w:rFonts w:ascii="arial" w:eastAsia="arial" w:hAnsi="arial" w:cs="arial"/>
          <w:color w:val="000000"/>
          <w:sz w:val="20"/>
          <w:lang w:val="en-US" w:eastAsia="en-US" w:bidi="ar-SA"/>
        </w:rPr>
        <w:t>, s. 3, s. 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1" w:name="Counsel_21"/>
      <w:bookmarkEnd w:id="1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4"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N.A. Mulholland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New Westminster: J.M. Poole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2" w:name="Judgment_21"/>
      <w:bookmarkEnd w:id="162"/>
      <w:r>
        <w:pict>
          <v:line id="_x0000_s1135"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3" w:name="JOYCE J."/>
            <w:bookmarkEnd w:id="163"/>
            <w:r>
              <w:rPr>
                <w:rFonts w:ascii="arial" w:eastAsia="arial" w:hAnsi="arial" w:cs="arial"/>
                <w:b/>
                <w:color w:val="000000"/>
                <w:sz w:val="30"/>
                <w:lang w:val="en-US" w:eastAsia="en-US" w:bidi="ar-SA"/>
              </w:rPr>
              <w:t>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the morning of March 20, 2002 the plaintiff fell and injured herself while walking on a sidewalk owned and maintained by the City of New Westminster (the "City") on which a patch of ice had developed. She claims damages against the City, alleging that it was negligent and breached its duty at common law and under the Occupiers Liability Act, </w:t>
      </w:r>
      <w:r>
        <w:rPr>
          <w:rFonts w:ascii="arial" w:eastAsia="arial" w:hAnsi="arial" w:cs="arial"/>
          <w:i/>
          <w:color w:val="000000"/>
          <w:sz w:val="20"/>
          <w:lang w:val="en-US" w:eastAsia="en-US" w:bidi="ar-SA"/>
        </w:rPr>
        <w:t>RSBC 1996, ch. 337</w:t>
      </w:r>
      <w:r>
        <w:rPr>
          <w:rFonts w:ascii="arial" w:eastAsia="arial" w:hAnsi="arial" w:cs="arial"/>
          <w:color w:val="000000"/>
          <w:sz w:val="20"/>
          <w:lang w:val="en-US" w:eastAsia="en-US" w:bidi="ar-SA"/>
        </w:rPr>
        <w:t xml:space="preserve"> in failing adequately to maintain the sidewalk in a safe condition. The defendant applies under Rule 18A for a dismissal of the plaintiff's claim. The parties are in agreement that the issues can be determined on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Sometime between 7:30 a.m. and 8:00 a.m. on March 20, 2002 the plaintiff was taking her usual route from her home in the Quay area of New Westminster to the New Westminster SkyTrain station. Her route took her onto the sidewalk on the McInnis Overpass (the "Overpass") which bridges the train tracks that run along the riverbank in the Quay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weather had been unusually cold during the several days before March 20th. There was fresh snow on the sidewalk. The plaintiff was wearing running shoes with a "waffle" type tread that she had found to be effective for traction in snow on previous occasions. The plaintiff walked slowly to the crest of the Overpass where it levels out before descending again. At about the point where the Overpass levels out the SkyTrain guideway and tracks pass overtop.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the plaintiff was walking up the Overpass she met a neighbour, Ms. Sullivan, who was coming from the other direction. Ms. Sullivan warned her that there was a treacherous patch of very slippery ice on the sidewalk near the area where the sky train guideway passes over top the Overpass and cautioned her to be careful.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the plaintiff reached the top of the Overpass she saw the patch of ice. When the plaintiff reached the patch of ice, she steadied herself by holding on with both hands to the top of the concrete wall on right side as she inched her way forward. As she began to descend the Overpass the height of the wall increased to the point where she could no longer hold on with her left hand. As she let go with her left hand and took another step she slipped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dragged herself to a point where she could stand and then slowly made her way home where she telephoned her husband, who took her to the hospital. She was diagnosed with a fracture of the radius and ulna of the left wrist. A cast was applied, but a few days later the cast had to be removed, the wrist re-set and another cast applied. In addition to her broken wrist, the plaintiff suffered adhesive capsulitus in her left shoulder, a bruised coccyx and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conceded that the City is an Occupier within the meaning of the Occupiers Liability Act and admits that maintenance of the sidewalk on the Overpass is its responsibility. The City imposes on itself the same obligation for performing winter maintenance on sidewalks that it imposes on adjacent land owners to sidewalk areas. The standard, imposed by City bylaw, is that adjacent land owners must clear a sidewalk of snow and ice by 10:00 a.m. on the day following the accumulation of such snow or 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City workers who are assigned the task of performing sidewalk maintenance in the winter begin their shifts at 7:30 in the morning. Accordingly, they had not yet begun to perform their maintenance duties on the sidewalk on the morning of March 20, 2002, before the plaintiff fell. The sidewalk at the Overpass had been cleared of ice and snow on the days prior to March 20th so the ice and snow that was on that sidewalk at the time the plaintiff fell had accumulated since the sidewalk had been cleared the previous day. When the City worker arrived at the sidewalk at about 7:45 a.m., after the plaintiff had fallen, he saw a sheet of ice on the sidewalk that appeared to have formed from water that had fallen from melting snow on the SkyTrain guideway and froze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City employs a tow truck driver who patrols City streets at night. This employee is charged with the responsibility of reviewing conditions on the road surfaces, but does not have any responsibilities with respect to inspecting sidewalks. Due to budgetary constraints, the City does not employ any workers to maintain sidewalk areas outside of normal daytime working hours. The only exception to this is if a specific complaint is made about an area or a specific observation is made of an area that is hazardous. In such a case workers may be called in to address it. No such specific complaint was made during the night of March 19 - 20,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specific written procedure that is in place for sanding the McInnis Overpass after regular working hours reads in part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Objective:</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provide a reasonable skid free driving surface during adverse weather conditions.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Intent:</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establish a procedure for sanding of the McInnis Overpass during snowfall or below freezing temperatures.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Guidelines: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freezing temperatures and/or snowfall, the night shift tow operator shall inspect the McInnis Overpass on a regular basis during his/her shift.</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inspection should take place between 4:00 a.m. and 6:00 a.m. but can vary depending on priorities.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tow truck driver who was employed the night of March 19 - 20, 2002 inspected the road surface of the Overpass at least once during his shift between the hours of 4:00 a.m. and 6:00 a.m. His practice was to stop near the top of the Overpass, get out of the tow truck and test the road surface by walking on it to see if it was slippery. The place where he stopped was 50 - 60 metres from the area where the SkyTrain tracks cross over the Overpass. From that distance he could not see the conditions in the area of the sidewalk where the plaintiff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states the issues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City's decision with respect to winter sidewalk maintenance a policy decision which is immune from review by a court?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was the City in any way negligent in the implementation of the procedures called for by its policy?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policy defence does not apply, were the City's actions reasonable so as to meet any duty of care imposed by common law or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If the City is liable, the following additional issues arise: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contributorily negligent and, if so, to what degree?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the plaintiff's loss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Policy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Counsel for the City submits that governmental authorities, including municipalities, are entitled to make policy decisions based upon budgetary factors and that such policy decisions are not reviewable by the courts as long as the policy itself is rational and made bona fide (Just v. British Columbia </w:t>
      </w:r>
      <w:hyperlink r:id="rId479" w:history="1">
        <w:r>
          <w:rPr>
            <w:rFonts w:ascii="arial" w:eastAsia="arial" w:hAnsi="arial" w:cs="arial"/>
            <w:i/>
            <w:color w:val="0077CC"/>
            <w:sz w:val="20"/>
            <w:u w:val="single"/>
            <w:shd w:val="clear" w:color="auto" w:fill="FFFFFF"/>
            <w:lang w:val="en-US" w:eastAsia="en-US" w:bidi="ar-SA"/>
          </w:rPr>
          <w:t>(1989), 64 D.L.R. (4th) 689</w:t>
        </w:r>
      </w:hyperlink>
      <w:r>
        <w:rPr>
          <w:rFonts w:ascii="arial" w:eastAsia="arial" w:hAnsi="arial" w:cs="arial"/>
          <w:color w:val="000000"/>
          <w:sz w:val="20"/>
          <w:lang w:val="en-US" w:eastAsia="en-US" w:bidi="ar-SA"/>
        </w:rPr>
        <w:t xml:space="preserve"> (S.C.C.), </w:t>
      </w:r>
      <w:hyperlink r:id="rId479"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[Just]; Brown v. British Columbia </w:t>
      </w:r>
      <w:hyperlink r:id="rId480" w:history="1">
        <w:r>
          <w:rPr>
            <w:rFonts w:ascii="arial" w:eastAsia="arial" w:hAnsi="arial" w:cs="arial"/>
            <w:i/>
            <w:color w:val="0077CC"/>
            <w:sz w:val="20"/>
            <w:u w:val="single"/>
            <w:shd w:val="clear" w:color="auto" w:fill="FFFFFF"/>
            <w:lang w:val="en-US" w:eastAsia="en-US" w:bidi="ar-SA"/>
          </w:rPr>
          <w:t>(1994), 89 B.C.L.R. (2d) 1</w:t>
        </w:r>
      </w:hyperlink>
      <w:r>
        <w:rPr>
          <w:rFonts w:ascii="arial" w:eastAsia="arial" w:hAnsi="arial" w:cs="arial"/>
          <w:color w:val="000000"/>
          <w:sz w:val="20"/>
          <w:lang w:val="en-US" w:eastAsia="en-US" w:bidi="ar-SA"/>
        </w:rPr>
        <w:t xml:space="preserve"> (S.C.C.), </w:t>
      </w:r>
      <w:hyperlink r:id="rId480"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[Brown], and Gobin (Guardian of) v. British Columbia </w:t>
      </w:r>
      <w:hyperlink r:id="rId481" w:history="1">
        <w:r>
          <w:rPr>
            <w:rFonts w:ascii="arial" w:eastAsia="arial" w:hAnsi="arial" w:cs="arial"/>
            <w:i/>
            <w:color w:val="0077CC"/>
            <w:sz w:val="20"/>
            <w:u w:val="single"/>
            <w:shd w:val="clear" w:color="auto" w:fill="FFFFFF"/>
            <w:lang w:val="en-US" w:eastAsia="en-US" w:bidi="ar-SA"/>
          </w:rPr>
          <w:t>(2002), 214 D.L.R. (4th) 328</w:t>
        </w:r>
      </w:hyperlink>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2002 BCCA 373</w:t>
        </w:r>
      </w:hyperlink>
      <w:r>
        <w:rPr>
          <w:rFonts w:ascii="arial" w:eastAsia="arial" w:hAnsi="arial" w:cs="arial"/>
          <w:color w:val="000000"/>
          <w:sz w:val="20"/>
          <w:lang w:val="en-US" w:eastAsia="en-US" w:bidi="ar-SA"/>
        </w:rPr>
        <w:t xml:space="preserve"> [Gobin]). Counsel submits that the City's policy with respect to sidewalk inspection and maintenance is just such a policy and that the City is immune from liability as long as it was not negligent in carrying out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Just and Brown deal with the dichotomy between true policy decisions, which are immune from review on traditional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principles, and operational decisions, which are not. It is a distinction that is often not easy to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Just, the plaintiff was injured and his daughter killed when a large rock fell from the slope above the highway and crashed into their car. The province had the statutory power but not a statutory duty to maintain highways. In the exercise of its power it put in place a policy for periodic inspection and remedial work upon rock slopes. The plaintiff sued the province,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trial and in the Court of Appeal, it was held that the number and quality of inspections and the frequency of scaling and other remedial measures were policy decisions that were immune from review by the court. In the Supreme Court of Canada, Cory J., for the majority, disagreed and held that the decisions came within the realm of operational decisions for which the province could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p. 708-709, Cory J. summarized the law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convenient at this stage to summarize what I consider to be the principles applicable and the manner of proceeding in cases of this kind. As a general rule, the traditional tort law duty of care will apply to a government agency in the same way that it will apply to an individual. In determining whether a duty of care exists, the first question to be resolved is whether the parties are in a relationship of sufficient proximity to warrant the imposition of such a duty. In the case of a government agency, exemption from this imposition of duty may occur as a result of an explicit statutory exemption. Alternatively, the exemption may arise as a result of the nature of the decision made by the government agency. That is, a government agency will be exempt from the imposition of a duty of care in situations which arise from its pure policy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what constitutes such a policy decision, it should be borne in mind that such decisions are generally made by persons of a high level of authority in the agency, but may also properly be made by persons of a lower level of authority. The characterization of such a decision rests on the nature of the decision and not on the identity of the actors. As a general rule, decisions concerning budgetary allotments for departments or government agencies will be classified as policy decisions. Further, it must be recalled that a policy decision is open to challenge on the basis that it is not made in the bona fide exercise of discretion. If after due consideration it is found that a duty of care is owed by the government agency and no exemption by way of statute or policy decision-making is found to exist, a traditional torts analysis ensues and the issue of standard of care required of the government agency must next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manner and quality of an inspection system is clearly part of the operational aspect of a governmental activity and falls to be assessed in the consideration of the standard of care issue. At this stage, the requisite standard of care to be applied to the particular operation must be assessed in light of all the surrounding circumstances including, for example, budgetary restraints and the availability of qualified personnel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Brown, the plaintiff was injured when his car skidded off an icy road that was maintained by the province. The plaintiff alleged the province was negligent in two respects: first in failing to respond in a timely fashion to reports of icy conditions and second in failing to maintain the road so that ice would not occur. In connection with the second ground the allegation was that the Department of Highways was negligent in having in place at the particular time a summer schedule which provided less frequent inspection of the roads than during the winter schedule. With regard to the first ground, the trial judge found that the evidence did not support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to the second ground, the trial judge held that the policy that the province had adopted with respect to the inspection and sanding of roads was a matter of true policy which excluded any duty of care. The Court of Appeal dismissed an appeal as did the Supreme Court of Canada. Cory J., speaking for the majority, concluded that the case should be decided by application of the principles set out in Just. He held that there was a prima facie duty of care on the province to maintain the roads and that there was no statutory exemption from tortious liability. However, he held that the decision of the Department of Highways to maintain a summer schedule in effect, with all that it entailed, was a policy decision involving considerations of financial resources, personnel and negotiations with government unions which provided immunity from tortious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difficult nature of determining which decisions fall under the category of "true policy" and which fall under the category of "operational decisions" is apparent from the decision in Gobin. That case, like Just, involved a situation where a rock fell from a bluff above a highway. In Gobin the rock was small but it crashed through the windshield of a pick-up truck travelling on the highway, striking and seriously injuring an 8-year old passenger. The trial judge held that the decision of the Ministry of Transportation and Highways to postpone implementing a recommendation to mesh the relevant area until the fall rainy season was operational rather than a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Court of Appeal, Braidwood J.A. set out the legal principles at paras. 11 - 13: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It is clear that a true policy decision may shield the government from liability. In the decision of Just v. R. in Right of British Columbia </w:t>
      </w:r>
      <w:hyperlink r:id="rId479" w:history="1">
        <w:r>
          <w:rPr>
            <w:rFonts w:ascii="arial" w:eastAsia="arial" w:hAnsi="arial" w:cs="arial"/>
            <w:i/>
            <w:color w:val="0077CC"/>
            <w:sz w:val="20"/>
            <w:u w:val="single"/>
            <w:shd w:val="clear" w:color="auto" w:fill="FFFFFF"/>
            <w:lang w:val="en-US" w:eastAsia="en-US" w:bidi="ar-SA"/>
          </w:rPr>
          <w:t>(1989), 64 D.L.R. (4th) 689</w:t>
        </w:r>
      </w:hyperlink>
      <w:r>
        <w:rPr>
          <w:rFonts w:ascii="arial" w:eastAsia="arial" w:hAnsi="arial" w:cs="arial"/>
          <w:color w:val="000000"/>
          <w:sz w:val="20"/>
          <w:lang w:val="en-US" w:eastAsia="en-US" w:bidi="ar-SA"/>
        </w:rPr>
        <w:t xml:space="preserve"> at p. 705, the following appears: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 True policy decisions should be exempt from tortious claims so that governments are not restricted in making decisions based upon social, political, or economic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At the same time, however, "complete Crown immunity should not be restored by having every government decision designated as one of policy" (Just, supra, at p. 704). Courts must weigh the particular circumstances of any given case in order to distinguish between policy and operation.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analysis does not end here, however. Even where contested decisions are clearly ones of policy, the operational implementation of a policy decision may still leave government susceptible to a tort claim, as the matter essentially "reverts" to an operational one. Courts may therefore be required to assess whether policy matters under review are manifestations of the operational implementation of a policy choice. Where, ultimately, the contested decision is operational, the standard tort analysis applies, and the requisite standard of care is one of reasonableness. Where, in comparison, the decision at issue is one of policy, liability may be imposed only for decisions that are made in bad faith or that are so irrational or unreasonable that they cannot be said to constitute a proper exercise of discretion: Kamloops (City of) v. Nielsen, </w:t>
      </w:r>
      <w:hyperlink r:id="rId482"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Braidwood J.A. held that the decisions under consideration involved matters of expenditure and allocations of funds, scheduling and prioritizing all directed towards balancing social, economic and political needs of British Columbians and were true policy decisions where the applicable test was the bona fides of the decisions, not their reasonableness. He concluded at para. 57 that even if the decisions were "manifestations, operational in nature, of the implementation of the policy decision to inspect", as in Just, they were reasonable when "assessed in light of the relevant context, including the budgetary constraints and the availability of qualified personnel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note, also, the remarks of Southin J.A. in Gobin wherein she decries the lack of clear legislation with respect to the liability of the Crown in the matter of highways, which would "avoid the policy/operations dichotomy which, in these highway cases, leads to a substantial expenditure of judicial 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Just, Brown and Gobin all involved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there was no statutory duty imposed upon the governmental authority. In such cases it is necessary to determine whether the policy defence applies and, in so doing, it is necessary to consider whether the decision under attack comes within a matter of true policy or whether it is operational in nature. If it is a matter of policy then, unless that policy is not bona fide or is so irrational or so unreasonable as to not constitute a proper exercise of discretion, the City cannot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present case the claim is founded not only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under the Occupiers Liability Act, which imposes a statutory duty of care upon the City. The relevant provisions of the Act are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subsection (2), the Crown and its agencies are bound by this Act.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this Act does not apply to the government or to the Crown in right of Canada or to a municipality if the government, the Crown in right of Canada or the municipality is the occupier of</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highway, other than a recreational trail referred to in section 3(3.3)(c),</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public road,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road under the Forest Act,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private road as defined in section 2(1) of the Motor Vehicle Act, other than a private road referred to in section 3(3.3)(b)(iv) of this Act, or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industrial road as defined in the Industrial Roads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should have thought that where a statutory duty of care exists the policy/operational analysis simply does not arise. The policy defence, if it applies, negates a common law duty of care. That was the view taken by Sopinka J. in his concurring judgment in Brown at para.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if a statutory duty to maintain existed as it does in some provinces, it would be unnecessary to find a private law duty on the basis of the neighbourhood principle in Anns v. Merton London Borough Council, [1978] A.C. 728. Moreover, </w:t>
      </w:r>
      <w:r>
        <w:rPr>
          <w:rFonts w:ascii="arial" w:eastAsia="arial" w:hAnsi="arial" w:cs="arial"/>
          <w:color w:val="000000"/>
          <w:sz w:val="20"/>
          <w:u w:val="single"/>
          <w:lang w:val="en-US" w:eastAsia="en-US" w:bidi="ar-SA"/>
        </w:rPr>
        <w:t>it is only necessary to consider the policy/operational dichotomy in connection with the search for a private law duty of care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was also the view taken by Southin J. in her concurring judgment in Gobin at para. 65, quoted above, and at para. 67 where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Brown v. British Columbia (Minister of Transportation and Highways), </w:t>
      </w:r>
      <w:hyperlink r:id="rId480"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Sopinka J. set out correctly, in my opinion, the law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This is also the view taken by the Ontario Court of Appeal in Kennedy v. Waterloo County Board of Education </w:t>
      </w:r>
      <w:hyperlink r:id="rId483" w:history="1">
        <w:r>
          <w:rPr>
            <w:rFonts w:ascii="arial" w:eastAsia="arial" w:hAnsi="arial" w:cs="arial"/>
            <w:i/>
            <w:color w:val="0077CC"/>
            <w:sz w:val="20"/>
            <w:u w:val="single"/>
            <w:shd w:val="clear" w:color="auto" w:fill="FFFFFF"/>
            <w:lang w:val="en-US" w:eastAsia="en-US" w:bidi="ar-SA"/>
          </w:rPr>
          <w:t>(1999), 175 D.L.R. (4th) 106</w:t>
        </w:r>
      </w:hyperlink>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45 O.R. (3d) 1</w:t>
        </w:r>
      </w:hyperlink>
      <w:r>
        <w:rPr>
          <w:rFonts w:ascii="arial" w:eastAsia="arial" w:hAnsi="arial" w:cs="arial"/>
          <w:color w:val="000000"/>
          <w:sz w:val="20"/>
          <w:lang w:val="en-US" w:eastAsia="en-US" w:bidi="ar-SA"/>
        </w:rPr>
        <w:t xml:space="preserve"> [Kennedy] in which the Court held that "the trial judge erred in applying the policy/operational analysis where the Occupiers' Liability Act prescribes the statutory duty and the standard of care and provides civil liability for breach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is not to say that the existence of a policy would be irrelevant to the determination whether there is a breach of the statutory duty of care. It is clearly relevant. In determining the standard of care under the Occupiers Liability Act and whether the City has breached the standard of care, it is necessary to consider all relevant circumstances, including budgetary constraints and the availability of personnel and equipment. During such analysis the court would have to consider the reasonableness of the policy as well as whether it was properly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However, this is not the view taken by my brother Brooke J. in Fox v. Vancouver (City) </w:t>
      </w:r>
      <w:hyperlink r:id="rId484" w:history="1">
        <w:r>
          <w:rPr>
            <w:rFonts w:ascii="arial" w:eastAsia="arial" w:hAnsi="arial" w:cs="arial"/>
            <w:i/>
            <w:color w:val="0077CC"/>
            <w:sz w:val="20"/>
            <w:u w:val="single"/>
            <w:shd w:val="clear" w:color="auto" w:fill="FFFFFF"/>
            <w:lang w:val="en-US" w:eastAsia="en-US" w:bidi="ar-SA"/>
          </w:rPr>
          <w:t>22 B.C.L.R. (4th) 126</w:t>
        </w:r>
      </w:hyperlink>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2003 BCSC 1492</w:t>
        </w:r>
      </w:hyperlink>
      <w:r>
        <w:rPr>
          <w:rFonts w:ascii="arial" w:eastAsia="arial" w:hAnsi="arial" w:cs="arial"/>
          <w:color w:val="000000"/>
          <w:sz w:val="20"/>
          <w:lang w:val="en-US" w:eastAsia="en-US" w:bidi="ar-SA"/>
        </w:rPr>
        <w:t xml:space="preserve"> [Fox]. In that case, Ms. Fox sued the City of Vancouver for damages suffered when she tripped and fell on a sidewalk owned by the City. Her claim was based solely upon the Occupiers Liability Act; she did not advance a common law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City argued that it had implemented an inspection system which could not be reviewed on a private law standard of reasonableness, unless it could be said that the decision was not bona fide or was so irrational that it could not constitute a proper exercise of discretion. Alternatively, it argued it took reasonable care to see that the plaintiff and others would be reasonably safe in using the sidewalk and no liability should be found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argued that the immunity defence depended on the absence of a positive duty, whereas a positive statutory duty existed under s. 3 of the Act. The plaintiff's position was summarized by Brooke J. at para.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 plaintiff, in essence, is saying is that there is a distinction between a common law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respect of the exercise of statutory powers to maintain and repair streets as against an alleged breach of a statutory duty of care, such as that contained in the Occupiers Liability Act. The plaintiff says that in the first case, the powers are permissive and import a discretion which lends itself to a policy and operational analysis. In the latter case, so says the plaintiff, no such analysis is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Brooke J. reviewed the authorities, including Just and Brown, distinguished Kennedy and applied the policy immunity defence. At para. 19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defendant city made a bona fide policy decision in the exercise of a discretionary power, and that that decision expressed in the Engineering Technician's Manual is not unreasonable and is a bona fide exercise of discretion based upon social, political and economic factors and not with a view to absolving itself of liability for the harm that the plaintiff sustained when she fell. As such, it is not reviewable by this court other than with respect to its operational aspect. There is no suggestion that the defendant city failed to carry out its responsibilities as set out in the Manual. Accordingly, the plaintiff's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the decision in Fox is a considered decision in which the relevant case law was reviewed I feel constrained by Re Hansard Spruce Mills Ltd., </w:t>
      </w:r>
      <w:hyperlink r:id="rId485"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13 W.W.R. (N.S.) 285</w:t>
        </w:r>
      </w:hyperlink>
      <w:r>
        <w:rPr>
          <w:rFonts w:ascii="arial" w:eastAsia="arial" w:hAnsi="arial" w:cs="arial"/>
          <w:color w:val="000000"/>
          <w:sz w:val="20"/>
          <w:lang w:val="en-US" w:eastAsia="en-US" w:bidi="ar-SA"/>
        </w:rPr>
        <w:t xml:space="preserve"> to follow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opinion, the policy adopted by the City for the clearing of snow and ice from its sidewalks constitutes a bona fide exercise of its discretion based upon budgetary constraints and the availability of workers and equipment. In my view, it is neither irrational, nor so unreasonable as to constitute an improper exercise of discretion. The City imposes on itself the same obligation that it imposes on persons whose property abuts sidewalks. It requires a response to snowfall by 10:00 a.m. of the day following a snowfall or freezing weather. The City does not have crews available to provide sidewalk maintenance outside of the dayshift hours, but does respond on an exceptional basis if a dangerous situation is brought to its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for the plaintiff says the fact that the City has singled out the Overpass street for special consideration demonstrates that it is aware there are special risks associated with icing on the Overpass. He submits the City ought to have been aware the Overpass was used heavily by pedestrians and that it was more susceptible to icing than other locations. Counsel submits, therefore, that the nature of this location takes it out of the general policy and the failure to give it special consideration is an improper exercise of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cannot accept that submission. The evidence does not enable me to find as a fact that the City was aware of any special problems associated with the sidewalk on the Overpass that would necessitate consideration beyond that given to other sidewalks that the City is liable to maintain.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Even if the policy/operation analysis were not to be applied to the claim founded upon the Occupiers Liability Act, I would conclude, for the reasons set out above, that the policy the City adopted for inspection and ice and snow removal is reasonable in all of the circumstances and meets the reasonable standard of care imposed by the Act. Occupiers are not insurers. They are only required to take such care as is reasonable in all the circumstances to see that a person will be reasonably safe in using the premises. As Cory J. said in Brown at p.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Ice is a natural hazard of Canadian winters. It can form quickly and unexpectedly. Although it is an expected hazard it is one that can never be completely prevented. Any attempt to do so would be prohibitively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While this observation was made in relation to icy roads, it also applies to the clearing of ice and snow from sidewalks. It would not be reasonable to expect the City to devote the workforce and resources to clear the sidewalks immediately upon snow falling and to ensure that they remained clear as snow fell. The City need not take all measures that may be possible to ensure the safety of those who use its sidewalks. The standard is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 note as well that the policy adopted by the City for clearing sidewalks under its control is the same as that adopted by the municipality in Miller v. Kamloops (City) </w:t>
      </w:r>
      <w:hyperlink r:id="rId486" w:history="1">
        <w:r>
          <w:rPr>
            <w:rFonts w:ascii="arial" w:eastAsia="arial" w:hAnsi="arial" w:cs="arial"/>
            <w:i/>
            <w:color w:val="0077CC"/>
            <w:sz w:val="20"/>
            <w:u w:val="single"/>
            <w:shd w:val="clear" w:color="auto" w:fill="FFFFFF"/>
            <w:lang w:val="en-US" w:eastAsia="en-US" w:bidi="ar-SA"/>
          </w:rPr>
          <w:t>39 M.P.L.R. (3d) 295</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2003 BCSC 908</w:t>
        </w:r>
      </w:hyperlink>
      <w:r>
        <w:rPr>
          <w:rFonts w:ascii="arial" w:eastAsia="arial" w:hAnsi="arial" w:cs="arial"/>
          <w:color w:val="000000"/>
          <w:sz w:val="20"/>
          <w:lang w:val="en-US" w:eastAsia="en-US" w:bidi="ar-SA"/>
        </w:rPr>
        <w:t>, which Blair J. found to be reasonable.</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City negligent in implementing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opinion, there is no evidence that the City was negligent in carrying out its policy or in failing to detect and remedy the danger that presented itself to the plaintiff. The plaintiff accepts that the icy patch developed overnight and was not the result of any failure on the part of the City to clear the sidewalk on the previous days. The tow truck driver who inspected the Overpass road early on the morning of March 20, 2002 was not required to inspect the sidewalk and was not in a position where he could have detected the danger when he was testing the surface of the road. There was nothing about the road surface that could have alerted him to the presence of the ice patch that had formed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that if the defendant owed the plaintiff a duty of care, either at common law or under the Occupiers Liability Act, it met a reasonable standard of care, and is therefore not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Remaining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Given my conclusion that the City is not liable, either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under the Occupiers Liability Act, I need not address the issues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quantum and I choose to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action is dismissed. The City will be entitled to its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6"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Lamont v. Westfair Properties (Pacific) Ltd., [2000] B.C.J. No. 513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Nelson Registry No. 7369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513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406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95 A.C.W.S. (3d) 590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Inga Lillian Lamont, plaintiff, and Westfair Properties (Pacific) Ltd. and Westfair Foods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7"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4" w:name="Keywords_22"/>
      <w:bookmarkEnd w:id="164"/>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Retail store — Practice — Dismissal of action — Application or motion for dismissal — Circumstances when granted.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5" w:name="Case Summary_21"/>
            <w:bookmarkEnd w:id="1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Westfair Properties for an order dismissing Lamont's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Lamont was a customer in the Great Canadian Superstore, which was owned by Westfair. She submitted that as she shopped in the store, she noticed that the floors were untidy and wet in various departments. She stated that she avoided certain areas of the store because of water on the floors. However, Lamont stated that she stopped paying attention to the condition of the floors once she got through the checkout line. It was at this point, just as Lamont was leaving the store, that she fell and broke her wrist. Westfair acknowledged that Lamont's fall was caused by her slipping in a puddle of water at the front of the store. However, Westfair denied that it was negligent, and submitted that it had a reasonable cleaning system in place at the time of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6" w:name="Holdings of Court_19"/>
            <w:bookmarkEnd w:id="16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Lamont did not discharge the burden of establishing that the accident occurred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want of care on the part of Westfair. The evidence demonstrated that there were systems in place to periodically sweep the floors of debris and spills. Westfair had shown that it had a reasonable cleaning and monitoring system in place.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7" w:name="Legislation Cited_17"/>
      <w:bookmarkEnd w:id="1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8"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8" w:name="Counsel_22"/>
      <w:bookmarkEnd w:id="1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9"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Spilker, for the plaintiff. I. Hallam,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9" w:name="Judgment_22"/>
      <w:bookmarkEnd w:id="169"/>
      <w:r>
        <w:pict>
          <v:line id="_x0000_s1140" style="position:absolute;z-index:25183539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March 28, 2000.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0" w:name="McEWAN J."/>
            <w:bookmarkEnd w:id="170"/>
            <w:r>
              <w:rPr>
                <w:rFonts w:ascii="arial" w:eastAsia="arial" w:hAnsi="arial" w:cs="arial"/>
                <w:b/>
                <w:color w:val="000000"/>
                <w:sz w:val="30"/>
                <w:lang w:val="en-US" w:eastAsia="en-US" w:bidi="ar-SA"/>
              </w:rPr>
              <w:t>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bring an application pursuant to Rule 18A for an order dismissing the plaintiff's claim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arises out of an incident on March 9, 1997. The plaintiff was a customer in a Great Canadian Superstore in Surrey, British Columbia when she slipped and fell on a puddle of water on the floor in the "front-end" area of the store. The defendants are the owners and occupiers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evidence is that as she went about the store she noticed that the floors were untidy and that there was actually water on the floor in the dairy department. She deposed that she and her husband avoided going through the produce department because of debris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further deposed that notwithstanding these concerns, she stopped paying attention to the floors once she was through the checkout. She says she did not notice a puddle of water at the front of the store until she slipped in it breaking her wrist and sustaining some cuts and bruises.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James Robert Lamont, the plaintiff's husband, deposed that he and the plaintiff entered the store about 7:00 pm. He said the store was busier and messier than any he had ever seen in his 69 years. He said there was produce and water on the floor in the produce department. He said the pedestrian traffic leaving the store was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Lamont deposed that the puddle on the floor where his wife fell appeared to be water. He thought the puddle was about 30 inches across. He deposed that the floor was a "shiny greyish colour" that made it difficult to see water. There were no warning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Lamont deposed that no one at the store assisted his wife after her fall. He also suggested that the Assistant Manager was somewhat indifferent.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Lamont took photographs the next day. The store was not busy when he did so and the floors appeared very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accepts that the plaintiff fell as a result of stepping in water that had pooled on the floor in the front end of the store. It meets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offering evidence that the store had a reasonable cleaning system in place covering the area of the store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To this end the defendants produced a series of affidavits from store employees proving that they were on duty in the evening of March 9, 1997 and showing, by reference to cleaning logs, that a system was in place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Darryl Boyd, the defendant's District Manager responsible for the store where the plaintiff fell, deposed that as of March 9, 1997 the Surrey store had a maintenance program in place with the following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11a</w:t>
      </w:r>
      <w:r>
        <w:rPr>
          <w:rFonts w:ascii="arial" w:eastAsia="arial" w:hAnsi="arial" w:cs="arial"/>
          <w:color w:val="000000"/>
          <w:sz w:val="20"/>
          <w:lang w:val="en-US" w:eastAsia="en-US" w:bidi="ar-SA"/>
        </w:rPr>
        <w:t>  5. (a) Every night when the store was closed, contract cleaners attended. The company with the contract as at March 9, 1997, as is the case today, was Masterpiece Floor Maintenance. They sweep and buff the entire sales floor of the store, and strip and re-wax through the store on a regular rotation. The wax that is used by Masterpiece is Equinox Non-Slip Wax.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11b</w:t>
      </w:r>
      <w:r>
        <w:rPr>
          <w:rFonts w:ascii="arial" w:eastAsia="arial" w:hAnsi="arial" w:cs="arial"/>
          <w:color w:val="000000"/>
          <w:sz w:val="20"/>
          <w:lang w:val="en-US" w:eastAsia="en-US" w:bidi="ar-SA"/>
        </w:rPr>
        <w:t>  (b) Upon hiring and through the course of employment, employees are instructed to watch out for spills. In the course of their duties, and if a spill is seen on the floor, it is to be dealt with by picking it up, marking it with a warning cone, calling General Services, sweeping and/or mopping as is appropriate. The store management impresses upon all employees a slogan, "Don't pass it up, pick it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11c</w:t>
      </w:r>
      <w:r>
        <w:rPr>
          <w:rFonts w:ascii="arial" w:eastAsia="arial" w:hAnsi="arial" w:cs="arial"/>
          <w:color w:val="000000"/>
          <w:sz w:val="20"/>
          <w:lang w:val="en-US" w:eastAsia="en-US" w:bidi="ar-SA"/>
        </w:rPr>
        <w:t>  (c) The above mentioned "General Services" is a special janitorial staff employed by the store. They have a set routine through the course of the day, including the cleaning of the store's public washrooms on an hourly basis. As well, they are available to be called if a larger spill should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11d</w:t>
      </w:r>
      <w:r>
        <w:rPr>
          <w:rFonts w:ascii="arial" w:eastAsia="arial" w:hAnsi="arial" w:cs="arial"/>
          <w:color w:val="000000"/>
          <w:sz w:val="20"/>
          <w:lang w:val="en-US" w:eastAsia="en-US" w:bidi="ar-SA"/>
        </w:rPr>
        <w:t>  (d) The store is divided into two large departments, and a variety of sub-departments. The two large departments are Food and General Merchandise. The Food Department includes sub-departments such as bakery, produce and deli. The General Merchandise department includes several sub-departments including beauty, leisure and apparel. In the Food Departments, except grocery, there is a mandatory sweeping requirement every hour or more often, as required. In General Merchandise the mandatory sweep requirement is every two hours, or more often as required. In grocery, sweeps are completed by General Services employees every 2 1/4 hours. Each department has its own record of sweeps which are performed, a sweep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11e</w:t>
      </w:r>
      <w:r>
        <w:rPr>
          <w:rFonts w:ascii="arial" w:eastAsia="arial" w:hAnsi="arial" w:cs="arial"/>
          <w:color w:val="000000"/>
          <w:sz w:val="20"/>
          <w:lang w:val="en-US" w:eastAsia="en-US" w:bidi="ar-SA"/>
        </w:rPr>
        <w:t>  (e) Sweep logs are periodically checked by department supervisors and store managers through the course of the week in order to ensure compliance. As well, store managers check sweep logs at the end of each week. Discipline will follow if the mandatory cleaning routine is found not to have been complied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11f</w:t>
      </w:r>
      <w:r>
        <w:rPr>
          <w:rFonts w:ascii="arial" w:eastAsia="arial" w:hAnsi="arial" w:cs="arial"/>
          <w:color w:val="000000"/>
          <w:sz w:val="20"/>
          <w:lang w:val="en-US" w:eastAsia="en-US" w:bidi="ar-SA"/>
        </w:rPr>
        <w:t>  (f) Store managers, through the course of their day, walk through the sales floor of the store dealing with concerns about customers, employees, product levels, and store presentation. Approximately 75% of a store manager's day would be spent on the sales floor as opposed to in the office. As well, the store's office is located near the store entrance, exit and cashier area. As such, much of a store manager's activity would be focused in that area. Further, store managers deal directly at customer service with overrides of a value of $50.00 and over, and complaints of customers. Cash pick ups from cash registers require both a store manager and a "front end" supervisor. The store's public washrooms, located near the northern most cashier lanes, are periodically checked by store managers.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11g</w:t>
      </w:r>
      <w:r>
        <w:rPr>
          <w:rFonts w:ascii="arial" w:eastAsia="arial" w:hAnsi="arial" w:cs="arial"/>
          <w:color w:val="000000"/>
          <w:sz w:val="20"/>
          <w:lang w:val="en-US" w:eastAsia="en-US" w:bidi="ar-SA"/>
        </w:rPr>
        <w:t>  6. There is a department of the store called "front end", which includes the area of the store where customer service and the cashier lanes are located. The front end has its own separate mandatory cleaning routine, calling for sweeping on an hourly basis or more often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11h</w:t>
      </w:r>
      <w:r>
        <w:rPr>
          <w:rFonts w:ascii="arial" w:eastAsia="arial" w:hAnsi="arial" w:cs="arial"/>
          <w:color w:val="000000"/>
          <w:sz w:val="20"/>
          <w:lang w:val="en-US" w:eastAsia="en-US" w:bidi="ar-SA"/>
        </w:rPr>
        <w:t>  7. Attached to this my Affidavit as Exhibit "A" is a true copy of the March 9, 1997, front end sweep log indicating that at 7:15 p.m. employee Sarah Gardner swept the front end of the Surrey Superstore.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Court did not number these paragraphs. Quicklaw has assigned numbers 11a - 11h.]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Gardner deposed that she was working from 2:15 pm to 10:00 pm on March 9, 1997. She attached a copy of the "front-end" "sweep log" showing sweeping throughout the day and more particularly at 4:30 pm and 5:30 pm by one Carrie Richardson; at 6:05 pm by one Anne Segec; and at 7:15 pm and 8:30 pm by herself. Ms. Gardner said when she swept this would mean the entire front end including both sides of the 25 cashier lanes and the area between the cashier lanes and the store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Carrie Richardson deposed that she did the sweep noted in the log at 4:00 pm, 5:30 pm and 8:45 pm. She went on to say:</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was on duty on March 9, 1997, as Assistant Supervisor, I would not have been working in a cashier lane. Rather, I would move throughout the Front End Department. In particular, as Assistant Supervisor, I would be responsible for dealing with assisting customers "put always" which are items brought to a checkout but not purchased by a customer, keeping the magazine racks tidy, dealing with overrides at individual checkouts, monitoring the condition of floors, and assisting at Customer Service with customer inquiries and can and bottle returns. I would be responsible for either cleaning as is required by the above-mentioned mandatory cleaning program, or assigning such duties to be done. For example, I would have instructed Ms. Segec, and Ms. Gardner, to clean when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Robert Penner, a general services or "janitorial" worker deposed that he was on duty on March 9, 1997 between 5:00 pm and 10:00 pm. He was specifically charged with cleaning the store washrooms. The washroom log shows hourly cleanings by Mr. Penner from 6:00 - 9:00 pm. He deposed to further effect,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washrooms in the Surrey Superstore are located across an aisle from the end of lanes, the cashier in particular the cashier lanes which are closest to the Bakery and Produce Departments in the store. My path through the store, when proceeding to clean the public washrooms, would be to proceed across the end of the cashier lanes, that is, where the cashier lanes are closest to the entrance and exit to the store. I would walk from where the store's "host" is located, then in between the checkouts and customer service, then between the cashier lanes and the store exit, and finally in between the cashier lanes and independent vendor kiosks.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such, had there been water on the floor between the end of the cashier lanes and the exit to the store at 7:00 p.m. on March 9, 1997, I would have seen it. My instructions were to deal with spills seen in the course of my duty, and had I seen such a spill I would have cleaned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further evidence, contained in logs kept in the various store departments, that each department had systematic cleanings at various time intervals. The produce department log shows cleanings at 6:00 pm; 6:25 pm; 7:00 pm; and 8:00 pm on March 9,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While I have not exhaustively recounted the evidence, I am satisfied that the defendant has proved that throughout the store there were systems in place to periodically sweep the floors of debris and spillages. I am further satisfied that in the relevant area of the store, the front end, the defendant has established overlapping systems of inspection at the relevant time and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have clearly established the prima facie burden described in Ball v. British Pacific Properties Ltd., </w:t>
      </w:r>
      <w:hyperlink r:id="rId494" w:history="1">
        <w:r>
          <w:rPr>
            <w:rFonts w:ascii="arial" w:eastAsia="arial" w:hAnsi="arial" w:cs="arial"/>
            <w:i/>
            <w:color w:val="0077CC"/>
            <w:sz w:val="20"/>
            <w:u w:val="single"/>
            <w:shd w:val="clear" w:color="auto" w:fill="FFFFFF"/>
            <w:lang w:val="en-US" w:eastAsia="en-US" w:bidi="ar-SA"/>
          </w:rPr>
          <w:t>[1991] B.C.J. No. 3250</w:t>
        </w:r>
      </w:hyperlink>
      <w:r>
        <w:rPr>
          <w:rFonts w:ascii="arial" w:eastAsia="arial" w:hAnsi="arial" w:cs="arial"/>
          <w:color w:val="000000"/>
          <w:sz w:val="20"/>
          <w:lang w:val="en-US" w:eastAsia="en-US" w:bidi="ar-SA"/>
        </w:rPr>
        <w:t>, Oct. 29, 1991, Vancouver Registry No. B903692 (B.C.S.C.) per Mr. Justice Drost: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Proof of a regular system of business is prima facie proof that in a particular case the general system has been followed. From evidence concerning a regular system or practice, it may be inferred that at the time in question, that system or practice was being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question then becomes whether the system was reasonable or demonstrates a want of reasonable care by the defendants' as occupiers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pertinent provisions of the Occupier's Liability Act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 . . on the premises . . . will be reasonably safe in using the premises.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conditions of the premises;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duty is not absolute: "an occupier is not an insurer" (see Fry v. Confederation Life Insurance Company et al, </w:t>
      </w:r>
      <w:hyperlink r:id="rId495" w:history="1">
        <w:r>
          <w:rPr>
            <w:rFonts w:ascii="arial" w:eastAsia="arial" w:hAnsi="arial" w:cs="arial"/>
            <w:i/>
            <w:color w:val="0077CC"/>
            <w:sz w:val="20"/>
            <w:u w:val="single"/>
            <w:shd w:val="clear" w:color="auto" w:fill="FFFFFF"/>
            <w:lang w:val="en-US" w:eastAsia="en-US" w:bidi="ar-SA"/>
          </w:rPr>
          <w:t>[1989] B.C.J. No. 985</w:t>
        </w:r>
      </w:hyperlink>
      <w:r>
        <w:rPr>
          <w:rFonts w:ascii="arial" w:eastAsia="arial" w:hAnsi="arial" w:cs="arial"/>
          <w:color w:val="000000"/>
          <w:sz w:val="20"/>
          <w:lang w:val="en-US" w:eastAsia="en-US" w:bidi="ar-SA"/>
        </w:rPr>
        <w:t>, May 25, 1989, Vancouver Registry No. C875590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Beaman v. Canada Safeway Limited, </w:t>
      </w:r>
      <w:hyperlink r:id="rId496" w:history="1">
        <w:r>
          <w:rPr>
            <w:rFonts w:ascii="arial" w:eastAsia="arial" w:hAnsi="arial" w:cs="arial"/>
            <w:i/>
            <w:color w:val="0077CC"/>
            <w:sz w:val="20"/>
            <w:u w:val="single"/>
            <w:shd w:val="clear" w:color="auto" w:fill="FFFFFF"/>
            <w:lang w:val="en-US" w:eastAsia="en-US" w:bidi="ar-SA"/>
          </w:rPr>
          <w:t>[1993] S.J. No. 617</w:t>
        </w:r>
      </w:hyperlink>
      <w:r>
        <w:rPr>
          <w:rFonts w:ascii="arial" w:eastAsia="arial" w:hAnsi="arial" w:cs="arial"/>
          <w:color w:val="000000"/>
          <w:sz w:val="20"/>
          <w:lang w:val="en-US" w:eastAsia="en-US" w:bidi="ar-SA"/>
        </w:rPr>
        <w:t>, November 12, 1993, Saskatoon Registry No. 3377 (Sask. Q.B.) Mr. Justice Lawton expressed the standard as follows (at pp.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Constant surveillance and instant response might very well prevent such an accident, but such a high standard is not required. The Defendant is not obliged to have his employees standing around to observe or follow each customer and instantly sweep up after those who spill items on the floor. Unrealistic procedures are not required. Reasonableness is the standard, not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evidence before me, which I accept, is that the defendants had a system of regular cleanings in place, which were supplemented on an as-needed basis from time to time. The evidence of the plaintiff's that the store was "messy" is difficult to assess by reference to any "reasonable" standard. The produce department, which they suggest was notably messy, had been cleaned according to the log at 6:25 pm and again at 7:00 pm. The area where the accident actually happened had been regularly cleaned and was subject to the overlapping review of Mr. Penner.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Taking the evidence, all in all, I am satisfied that the defendants have established that they had a reasonable system in place. The plaintiff has not carried the burden of establishing that the accident, while certainly unfortunate, occurred as a result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want of care on the part of the defendants. The defendants' motion is therefore granted and the plaintiff's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March 28,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Corrigendum is issued with respect to my Reasons for Judgment published March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date stamped on the document is incorrect. It should be March 3,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This change has been noted and applied. A corrected first page is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Lindner v. Allin, [2002] B.C.J. No. 252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30 and 31,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8,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C990807</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212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111 A.C.W.S. (3d) 204</w:t>
      </w:r>
    </w:p>
    <w:p>
      <w:pPr>
        <w:spacing w:before="120" w:line="260" w:lineRule="atLeast"/>
        <w:rPr>
          <w:lang w:val="en-US" w:eastAsia="en-US" w:bidi="ar-SA"/>
        </w:rPr>
      </w:pPr>
      <w:r>
        <w:rPr>
          <w:rFonts w:ascii="arial" w:eastAsia="arial" w:hAnsi="arial" w:cs="arial"/>
          <w:color w:val="000000"/>
          <w:sz w:val="20"/>
          <w:lang w:val="en-US" w:eastAsia="en-US" w:bidi="ar-SA"/>
        </w:rPr>
        <w:t>Between Heinz Werner Lindner and Elfrieda Minna Lindner, plaintiffs, and Dale Douglas Allin, Scott Taylor, Robert Watson Williams and First Citizens Mortgage Corporation, defendants, and Robert Watson Williams and First Citizens Mortgage Corporation,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2"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1" w:name="Keywords_23"/>
      <w:bookmarkEnd w:id="17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Evidence.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2" w:name="Case Summary_22"/>
            <w:bookmarkEnd w:id="17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Lindner and his wife, mortgagees, seeking damages from various parties after Allin, the mortgagor, defaulted. Lindner was seeking damages from Watson and his company, mortgage brokers, Taylor, their solicitor, and Allin, the mortgagor. The claims against Taylor and third parties had been settled. The main issues involved Watson, the mortgage broker, and Lindner. Lindner alleged fraud and negligent misrepresentation on the part of Watson in inducing him into entering into a mortgage with Allin. Watson, a professional mortgage broker and friend of the plaintiffs, had told Lindner that Allin wished to borrow $65,000 and that he had sufficient equity in his rental property to make it secure. He also represented that Allin was employed, which was information that was out of date. Also, he based his representations with respect to the equity on two appraisals which both explicitly stated that the conclusions on the value of the property were based only on a cursory examination of the outside of the building and should not have been relied upon for mortgage financing. When Allin defaulted on the mortgage, it turned out that the interior of the building had been trashed due to a marijuana growing operation inside. There was, therefor, a shortfall on the foreclosure proceedings. </w:t>
            </w:r>
            <w:r>
              <w:rPr>
                <w:lang w:val="en-US" w:eastAsia="en-US" w:bidi="ar-SA"/>
              </w:rPr>
              <w:cr/>
            </w:r>
          </w:p>
          <w:p>
            <w:pPr>
              <w:spacing w:before="120" w:line="260" w:lineRule="atLeast"/>
              <w:ind w:left="240"/>
              <w:jc w:val="both"/>
              <w:rPr>
                <w:lang w:val="en-US" w:eastAsia="en-US" w:bidi="ar-SA"/>
              </w:rPr>
            </w:pPr>
            <w:bookmarkStart w:id="173" w:name="Holdings of Court_20"/>
            <w:bookmarkEnd w:id="173"/>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While Watson had been negligent by representing that the mortgage was a good mortgage and the investment secure, Lindner had not established that the loss had been caused by Williams's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was no evidence indicating when the marijuana growing operation had begun. If it had commenced after the registration of the mortgage, then it could not have been said that the loss was caused by Williams. </w:t>
            </w:r>
            <w:r>
              <w:rPr>
                <w:lang w:val="en-US" w:eastAsia="en-US" w:bidi="ar-SA"/>
              </w:rPr>
              <w:cr/>
            </w:r>
          </w:p>
          <w:p>
            <w:pPr>
              <w:rPr>
                <w:lang w:val="en-US" w:eastAsia="en-US" w:bidi="ar-SA"/>
              </w:rPr>
            </w:pPr>
          </w:p>
        </w:tc>
      </w:tr>
    </w:tbl>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3"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174" w:name="Counsel_23"/>
      <w:bookmarkEnd w:id="17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4" style="position:absolute;z-index:2517852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Graham B. Walker, for the plaintiffs. Donald F. McCrimmon, for the defendants, Robert Watson Williams and First Citizens Mortgage Corporation.</w:t>
      </w:r>
      <w:r>
        <w:rPr>
          <w:lang w:val="en-US" w:eastAsia="en-US" w:bidi="ar-SA"/>
        </w:rPr>
        <w:cr/>
      </w:r>
    </w:p>
    <w:p>
      <w:pPr>
        <w:spacing w:after="240"/>
        <w:rPr>
          <w:lang w:val="en-US" w:eastAsia="en-US" w:bidi="ar-SA"/>
        </w:rPr>
      </w:pPr>
      <w:bookmarkStart w:id="175" w:name="Judgment_23"/>
      <w:bookmarkEnd w:id="175"/>
      <w:r>
        <w:pict>
          <v:line id="_x0000_s1145" style="position:absolute;z-index:25183641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6" w:name="WILLIAMSON J."/>
            <w:bookmarkEnd w:id="176"/>
            <w:r>
              <w:rPr>
                <w:rFonts w:ascii="arial" w:eastAsia="arial" w:hAnsi="arial" w:cs="arial"/>
                <w:b/>
                <w:color w:val="000000"/>
                <w:sz w:val="30"/>
                <w:lang w:val="en-US" w:eastAsia="en-US" w:bidi="ar-SA"/>
              </w:rPr>
              <w:t>WILLIAMSON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Williams was a mortgage broker who brought together the plaintiffs (the Lindners) as lenders, and the defendant Allin as borrower, in a mortgage arrangement. The defendant Taylor acted as the solicitor in the transaction.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mortgage was a $65,000 second mortgage on rented property said to be valued at somewhere between $425,000 and $450,000, against which there was a first mortgage of approximately $291,000.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About a year after the mortgage was registered, it went into default. After foreclosure, there was a shortfall. The plaintiffs sued the defendants. Third party proceedings were commenced.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case against Taylor has been settled, as have the third party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this application, pursuant to Rule 18A of the Rules of Court, the plaintiffs seek judgment against the defendants Williams and his company, First Citizens Mortgage Corporation. The plaintiffs allege fraud and negligent misrepresentation against Williams. At trial, as I understand it, the plaintiffs also sought to amend the prayer for relief in the statement of claim to allege a breach of fiduciary duty on the part of Williams.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Williams, a professional mortgage broker, was a long time friend of the plaintiffs. He had a couple of times before been involved in their financial dealings. He was approached by Allin who needed to borrow $65,000 and asked Williams if he could find a lender. Williams tried four other potential lenders, all professional lending organizations, and for one reason or another they all turned the deal down. The evidence discloses they required further security in the form of a charge against other property which Allin owned. Allin was unwilling to provide such security.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Williams, who had previously arranged one mortgage by which the Lindners loaned money, asked them if they would be interested. Whether he called the plaintiffs or they went to him seeking an investment is in dispute. In any case, Williams told the plaintiffs that there was an appropriate amount of equity in the property and that the loan would be secure. He also told them it was an excellent interest rate - 14%.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of the plaintiff Heinz Lindner, on examination for discovery, was that he knew that Williams was a professional mortgage broker, and that he trusted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Unfortunately the information which Williams gave the Lindners was out of date and, in my view, inadequate. First, he told them that the mortgagor was employed. The information he had about that, however, was some years out of date. Secondly, when he told the plaintiffs that the equity was sufficient, he was relying upon two appraisals of the subject property, prepared for the potential mortgagor, and which expressly stated that there were limitations.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particular, the first appraisal, dated June 7, 1996, prepared by a professional appraiser, stated expressly that the intended use of the appraisal was "not as mortgage security", and further stated that "due to the limitation of this reporting method it is not intended for use by third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appraisal further stated that it was the result of a "cursory" roadside inspection and that no interior inspection was performed. The property had been rented, and this may have been the reason there was no interior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second appraisal, dated June 15, 1996, stated that it was prepared as an update to the original appraisal, and that it also was the result of a cursory exterior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When the solicitor, Taylor, commenced the procedures to draw up and register the mortgage he caused a search of the title to be done. That search disclosed that the defendant Allin was not the registered owner of the property, rather the registered owner was a numbered company. Nevertheless, he went ahead and registered the mortgage showing that company as the mortgagor. He did not inform either the broker Williams or the plaintiffs of this change, nor did he obtain a personal guarantee from Allin.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the evidence of the plaintiffs that they would not have gone into this mortgage had they known that the mortgagor was a numbered company rather than Mr. Allin.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I noted above, the claim against Taylor has settled.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the course of submissions, counsel for the plaintiffs submitted that Williams had breached a fiduciary duty to the plaintiffs. Mr. McCrimmon, for the defendants, objected, pointing out that the Statement of Claim sought damages for a breach of fiduciary duty against the defendant Taylor, but not against Williams. Mr. Walker, if I understood him, then sought to amend the pleadings. I think it would be appropriate in only the most unusual circumstances to permit such an amendment during the submission stage of a summary trial. I decline to do so. I conclude, however, that it matters not as the facts in this case do not sustain a finding of a fiduciary duty owed to the plaintiffs by Williams.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his submissions on this point, Mr. Walker relied upon the principles set out in Hodgkinson v. Simms, </w:t>
      </w:r>
      <w:hyperlink r:id="rId504"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In the case at bar, the "trust" reposed in Williams by the plaintiffs did not result in their decision to loan the money being "...effectively that of the advisor...", as set out at para. 60 in Hodgkinson. While the friendship between the plaintiffs and Williams raises questions of loyalty and vulnerability, what is missing here is a bestowing upon Williams the power to make decisions for the plaintiffs. He provided them with information. They made the decision. A claim for breach of fiduciary duty has not been made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Is there a good claim, then, remaining against Williams? In my view while it can be said that Williams was negligent, the plaintiff has not established that any loss suffered was caused by Williams'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Williams was negligent because he informed the plaintiffs, people who to his knowledge were relying upon him and his expertise in the area, that the mortgage was a "good mortgage" and the investment secure. He gave this information based on his belief, long outdated, about the employment circumstance of the defendant. But more importantly, his advice that the equity was sufficient was based upon an assessed value of the property evidenced in documents clearly stated to be not for the purpose of mortgage security.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was no evidence brought by either side as to the standard expected of mortgage brokers in the Province of British Columbia in 1996. However, on the face of it, I am satisfied that any standard which would allow a mortgage broker to convey information to those relying upon him which he knows is based upon opinions expressly stated to be not for that purpose, or upon information which he knows or should know is out of date, is negligent. I so find.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Did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the loss? First, while there is evidence that the plaintiffs would not have entered into the mortgage had they known it was with a numbered company, that had nothing to do with the defendant Williams. He, like the plaintiffs, did not find this out from the solicitor until after the mortgage showing the numbered company as the borrower had been registered in the land title office.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But more importantly, the evidence discloses that at the time of the default on the mortgage, and once the foreclosure proceeding started, it turned out that the residence in question was being used for a marihuana grow operation. As is not unusual in such circumstances, and as the evidence discloses, the house had been trashed on the interior. The difficulty is that one does not know when that marihuana grow operation commenced. If it commenced well after the registration of the mortgage, the loss was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Williams. As the onus is upon the plaintiff to prove that that loss was caused by Williams'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judgment in this circumstance cannot be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result, while I find that Williams was negligent, I find that it has not been shown upon a balance of probabilities that Williams'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claim against Williams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Williams seeks costs against the plaintiffs because of the allegation of fraud. He notes that as fraud has not been proven, there is a discretion in the court to make such an award. I agree that discretion exists. However, in the circumstances of this case, where I have found that in fact the defendant Williams was negligent, I am satisfied that justice can be done and fairness achieved, as near as is possible, in this case by ordering that each side will bear its own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Order accordingly.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WILLIAMSON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Littler v. Underdown, [2000] B.C.J. No. 1367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21,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29, 2000.</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778/99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1367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1018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97 A.C.W.S. (3d) 1048</w:t>
      </w:r>
    </w:p>
    <w:p>
      <w:pPr>
        <w:spacing w:before="120" w:line="260" w:lineRule="atLeast"/>
        <w:rPr>
          <w:lang w:val="en-US" w:eastAsia="en-US" w:bidi="ar-SA"/>
        </w:rPr>
      </w:pPr>
      <w:r>
        <w:rPr>
          <w:rFonts w:ascii="arial" w:eastAsia="arial" w:hAnsi="arial" w:cs="arial"/>
          <w:color w:val="000000"/>
          <w:sz w:val="20"/>
          <w:lang w:val="en-US" w:eastAsia="en-US" w:bidi="ar-SA"/>
        </w:rPr>
        <w:t>Between Wendy Littler, plaintiff, and Michelle Leslie Underdown, David Ranger and Alison Ranger, defendants, and David Ranger and Alison Ranger,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7"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7" w:name="Keywords_24"/>
      <w:bookmarkEnd w:id="17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pedestrians and bicyclists — On highway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 Constituting hazard — Motor vehicle, standard of care of driver — Keeping a proper lookout.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8" w:name="Case Summary_23"/>
            <w:bookmarkEnd w:id="17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Littler for judgment on the issue of liability for a motor vehicle accident in which she sustained injuries. The only issue was liability as between Littler, the defendant Underdown, and the Ranger defendants who were crossing the highway at the relevant time. Littler was proceeding southbound when she was faced with the sudden braking action of the vehicle in front of hers, causing her to brake suddenly. As a result of her braking action Underdown, who was travelling directly behind Littler, was forced to brake suddenly and her vehicle collided with Littler's. The reason for the sudden braking action was the attempt by the Ranger family to cross the four lane highway. They were stationed at the concrete median in full view of southbound drivers. The family consisted of two adults and three children, one of whom was in a baby carriage. </w:t>
            </w:r>
            <w:r>
              <w:rPr>
                <w:lang w:val="en-US" w:eastAsia="en-US" w:bidi="ar-SA"/>
              </w:rPr>
              <w:cr/>
            </w:r>
          </w:p>
          <w:p>
            <w:pPr>
              <w:spacing w:before="120" w:line="260" w:lineRule="atLeast"/>
              <w:ind w:left="240"/>
              <w:jc w:val="both"/>
              <w:rPr>
                <w:lang w:val="en-US" w:eastAsia="en-US" w:bidi="ar-SA"/>
              </w:rPr>
            </w:pPr>
            <w:bookmarkStart w:id="179" w:name="Holdings of Court_21"/>
            <w:bookmarkEnd w:id="179"/>
            <w:r>
              <w:rPr>
                <w:rFonts w:ascii="arial" w:eastAsia="arial" w:hAnsi="arial" w:cs="arial"/>
                <w:color w:val="000000"/>
                <w:sz w:val="20"/>
                <w:lang w:val="en-US" w:eastAsia="en-US" w:bidi="ar-SA"/>
              </w:rPr>
              <w:t>HELD: Underdown found 75 per cent liable and the Rangers 25 per cent liable.</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Underdown was negligent in having failed to notice the Rangers situated on the edge of the roadway and the other motorists slowing down. She was not keeping a proper lookout or was too close to Littler's vehicle to come to a safe stop. The situation at hand was not an emergency. The Rangers, although readily visible and believing themselves to be in a position of safety created a hazard by their actions. It was as a result of their coming over the median, together with a baby carriage, that the first vehicle in question slowed abruptly, which in turn caused the ensuing events. They should have known that their actions on a highway with a speed limit of 80 kilometres per hour was a hazard to traffic. </w:t>
            </w:r>
            <w:r>
              <w:rPr>
                <w:lang w:val="en-US" w:eastAsia="en-US" w:bidi="ar-SA"/>
              </w:rPr>
              <w:cr/>
            </w:r>
          </w:p>
          <w:p>
            <w:pPr>
              <w:rPr>
                <w:lang w:val="en-US" w:eastAsia="en-US" w:bidi="ar-SA"/>
              </w:rPr>
            </w:pPr>
          </w:p>
        </w:tc>
      </w:tr>
    </w:tbl>
    <w:p>
      <w:pPr>
        <w:jc w:val="both"/>
        <w:rPr>
          <w:lang w:val="en-US" w:eastAsia="en-US" w:bidi="ar-SA"/>
        </w:rPr>
      </w:pPr>
      <w:bookmarkStart w:id="180" w:name="Legislation Cited_18"/>
      <w:bookmarkEnd w:id="18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8" style="position:absolute;z-index:2517350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Motor Vehicle Act, ss. 119, 125.</w:t>
      </w:r>
    </w:p>
    <w:p>
      <w:pPr>
        <w:spacing w:line="260" w:lineRule="atLeast"/>
        <w:jc w:val="both"/>
        <w:rPr>
          <w:lang w:val="en-US" w:eastAsia="en-US" w:bidi="ar-SA"/>
        </w:rPr>
      </w:pPr>
      <w:r>
        <w:rPr>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r>
        <w:rPr>
          <w:lang w:val="en-US" w:eastAsia="en-US" w:bidi="ar-SA"/>
        </w:rPr>
        <w:cr/>
      </w:r>
    </w:p>
    <w:p>
      <w:pPr>
        <w:keepNext/>
        <w:spacing w:before="240" w:line="340" w:lineRule="atLeast"/>
        <w:rPr>
          <w:lang w:val="en-US" w:eastAsia="en-US" w:bidi="ar-SA"/>
        </w:rPr>
      </w:pPr>
      <w:bookmarkStart w:id="181" w:name="Counsel_24"/>
      <w:bookmarkEnd w:id="18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9" style="position:absolute;z-index:2517862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J.S. Waldie, for the plaintiff. N. Carfra, for the defendant, Michelle Leslie Underdown. P.T. Gordon, for the defendants and third parties, David Ranger and Alison Ranger.</w:t>
      </w:r>
      <w:r>
        <w:rPr>
          <w:lang w:val="en-US" w:eastAsia="en-US" w:bidi="ar-SA"/>
        </w:rPr>
        <w:cr/>
      </w:r>
    </w:p>
    <w:p>
      <w:pPr>
        <w:spacing w:after="240"/>
        <w:rPr>
          <w:lang w:val="en-US" w:eastAsia="en-US" w:bidi="ar-SA"/>
        </w:rPr>
      </w:pPr>
      <w:bookmarkStart w:id="182" w:name="Judgment_24"/>
      <w:bookmarkEnd w:id="182"/>
      <w:r>
        <w:pict>
          <v:line id="_x0000_s1150" style="position:absolute;z-index:2518374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3" w:name="MELVIN J."/>
            <w:bookmarkEnd w:id="183"/>
            <w:r>
              <w:rPr>
                <w:rFonts w:ascii="arial" w:eastAsia="arial" w:hAnsi="arial" w:cs="arial"/>
                <w:b/>
                <w:color w:val="000000"/>
                <w:sz w:val="30"/>
                <w:lang w:val="en-US" w:eastAsia="en-US" w:bidi="ar-SA"/>
              </w:rPr>
              <w:t>MELVIN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her writ of summons issued February 17, 1999, the plaintiff seeks damages from the defendants as a result of a motor vehicle accident on January 1, 1998. The plaintiff seeks judgment pursuant to R. 18A; counsel for the defendant Underdown and the defendants and third parties Ranger agree that the action is suitable for R. 18A disposition. The only issue in these proceedings is the liability, if any, of the defendants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relevant period of time, the plaintiff was driving her vehicle southbound on the Pat Bay Highway (#17), immediately south of Sayward Road. At that location the Pat Bay Highway provides two lanes southbound and two lanes northbound, and the north and southbound lanes are divided by a concrete barrier approximately 32 inches in height. On the day in question, the local communities were engaged in a polar bear swim at Elk Lake, which is immediately adjacent to the area where the motor vehicle accident occurred, and as a result, there was a considerable amount of traffic travelling north on the Pat Bay Highway in order to make a left turn at the intersection of the Pat Bay Highway and Sayward Road in order to access the parking areas adjacent to Elk Lake. At all times material, the highway carried a speed limit of 80 kilometres per hour. On the date in question, the road was wet and there was a light rain falling.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third parties and defendants David and Alison Ranger and their three children (aged 18 months, 3 years and 7 years) wished to attend at the Elk Lake area for purposes of observing the polar bear swim. Anticipating considerable parking difficulties in the parking lot adjacent to the lake, they elected to park their vehicle on the east side of the Pat Bay Highway in an area which normally is operated as a weigh scale. After parking their vehicle in that location, the Rangers with two young children and a third in a baby carriage, crossed the Pat Bay Highway on foot from the area of the weigh scale towards Elk Lake. They crossed uneventfully to the concrete barrier at which time Mr. Ranger lifted the baby carriage over the barrier and he assisted their two other children across the barrier, and as a result the five members of the Ranger family were situate between the 32 inch high concrete barrier and the easterly painted line on the centremost southbound lane of the Pat Bay Highway. The only evidence as to the width of this area between the painted line and the concrete barrier is an estimate of 5 feet. While in this area, the Ranger family's expectation was that once the traffic light at Sayward Road turned red for southbound traffic, the highway would clear and they would be able to proceed across. In the meantime, as traffic was proceeding south at varying speeds, they remained within the painted line and the concrete barrier as traffic passed. On occasion, according to Mr. Ranger, the traffic tended to slow and he and his wife waived the traffic on while they waited for an opportunity to cross. While in this position, a southbound vehicle ahead of the plaintiff applied its brakes abruptly. In turn, the plaintiff applied her brakes and in turn, the defendant Underdown applied the brakes of the vehicle she was operating.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noteworthy, at the relevant period of time, that the plaintiff was travelling approximately 60 kilometres per hour and the defendant Underdown's statement indicates that she was travelling at approximately the same speed. The plaintiff had observed the Ranger family in its location adjacent to the barrier; however, the defendant Underdown did not make any observation of them in that position until such time as she came in contact with the plaintiff's vehicle. At all times material, the plaintiff's vehicle was slowing and had not reached a stop when it was struck by the defendant Underdown. The defendant Underdown testified that she applied her brakes forcefully and that due to the wet surface, her vehicle "hydroplaned" and turned somewhat sideways to the ordinary flow of traffic, and the contact between the Underdown vehicle and the plaintiff's vehicle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 as to liability in relation to the defendant Underdown, in my view, is relatively straightforward. As she was travelling with the traffic southbound on the Pat Bay Highway, she either did not see the plaintiff apply her brakes in a timely fashion, and in that sense was not keeping a proper lookout, or alternatively, she was too close to the plaintiff at the time the plaintiff applied her brakes. This is not a case where the vehicle in front of the defendant abruptly came to a stop for no apparent reason. The plaintiff's vehicle was still moving at the time it was struck by the defendant. Under those circumstances, I have no hesitation in concluding that the defendant Underdown was either following too close, travelling too fast, or not keeping a proper lookout.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suggested that the defendant Underdown was faced with an emergent situation and her reactions in the course of the agony of collision were appropriate. In that respect, in my view, the mechanics of the accident as above described are inconsistent with that analysis. It is noteworthy that her passenger noticed the Ranger family on the centre area of the highway at the time the defendant Underdown applied her brakes, yet the defendant Underdown did not see the Ranger family until such time as she had collided with the plaintiff's vehicle. That again, in my view, indicates a failure to keep a proper lookout on the part of that defendant. Consequently, as driver of the vehicle striking the plaintiff's vehicle from the rear, I am satisfied that she was negligent under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other issue relates to the liability, if any, of the Ranger family, and in particular, the defendants and third parties David and Alison Ranger, with reference to the motor vehicle accident in question. There is evidence which would cause one to conclude that they were readily observable in the position which they occupied between the concrete barrier and the painted line on the east side of the centremost southbound lane. As previously stated, this area was approximately 5 feet in width.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defendant Underdown suggested that the barrier was there for a specific purpose, which resulted in the defendants and third parties Ranger violating a provision of the Motor Vehicle Act. The submission in that respect relates to the definition of "traffic control device" in s. 119 of the Motor Vehicle Act which includes a "barrier". I have no hesitation in concluding that the placing of the 32 inch high concrete structure separating the north and southbound lanes of the Pat Bay Highway is a barrier within the meaning of that term.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further submits that under s. 125 of the Motor Vehicle Act, every pedestrian must obey the instructions of an applicable traffic control device. In that respect, counsel submits that the barrier is an applicable traffic control device and its presence indicates to a pedestrian that they must not cross the highway at that location. I am satisfied that the concrete structure placed by the appropriate authority to divide the north and southbound traffic lanes of the Pat Bay Highway had as its primary purpose the separation, division and safety of motor vehicles on the roadway. By its design and its location, in my opinion, it is not situate to indicate to pedestrians that they must not cross the highway at that location, if one could interpret the presence of the structure as being the conveying of instructions. In that respect, the language of the section is that "every pedestrian must obey the instructions of an applicable traffic control device". I am of the view that the mere presence of the concrete structure does not convey "instructions" and that insofar as it being applicable as a traffic control device, its applicability relates to the movement of motor vehicles and not pedestrians. Consequently, I am not satisfied that the defendants and third parties Ranger violated that section of the Motor Vehicle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the defendants and third parties Ranger submits that the Rangers were in a "place of safety" until after the motor vehicle accident occurred. There is no doubt that, insofar as their own safety was concerned, their position in the middle of the north and southbound traffic between the concrete barrier and the painted line placed them in a hazardous location. Under no circumstances, in my view, could that be considered a safe location. Nevertheless, if it was unsafe or hazardous to the Rangers, that does not necessarily translate into them being a hazard to other users of the roadway, such as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that respect, the evidence of the witness Gaiger is important. She was travelling northbound on the Pat Bay Highway in the centreline lane in heavy traffic which was very slow. She observed the Ranger family weave their way between traffic to the concrete barrier, proceed over the barrier, and position themselves between the barrier and the painted line on the east side of the southbound 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Counsel for the Rangers submitted that her evidence and her statements and her cross-examination on her affidavit were inconsistent, and as a result, little reliability should be placed upon them. I disagree. She made observations of the position of the Rangers, and she made observations of a vehicle (not the plaintiff's) slowing abruptly as a result of the Rangers being in their position on the roadway, which vehicle was the cause of the plaintiff applying her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Gaiger, in a statement, reported that they (the Rangers) started to turn the carriage out into the traffic and that the vehicle in the lane closest to the barrier "jammed their brakes and it looked like they turned the wheel to try and avoid hitting them" (the Rangers). She stated that the pedestrians (the Rangers) actually started to step out in front of the car before that vehicle began to brake. This statement was obtained on May 27, 1999. On January 1, 1998, in a statement to the police investigating the accident, she stated that after the Rangers crossed the divider, a small brown vehicle stopped to let them cross, then the brown car continued on its way, but that a lot of vehicles behind crashed. In a cross-examination in her affidavit on March 14, 2000, the witness Gaiger stated "They [the Rangers] were walking along there, and they were watching the traffic, seeing if there was going to be a break when they could get out there. That person just jammed their brakes and came to a stop. When they didn't cross in front of them, they just gum booted (sic) it out of there." In this respect, the witness Gaiger was referring to the brown vehicle. She further stated: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You say, "The small, brown vehicle stopped to let them cross."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Well, the reason they stopped was it looked to me like they were starting to veer the buggy out, and this person just jammed their brakes. We're talking swerving a bit back and forth because they jammed them so hard because it was really quite slick that day. They came to a full stop. They looked at them and didn't go across, so that person took off.</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720"/>
        <w:rPr>
          <w:lang w:val="en-US" w:eastAsia="en-US" w:bidi="ar-SA"/>
        </w:rPr>
      </w:pP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They were between the concrete divider and the lane marker, marking the division between the centre median and the travel lane"?</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 problem was the buggy was closest. That was the scary part. The buggy was closest to the line. It wasn't closest to the cement thing. It was closest to the line.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the Rangers testified that they were taking care to ensure that the carriage was close to the concrete barrier and that they and their children were close to the concrete barrier, in order to let traffic pass, in my view, the evidence of Gaiger demonstrates that insofar as southbound vehicles were concerned, the Rangers presented themselves as being a hazard. They were a concern to southbound vehicles and under the circumstances, it was their presence which caused the brown vehicle to slow abruptly, which in turn, caused the plaintiff to brake, and subsequently, caused the defendant Underdown to strike the plaintiff's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Rangers then, in my view, were a hazard; they knew or ought to have known that southbound traffic on a highway which carries a speed limit of 80 kilometres per hour might reasonably react to their presence on the side of the road next to the barrier. This is particularly so when any driver would observe that it was not only two adults there, but two young children and a baby carriage, which would cause any reasonable person to conclude that there was an infant in that carriage. The actions of the southbound driver in braking abruptly; the actions of the plaintiff in braking abruptly in response; and the actions of the defendant Underdown in braking again in response to the braking of the plaintiff, were the type of actions which the defendants Ranger knew or ought to have known might have occurred by their presence in such a dangerous fashion at the centreline edge of this highway. Consequently, I am satisfied that their presence and their actions contributed to the series of events that took place at approximately 1:45 p.m. on January 1,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to the apportionment of responsibility between the defendant Underdown and the defendants and third parties Ranger, I am satisfied that under all the circumstances, the defendant Underdown must accept the greater portion of the responsibility for the accident as she was unable to control her vehicle to avoid colliding with the plaintiff. Consequently, I assess her responsibility for the motor vehicle accident, pursuant to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at 75%. The defendants and third parties David and Alison Ranger, in my opinion, as previously stated, contributed to the accident and I assess their responsibility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at 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will recover her costs on Scale 3 from the defendants in accordance with the provisions of the aforementioned statute.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MELVIN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McClelland v. Zacharias, [2004] B.C.J. No. 1686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 June 4 and June 21 - 25,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S015613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1686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1077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192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Wendy Jean McClelland, plaintiff, and Dr. James A. Zacharias,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2"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4" w:name="Keywords_25"/>
      <w:bookmarkEnd w:id="184"/>
      <w:r>
        <w:rPr>
          <w:rFonts w:ascii="arial" w:eastAsia="arial" w:hAnsi="arial" w:cs="arial"/>
          <w:b/>
          <w:color w:val="000000"/>
          <w:sz w:val="20"/>
          <w:lang w:val="en-US" w:eastAsia="en-US" w:bidi="ar-SA"/>
        </w:rPr>
        <w:t xml:space="preserve">Health law — Health care professionals — Particular professions — Doctors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diagnose — Standard of care — Professional responsibility — Professions — Health care — Doctors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5" w:name="Case Summary_24"/>
            <w:bookmarkEnd w:id="1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the plaintiff, McClelland for damages against the defendant, Zacharias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McLelland alleged Zacharias, a family doctor failed to diagnose a serious bacterial blood infection and send her to a specialist in a timely fashion. She put forward a claim for loss of earning capacity, loss of future earning capacity and pecuniary damages. McClelland was 44-years-old and had generally been in good health. Zacharias was her children's doctor, however, from time to time she consulted him about health issues that required immediate attention. In June of 1999 McClelland visited Zacharias as a result of flu like symptoms. She was given medication and her condition improved significantly. Throughout the summer her condition remained the same. On August 31, she attended his office again as new symptoms had developed. Throughout September and October she visited Zacharias a number of times. Zacharias believed she may have had a viral infection and was dehydrated. He treated her with medication and administered a number of tests. According to the description of her symptoms, Zacharias believed the infection was viral. He did not believe it to be a bacterial infection. McClelland cancelled a number of appointments in October to see Zacharias. By October 22 she was feeling very sick. She had broken out in hives. At this point he believed she may have had a myeloproliferative disease, a disease of the blood. He made an appointment for her to see a specialist. The appointment was cancelled by the specialist. McClelland admitted herself to the hospital. In the hospital she was diagnosed with having osteomyelitis, a bone infection. She was treated with antibiotics. There was damage done to McClelland's vertebrae. The evidence at trial was submitted primarily by McClelland, her friends and an expert doctor. Zacharias evidence came primarily from his recollection of the visits and the notes he had taken. In addition he called an expert witness. It became apparent that the seriousness of the symptoms described at trial by McClelland had not been conveyed to Zacharias.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6" w:name="Holdings of Court_22"/>
            <w:bookmarkEnd w:id="186"/>
            <w:r>
              <w:rPr>
                <w:rFonts w:ascii="arial" w:eastAsia="arial" w:hAnsi="arial" w:cs="arial"/>
                <w:color w:val="000000"/>
                <w:sz w:val="20"/>
                <w:lang w:val="en-US" w:eastAsia="en-US" w:bidi="ar-SA"/>
              </w:rPr>
              <w:t>HELD: McClelland's action against Zacharias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Zacharias was not negligent. Zacharias acted appropriately given the circumstances. The evidence in Zacharias notes was different from that given at trial by McClelland. It was apparent that McClelland had not described her symptoms accurately. Had McClelland related her symptoms to Zacharias in a more accurate manner he may have been able to make a diagnosis earlier. However, on the information she gave to him at the numerous visits, Zacharias actions were appropriate. On the October 22 visit when it became apparent that something was wrong he immediately referred her to a specialist. There was a reasonable basis for which Zacharias exercised on the basis of the information he had before him.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7" w:name="Counsel_25"/>
      <w:bookmarkEnd w:id="1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A.M. Roos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C.E. Hinkson, Q.C., K.P. Serné</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5"/>
      <w:bookmarkEnd w:id="188"/>
      <w:r>
        <w:pict>
          <v:line id="_x0000_s1154" style="position:absolute;z-index:2517872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PARIS J."/>
            <w:bookmarkEnd w:id="189"/>
            <w:r>
              <w:rPr>
                <w:rFonts w:ascii="arial" w:eastAsia="arial" w:hAnsi="arial" w:cs="arial"/>
                <w:b/>
                <w:color w:val="000000"/>
                <w:sz w:val="30"/>
                <w:lang w:val="en-US" w:eastAsia="en-US" w:bidi="ar-SA"/>
              </w:rPr>
              <w:t>PARIS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for negligent medical treatment. The specific allegations are that the defendant, a family physician, failed to diagnose or, more importantly, refer the plaintiff to a specialist for the diagnosis and treatment of a bacterial blood infection (bacteraemia) which the plaintiff had contracted and which resulted in the infection and destruction of an intervertebral disc in her low back and the partial destruction of the two adjacent vertebrae. The specific period of time in question was the two months leading up to the end of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44-year-old single mother of three children, aged 20, 17 and 15. The defendant practices in Abbotsford, British Columbia where the plaintiff lives. Since about 1977 the plaintiff's principal family physician has been Dr. Simone Hacquebard whose office is in Port Coquitlam, about a 1-1 1/2 hour drive from the plaintiff's home. When her children were young the plaintiff started taking her children to the defendant for care. She then occasionally consulted him about her own problems that required more or less immediate attention, although continuing to see Dr. Hacquebard for annual checkups and, generally, matters of a gynaecological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described herself as "fairly healthy" up to the end of 1998. Two of her friends who testified, Rebecca Hare and Susan Bridger, described her as dynamic, energetic and "larger than life". At the time of the events in question, she had been developing a business as a motivational speaker.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However, Dr. Zacharias' clinical notes going back to 1989 record a history of migraine headaches, anemia, depression, fibromyalgia and costo-chrondritis (generalized pain or tenderness in the chest wall area). The depression was treated with medication. The plaintiff's father, Mr. Brian McClelland, testified that there was a "history of depression in both families" but, according to him, the plaintiff, although depressed after her separation and divorce in the mid-90's, had "got out of it". Dr. Zacharias described her as somewhat "self-directed" with respect to her health care and in fact from time to time she sought out treatment in various alternative medicines such as reflexology, aromatherapy and "juicing" as well as chiropractic treatments. She has had a history of missing or cancelling appointments with 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testified that on June 9, 1999, she visited the defendant experiencing flu-like symptoms including night sweats. The defendant ascribed them to fibromyalgia which he described as a chronic condition or syndrome of symptoms rather than a disease characterized by generalized pain of the soft tissue without the presence of inflammatory cells. She visited him again on June 15th describing herself as improved to about "80% normal". Dr. Zacharias therefore felt her condition had responded to the medication he had prescribed, Flexeril, a muscle relaxant, and that his diagnosis of fibromyalgia had been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Her condition remained the same until the last week of August. She testified that she then developed a severe fever combined with chills. She did not sleep well and had night sweats which sometimes required her to change her bed clothing two or three times per night. She vomited often. Her low back became very sore. She testified that these symptoms continued and generally intensified during the period up to the end of October, although she acknowledged that they waxed and waned somewhat and she would occasionally have short periods without a high fever or sweats.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visited Dr. Zacharias on August 31st and recounted the above symptoms to him. She testified that she visited him during the months of September and October several times and she continued to advise him of all these symptoms and that in fact they were getting worse. During the month of September she had three successive periods of menstrual bleeding. She testified that during her visits in September and October until the last visit or two Dr. Zacharias' advice to her was that she likely had a viral infection - perhaps mononucleosis - of a self-limiting nature that would pass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shall return in due course to the defendant's evidence - including a review of his clinical notes - regarding his observations and treatment of the plaintiff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during the month of September she was feeling so badly that she could not care for her children and sent them to stay with her ex-husband, of which Dr. Zacharias was aware. She was in bed most of the time and her friends brought her soft foods to eat. Her father visited her often and in fact stayed with her for approximately one week. He described her condition as "terrible", beset by fevers, and constantly soaked in sweat. He said that he had to change her sheets and towels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Hare and Ms. Bridger testified as to her apparent physical condition during this period. Ms. Hare saw her once or twice per week after September 6th and said that by the end of September she had lost weight, was pale with bags under her eyes, at times flushed, walked slowly as if in pain and constantly sweated and wiped her brow. They discussed whether she might be suffering the onset of symptoms of menopause.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Bridger testified that she drove the plaintiff to the defendant's office on September 17th. She had not seen her in eight weeks and was shocked by her appearance. She had lost weight, moved very slowly and had dark circles under her eyes.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October 28th, the plaintiff on her own initiative and with the help of Ms. Hare attended at the Emergency Department of the MSA Hospital in Abbotsford. Ms. Hare telephoned the defendant's office to advise him what the plaintiff was doing and he attended at the hospital that day with her chart. There, she was assessed by Dr. Michael Lapin, an internist. Bloods tests and imaging studies were performed as well as a review of previous x-rays. A blood culture revealed a bacterial infection (bacteraemia) the specific bacterium being E-Coli. She was diagnosed as having osteomyelitis (bone infection) of the L-4 vertebrae with some destruction of the vertebral body. She was treated with appropriate antibiotics and on November 2, 1999, she was transferred to the spinal unit of the Vancouver General Hospital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VGH the plaintiff was assessed and treated by Dr. Marcel Dvorak, an orthopaedic spinal surgeon. He is the medical director of the Combined Neurosurgical &amp; Orthopaedic Spine Program and Head of the Division of Spine, Department of Orthopaedics, at the University of British Columbia. These passages from Dr. Dvorak's medical legal report (Exhibit 8) dated July 31, 2003 outline the assessment and treatment of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radiographs and CT scan which accompanied the patient from MSA Hospital were highly suggestive of a destructive infectious process at the L4-5 level most likely a septic vertebral discitis which had progressed to a vertebral osteomyelitis possibly with an epidural abscess.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had blood cultures performed at MSA Hospital which grew the bacteria E-Coli (Escherichia Coli).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initial diagnosis was that of a vertebral osteomyelitis at the L4-5 level most likely secondary to an E-Coli infection.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was admitted under my care on the Spine Unit and an Infectious Disease consultation was obtained. The plan was initially to treat the patient with intravenous antibiotics and medical treatment and try to avoid surgical intervention. Due to some persistent vaginal bleeding a Gynaecology consultation was obtained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needle biopsy of the L4-5 level was performed by the Neuroradiology Department on November 4, 1999. Multiple biopsy fragments were obtained.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pathology of the biopsy specimens was consistent with an acute bacterial infection. One of the cultures from the biopsy grew E-Coli bacteria despite the fact that the patient had been on several antibiotics prior to the biopsy being obtained.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Infectious Disease Service recommended a full 6 weeks of intravenous antibiotics to treat this serious bone infection.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patient's hospitalization, and due to increasing symptoms of pain, we considered surgical intervention around the end of November. The treatment options were discussed in detail with the patient and she underwent a radiographic re-evaluation. Due to the extent of the bony destruction it was felt that conservative non-surgical treatment was indicated with a view to a possible reconstructive procedure once the patient had completed the treatment for her infection. A hip spica body cast was applied on December 2, 1999 in the Operating Room. This cast was adjusted several times. On December 31, 1999 the patient was discharged home on oral antibiotics and strong narcotics to control her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returned to her first follow-up visit on January 27, 2000. On that day the body cast was removed. Her neurologic examination was consistent with normal motor power and sensation. The overall radiographic alignment of her spine appeared to be satisfactory. The disc space was affected by the infection, the L4-5 disc space, revealed marked destruction and collapse. The L4 and L5 vertebrae had collapsed one each other. There appeared to be further destruction of both L4 and L5.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Dvorak testified that in his opinion it was ninety percent likely that the source of the lumbar spine infection was the urinary tract. He described the development of such an infection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bacteria seed in the urine, that means they grow in the urinary tract, and at some point they enter the bloodstream, either through the bladder or up in the kidneys. And then once they're in the bloodstream, there is a period of time where the patient is bacteremic. That means they have bacteria in the bloodstream. And we believe generally, and that means the academic people that study infections in the spine and clinicians that treat infections in the spine, that these bacteria in the blood end up circulating through the vertebral bodies, through the blood supply in the vertebral bodies and they lodge at the end plates or at the -- at the bottom of the vertebral body adjacent to the disk. And in adults, the most likely progression from that point is that the bacteria start to grow in the disk space first. They destroy the disk space. And the disk collapses, then they destroy the bone adjacent to the disk space, called the end plate. And then the bacteria can seed in the vertebral body and destroy portions of the vertebral body. So the progression is usually from bacteria in the urinary tract, through the blood, into initially the disk space at the level of the end plate, and then potentially further to expand into the bone of the vertebral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Dr. Dvorak's opinion that if a urinalysis culture had been performed on or shortly after September 23rd, it would have been positive for E-Coli bacteria. He further opined that the infection of the disc space (not the vertebrae) would have occurred within a week to ten days of the original bacterial infection of the blood. He said that given the amount of bone destruction he had observed and the aggressive nature of an E-Coli infection, it had likely been present in her lumbar spine "around two to three months", although he conceded that it was "possible" that it was present either a much longer or a much shorter period of time than that. He agreed that it might be possible to diagnose and treat such an infection at a point where there was damage to a disc but not to the adjacent vertebrae. Mechanical back pain could then result but without the significant spinal deformity and narrowing of the foramina or nerve root openings in the spine with the attendant pain and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report Dr. Dvorak described the plaintiff's then condition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letter of July 18, 2003, you have asked me to detail Ms. McClelland's current condition as well as my expectations for the future and any functional difficulties that she may have. As a direct result of this infection, Ms. McClelland has been left with a severe lumbar spinal deformity. This has resulted from the structural destruction and collapse of a significant portion of two vertebral bodies. As these vertebrae have been eroded and destroyed by the infection, they have assumed a distorted anatomy that may in and of itself be a source of moderate to severe chronic pain. This type of spinal deformity is most likely to result in some degree of persistent mechanical back pain in my experience. It is unlikely that this will improve substantially although there may be fluctuations in the intensity of the patient's symptoms. It is likely, in my opinion, that physical activities such as bending, twisting and lifting will be permanently impaired to a mild or moderate degree. As well, it is my experience that prolonged activities such as sitting behind a desk, driving a car, standing in line-ups, or maintaining one posture for an extended period of time is likely to lead to significant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chronic mechanical back pain resulting from this patient's spinal deformity, there is significant narrowing of the neural foraminae at the L4-5 level. These neural foraminae contain the nerve roots of the lumbar plexus which supply movement and sensation to the legs. Compression of these nerve roots may cause pain similar to the discomfort that Ms. McClelland describes. Although there is some ability for nerve roots to accommodate to changing confines both within and outside the spinal canal, it is likely that Ms. McClelland will continue to experience some discomfort into her legs similar to what she described at her last visit to my clinic.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it is possible that an extensive spinal reconstructive procedure may help to alleviate some components of nerve root compression and spinal deformity, it is unlikely that even after a successful major spinal reconstructive procedure that this patient will return to normal function. It is my opinion at present that the risks of surgery currently outweigh the potential benefits given this patient's unique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 second report dated April 8, 2004 (Exhibit 9) Dr. Dvorak said that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physical examination, Wendy has a flattened lumbar lordosis. She has a limited range of motion of her lumbar spine. She does not exhibit any nerve root tension signs. Objectively her motor function in both lower extremities is normal. Reflexes are equal and symmetrical at the knees however absent at the ankles.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carefully tested motor strength in both lower extremities and despite some mild pain related tendency to give way it was my opinion that the motor function was intact in both lower extremities.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Wendy continues to have symptoms of back and leg pain and neurologic symptoms, which are consistent with what she has reported previously. Although she is able to work and function in her activities of daily living she is limited in her physical tolerance. There are some recreational and other activities that she is not able to perform due to her pain. It is my opinion that her current level of disability is generally appropriate to her spinal pathology and the resulting impairment from that spinal abnormality. In my opinion this is likely to continue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From August 31, 1999 to October 28, 1999 when the plaintiff went to the Emergency Department of the MSA Hospital, she was seen by the defendant nine times. He conceded that his account of events, particularly for the earlier visits, is the product mainly of his notes and of his knowledge of his usual practice, although augmented somewhat by actual recollection. As to some things put to him of which there is no reference in his notes, he insisted that if any such a thing of significance had occurred, or had been told to him, he would have made a note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propose now to review those visits as reflected by his notes and testimony.</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31,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Zacharias' clinical notes indicate that the plaintiff's complaint that day was "left-sided low back pain" which he localized in the left buttock, which is of course a considerable distance from the L4-L5 vertebrae. He assessed it as "sacroiliitis", a non-specific inflammation of that area. He noted that there was no pain on urination and that her chest pains had gone. There is no reference to the other symptoms from which the plaintiff says that by then she was suffering.</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8,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this day there were a number of complaints and symptoms recorded. The defendant testified that they were completely different than those of August 31st and that in fact there were no complaints of back pain. The notes indicate that the plaintiff had lost 4 kilos since the previous visit. Ms. McClelland is a fairly tall woman whose normal weight had been in the range of something over 80 kilos. The following symptoms were noted: "malaise, sore throat, slept for several days, vomiting, anorexic, bloated, inside skin of mouth desquamated, coated tongue, TM'S clear, appears sleepy and speech slurred, tender to percussion over liver and spleen". The defendant's working diagnosis, which he recorded, was mononucleosis. He ordered blood tests in order, he said, to attempt to identify the mononucleosis. He also took a throat swab to test for any bacterial infection of the throat which often occurs with mononucleosis. The tests (Exhibit 1-1-91) were negative for mononucleosis. When pressed on cross-examination he agreed that the evident high white blood cell count was suggestive of a bacterial infection but that he still believed that she likely had a viral infection, probably mononucleosis, because of her clinical picture.</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10,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this day the defendant, having received a call that the plaintiff was sick and needed assessment, made a home visit. His notes record the following: "coughing up blood, bed fast(?), did not vomit this AM, chest clear, throat bloody sputum noted, pleuropulmonary(?), mouth white adherent, Dataies(?)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His assessment was a viral infection and he again took a throat swab (which he took to the hospital) to rule out the possibility of diphtheria. He characterized her complaints as being similar to those of September 8th and he was absolutely insistent that neither she nor her father, who was present, made any significant reference to back pain. If so, he said, he would have recorded it and, further, if there had been such back pain, he would have expected an "intelligent patient" like the plaintiff to mention it. He insisted that she did not "bring back pain to the room".</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17,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Zacharias' note is surprisingly brief and relates only to the plaintiff's menstrual problems and her blood pressure. It records that she had had three periods in the last month and that her blood pressure was 84/90 while sitting and 70 over an unascertainable figure after standing. As a result the defendant's assessment of the plaintiff was "dehydration" and he arranged to have her receive two litres of fluid intravenously at the hospital. She had lost 4.4 kilos since September 8th. He said that she was less ill than she had been on the 10th because she was able to come to his office. He again ordered blood tests and the results were telephoned to his office the same day (Exhibit 1-1-93).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Zacharias acknowledged that a laboratory will telephone results of such tests to a doctor's office only when they are important. He agreed (only very reluctantly and after being asked the same question repeatedly) that the results were not only suggestive but "strongly" suggestive of a bacterial infection but he insisted that they could also be the result of her dehydration. He still saw no other clinical signs of a major bacterial infection such as, for example, a large wound. He was still of the view that she likely had a viral infection but he was "now looking for something else too". He said the tests were typical of somebody who was "somewhat shocky or stressed", presumably from dehydration.</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23,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Zacharias' notes of this visit indicate the plaintiff told him that she had not been able to keep solids down but was able to keep her antidepressant medication down. Her weight was 73.6 kilos, approximately the same as at the last visit. She complained of dysuria, that is pain upon urinating, which was the first time she had made that complaint. There was redness and a white membrane at the back of her throat, her chest was clear and there was no abnormal bloating. There was tenderness over the liver, spleen and bladder but they were not enlarged. He performed an in-office urinalysis by way of a chemical "dip test" which demonstrated a bacterial infection although it did not identify the specific bacterium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His assessment ("A" in his notes) was of a urinary tract infection (UTI) and a "viral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His plan ("B") was to have her take more fluids, to order lab tests and to prescribe a broad spectrum antibiotic (Keflex) for the bladder infection. In fact the plaintiff and the defendant attended at the hospital the next day, the 24th, where the defendant arranged to have two litres of fluid and Gravol administered to her intravenously.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notes for the 23rd contain no reference to complaints of back pain, fever, sweats, or chills. The blood tests (Exhibit 1-1-94) were still negative for indications of mononucleosis and positive for indications of bacterial infection. However, the principal markers in the latter regard (white blood cells, neutrophils, platelets) although still elevated, were in fact lower than on the tests of the 17th. For the first time the alkaline phosphate readings were elevated. Apparently, that can be indicative, if associated with other signs, of a bone infection but also of some liver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the 24th, the plaintiff and the defendant made no specific arrangement regarding her treatment beyond the understanding that she would contact him if necessary. In fact she did not attend again until October 15th.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Her testimony as to why she did not was somewhat ambivalent. On the one hand, she said she trusted the defendant and believed him when he told her that her illness was self-limiting and would go away. On the other hand, she said she felt that Dr. Zacharias could do no more for her and that she "was trying to get myself better". She in fact improved for a couple of days and then went downhill again, the sweats, chills, and back pains returning. She tried aromatherapy and "juicing". She read books. She attended a chiropractor on October 14th, 15th, and again on the 19th. The first two visits gave her some minor relief for half-an-hour, the third, none at all. She agreed in cross-examination that to some degree she was resisting the idea of going to the hospital. She "couldn't do anything around the house" and her friends and parents had to come to help her.</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notes for this visit are fairly extensive. The plaintiff's weight is noted at 72 kilos, 3.6 kilos less than on September 23rd and following are the rest of his notes in their entirety: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11th finally well enough to get up and then on the 12th again bedridden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Spiked fever, sweats, fatigue "I don't feel depressed but I am not feeling well"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sore throat "lump" in throat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NVD (nausea, vomiting, diaherrea)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Able to take fluids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 tender LN (lympnodes) left neck axillae and groins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x (no) LKS (liver, kidneys, spleen, not enlarged)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Arthrotec and Ranitidine)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Icing low back ô (with) benefit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Seeing Reabe d/c (chiropractor) ô (no) benefit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Can't sleep - avoids sleeping in the day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 Tender LN (lymph) node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Tender small LN axillae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KKS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LN groin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Abd (abdomen) soft BS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Afebrile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Appears pale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note in particular the word "afebrile".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Zacharias testified, having reviewed his notes, that his conclusion was that the plaintiff had presented as being better than she had been on September 24th. However, he thought that her condition might have new factors which should be explored. His assessment and plan was to rule out hepatitis and chronic infection by further lab work. Those tests ruled out hepatitis and chronic infection of the liver. The white blood cell count was down to almost normal limits and the platelet count was down, but not substantially. He said he concluded that "whatever she had was gone". There were, however, other factors in the lab tests that were of some concern, for example, the continued elevated alkaline phosphate level.</w:t>
      </w:r>
      <w:r>
        <w:rPr>
          <w:rFonts w:ascii="arial" w:eastAsia="arial" w:hAnsi="arial" w:cs="arial"/>
          <w:sz w:val="20"/>
          <w:lang w:val="en-US" w:eastAsia="en-US" w:bidi="ar-SA"/>
        </w:rPr>
        <w:cr/>
      </w:r>
    </w:p>
    <w:p>
      <w:pPr>
        <w:numPr>
          <w:numId w:val="1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19,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returned by appointment. Her weight had increased four kilos since October 15th (which Dr. Zacharias agreed was a bad sign). He noted that pain in her pelvis and low back was "worsening and not responding to usual chiropracty". In fact, the plaintiff attended a chiropractor the same day. He also made the following notes: "still has night sweats (three changes). Temp. up to 101.5[degrees]". He agreed that night sweats were more ominous than day sweating and indicative of a possible infection. He tended to attribute the pain in her pelvis to gynaecological problems but sent her for x-rays nevertheless. That report showed no abnormalities so, he said, it "didn't help me with the elevated alkaline phosphate".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had an appointment with the defendant for the next day, October 20th, but did not show up. On October 21st she cancelled another appointment. She testified that she was not well enough to attend on either day. The defendant testified that he would have made a home visit if asked.</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attended and Dr. Zacharias' notes record that her legs were painful and that she was now getting hives. His assessment was of a possible "myeloproliferative disease", that is, a disease of the blood forming units such as leukaemia or lymphoma. This was significant and the defendant's attention turned in that direction because the plaintiff's mother and grandmother had both died of leukemia. Dr. Zacharias arranged an appointment for the plaintiff with an internist, Dr. Min, whose locum tenens at that time was Dr. Lapin. He said that "because of the urgency I would have phoned myself". He faxed a "Request for Consultation" form (Exhibit 1-1-41) to Dr. Min's office which contained the following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PROBLEM: Unremitting/recurrent weakness, fever, nausea/vomiting. Began with severe sore throat. Recurrent hives over body.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PURPOSE OF REFFERAL: Concern of the prolongation of what began as a viral like illness. Is this a myeloproliferative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attended Dr. Min's office on October 25th but was "bumped", that is, the doctor could not see her (or the other patients present at that time). She was re-booked for the following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next day, October 26, 1999, she re-attended at the defendant's office without an appointment and told him what had happened at the internist's. He noted her principal complaint as being of pelvic pressure and pain and prescribed a narcotic medication and ordered lab tests with a special request regarding possible leukemia or lymphoma. He agreed on cross-examination that the lab results (which he received the next day) were consistent with a bacterial infection but he had nevertheless not considered her ill enough to have to admit to hospital and he told her he could not do more until she saw the specialist.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mentioned previously, on October 28th the plaintiff felt so ill she admitted herself to hospital. Upon being advised, Dr. Zacharias attended, which was his usual practice when his patients were admitted to the emergency department. He filled out an Emergency Record form for that day (Exhibit 1-1-42) and the next day prepared a referral report (Exhibit 1-1-49) which contains the following passages apparently setting out his perspective of the plaintiff's history leading to her committal to the hospital: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woman has been ill for the last two months. It began with a flu-like illness with pharyngitis, stomatis, nausea, vomiting and diarrhea. During that period of time, blood tests done looking for mononucleosis, strep infection and diphtheria were all negative. She became dehydrated and on two occasions in the subsequent weeks, required IV therapy to maintain her fluid level. She gradually improved to where she could manage her self-care but remained unwell. In subsequent laboratory testing, she was noted to have an elevated gamma GT and alkphos; the former had been mildly elevated in the year past. She had had an IDA as well which was attributed to menstrual bleeds without replacement. She has in the last week, however, developed high fevers again, has measured to 104 and on last blood testing, her Hb was 83 with a ESR of 120.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intercurrently developed low back pain which was xrayed negative for any infiltrative process. This was, however, an area no trauma and no strain or event to explain the situation. She is presently admitted, inasmuch as scheduling cancelled her internal medicine specialist appointment earlier this week and her physical condition continues to deteriorate.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PHYSICAL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appears pale and unwell. She is, however, alert and in good humour.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Eyes - PERL.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ENT -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Mouth - clear. She has all her own teeth.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Neck - no lymphadenopathy of import. She does have some tenderness in the left upper neck which is associated with a palpable lymph node.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Chest -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VS - HS are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Abdomen - soft. She is tender at the liver edge, though there is no gross enlargement of same. She is tender in the LUQ but again no splenic gross enlargement to percussion. No other abdominal masses are noted. She has no lymph nodes abnormal at the groins. No cyanosis or jaundice is noted.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apparently harbouring an occult infection or perhaps a myelodysplastic syndrome. She requires hospitalization for intensive investigation and internal medicine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mentioned above, the principal criticism of the defendant's conduct is that he failed to refer the plaintiff to an internist for assessment in a timely fashion, specifically, after her September 23rd visit and blood tests. It is also suggested that a urine culture should have been ordered then so as to identify the specific bacterium infecting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this regard the evidence of Dr. Ian Gummeson was tendered on behalf of the plaintiff. Dr. Gummeson has been licensed and has practised as a family physician in British Columbia since 1981. He has been a member of the Department of Family Practice at the UBC Faculty of Medicines since 1990 and a Clinical Associate Professor since 2000. He has had a particular interest in back problems, being a participant the Back Pain Clinic of the Vancouver General Hospital and has been a speaker at international conferences on low back pain. Dr. Gummeson's report dated July 20, 2001 was entered as Exhibit 3. The core of his opinions regarding this case are set out at page 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Subsequent to review of all the information provided to me, it is my opinion that the quality of medical care provided to Ms. McClelland by Dr. Zacharias met the acceptable standard of care applying to Family Physicians like myself and Dr. Zacharias up to her visit on September 23, 1999. My understanding of such standards would be the minimally acceptable standard of medical care provided by a physician of similar training and experience in an environment offering similar medical facilities and support. It is my opinion that Dr. Zacharias failed to meet those standards beginning September 23, 1999. On that date, Dr. Zacharias assessed Ms. McClelland and made a tentative diagnosis of urinary tract infection and viral illness. Chart profiles in the week prior to September 23, 1999 as well as on that date did indicate a high probability of a bacterial infection. At minimum, it would have been appropriate to obtain a urinalysis for culture and sensitivity. There is no record that this was done. Within 24 hours, Dr. Zacharias arranged for a second infusion of 2 litres of ringer's lactate; a solution intended to improve the patient's hydration. Doing this on one occasion to assist the patient is appropriate, doing it on a second occasion in the absence of a diagnosis does not, in my opinion, meet the acceptable standard of medical care. Further evaluation and assistance from the speciality staff at the hospital where Ms. McClelland was an ambulatory care patient would have been appropriate. Unfortunately for reasons of her own, Ms. McClelland was lost to care until October 15, 1999 when she returned to Dr. Zacharias' office. She had continued to lose weight and blood work was repeated. This was recorded on October 18, 1999 showing for the first time an ESR of 120, an indication of a significant systemic problem. The remainder of the blood work showed the probability of ongoing bacterial infection. The next visit by Ms. McClelland was October 19, 1999. Ms. McClelland indicated that she was having night time wakening because of low back and pelvic pain, as well as night sweats. This is in association with the blood work obtained on the 15th of October would normally be considered an indication for further investigation and consultation with a speciality colleague. Dr. Zacharias did book appropriate follow-ups on October 20 and 21, 1999 and the patient did not show and cancelled respectively. October 22nd she attended and was having leg pain. Appropriately at that point, Dr. Zacharias referred to Dr. Minn, a colleague of Dr. Lapin in Internal Medicine consultation. Unfortunately this appointment was rescheduled. A subsequent visit October 26, 1999 and blood work showed ongoing chronic changes indicating bacterial infection as well as highly elevated ESR, an indication of significant systemic abnormalities.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the patient admitted herself October 28, 1999 to MSA General Hospital and was seen by Dr. Lapin in Internal Medicine consultation who carried out appropriate evaluations leading to the diagnosis of an L3 discitis, osteomyelitis and epidural abscess.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Dr. Zacharias had sought assistance at an earlier juncture, it is likely that Ms. McClelland would have been diagnosed earlier. This would have presumably led to earlier antibiotic therapy and hopefully a shorter hospitalization and post-hospitalization recovery period. Whether or not earlier treatment would have significantly changed the clinical outcome in terms of Ms. McClelland's long-term physical functioning and pain symptoms is unclear. I would defer to her spine surgeon Dr. Marcel Dvorak to make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highlighted in that passage the standard which Dr. Gummeson applied in arriving at his conclusion that Dr. Zacharias fell short of his obligations to the plaintiff as a family physician, following the visit of September 23rd.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testimony at trial, Dr. Gummeson reviewed the lab tests of September 8th, 17th and 23rd, explaining how and why they were indicative of a bacterial infection. He noted that the physical symptoms of the plaintiff lasted beyond the 7-10 days that is usual in the cases of viral infection. Dr. Gummeson's opinion was, therefore, that after the September 23rd visit and lab tests, the defendant should have referred the plaintiff to an internist, either by appointment or by sending her to the emergency department of the hospital for the purpose of determining whether she was suffering from a bacterial infection of her blood and other bodily fluids. Furthermore, the likely urinary tract infection should have been pursued by a culture and sensitivity test so that the specific bacterium involved could be identified and treated with an antibiotic more appropriate than Keflex, different bacteria being more sensitive to different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was further of the view that the second fluid replacement of the 24th was inappropriate because by that time the tests combined with the physical symptoms of the plaintiff indicated the likelihood, not just of a viral infection and a urinary tract infection, but of a systemic bacterial infection and therefore something else had to be done. Furthermore, the signs were so significant that a follow-up of the patient had to be pursued when she did not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Lapin, the internist, as mentioned above, assessed the plaintiff at the hospital on October 28th. His primary concern was the possibility of leukemia or lymphoma. However, he testified that if he had been presented shortly after September 23rd with the results of the plaintiff's lab tests and the history which he had received, he would have ordered the same full battery of tests which he did on October 28th because of the indications of a systemic bacterial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response, Dr. Zacharias did not agree that the circumstances immediately after the visit and the tests of the September 23rd required him as a family physician to refer the plaintiff to an internist.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Firstly, he pointed out the results of the September 23rd blood tests were that the plaintiff's condition was improving, especially insofar as the white blood cells were concerned. He had identified a new condition, a urinary tract infection. He felt that that could be causing some of the plaintiff's symptoms so his attention was directed to dealing with that. He insisted, contrary to the suggestions of the plaintiff and her witnesses, that her general presentation was far better on September 23rd than on the 8th or 10th. He was admittedly not as positive about the 17th because of his sparse notes for that day but he was adamant that her picture was not "alarming" on September 23rd, although it was closer to that on October 15th and 19th. On those days he took the steps called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insisted that it was not unreasonable to continue to think of the possibility of a viral illness because of the clinical picture presented by the plaintiff - her sore throat, tender liver and spleen, and flu-like presentation - even though he knew from the tests that she had a bacterial infection, namely a urinary tract infection. He pointed out that usually a patient with a bactermia is "deathly ill" and goes to a hospital rather than a doctor's office. He reiterated that during the month of September the plaintiff did not complain to him as strongly about her back pain as she testified she had. His treatment of the urinary tract infection with Keflex was appropriate on September 23rd when it was first identified. He pointed out that the medical protocols say that a urinary culture should not be ordered simply for the purpose of screening.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Zacharias also questioned certain statements and assumptions in Dr. Lapin's evidence and his consultation report (Exhibit 1-1-43) of October 28th at the hospital. He pointed out that the plaintiff had not been suffering from a fever for ten months as Dr. Lapin noted. Nor had her ESR (sedimentation rate) been extremely elevated on "various occasions since June", but rather it had been normal in June (Exhibit 1-1-87) and not elevated until the lab tests of October 15, 1999 (Exhibit 1-1-95). He pointed out that much of the plaintiff's history in Dr. Lapin's report either varied from his own notes and observations or, at the very least, had not been communicated to him by the plaintiff. For example, he had not been given a history of as severe and lengthy fevers, sweats and chills as set out by Dr. Lapin nor had the plaintiff complained to him of "exquisite pain in the back" since September 1st, which according to Dr. Lapin had been very important to him in his assessment. He disagreed adamantly that "she got worse over four weeks" (i.e. during September) and insisted that she had in fact improved by the third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position was supported by the report (Exhibit 16-3) and testimony of Dr. Stephen Shore. Dr. Shore is a family physician who has been in practice in Langley, B.C. since 1975. Langley, like Abbotsford, is a municipality in the Fraser Valley region of British Columbia. He is a Clinical Associate Professor in the Department of Family Practice at the UBC Faculty of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his report Dr. Shore reviewed Dr. Zacharias' treatment of the plaintiff, principally by reference to his clinical notes. The core of his conclusions and opinion are set out in page 6 of his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Dr. Zacharias, when made fully aware of the patient's back pain and lack of response, acted appropriately and met the standard of care of an average family physician in the community in the treatment and management of Ms. McClelland's illness leading to her spinal infection.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he could have been more aggressive in investigation and assessment of her febrile illness and in particular with regard to the weight loss and abnormal blood tests but even with this he would have met the standard by waiting initially for lab investigations to come back and see how the patient responded to prescribed therapy. However, I doubt that this investigation would necessarily have led any sooner to the discovery of the vertebral infection (discitis) as this is very rare and certainly something that would not be high on the differential diagnosis list of any family practitioner and, as noted in Dr. Lapin's notes, it was well down the list in his original consultation.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second paragraph of the above passage, Dr. Shore is referring to the course followed by Dr. Zacharias immediately after September 23rd. In preceding passages of the report he also reviews the defendant's conduct after the plaintiff returned to him on October 15th. In that regard I find the following passage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15, 1999 (page 19) the patient was noted to be improving and except for some tender lymph nodes and appearing pale there were no specific findings. Of note, the patient was now taking fluids orally and was able to be up and about. She had no further sore throat. The patient noted that she was seeing her chiropractor for her back pain. The fact that she was pale was not inconsistent with her history of anemia which was chronic and in particular related to her dysfunctional uterine bleeding. It is also consistent with the patient having a viral and/or bacterial illness. Appropriately, because the patient still wasn't well, further tests were ordered.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Dr. Zacharias' notes, this October 19, 1999 visit was the first mention of pelvic and/or low back pain by the patient to him. She had been seeing her chiropractor first and, as mentioned in her own Discovery, her aromatherapist, etc. but not any of her physicians. This certainly delayed any proper medical assessment and therapy, regarding her back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did not show for her October 20th or 21st visit which she actually cancelled. Again, this delayed further assessment and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22, 1999, because of her significant weight loss, hives and the progressing pain, it was apparent that there was something more serious going on and Dr. Zacharias at this point made an appropriate referral to an Internal Medicine specialist. This visit of October 22nd, 1999 was on a Friday and the appointment was made within three days on October 25th, 1999 which is exceptionally fast. In fact, literally within days of mentioning the hives and radiation of the low back pain, Dr. Zacharias made an urgent and appropriate referral. The patient was subsequently admitted to hospital on October 28th, 1999.</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Shore testified that it is recommended medical practice to treat an uncomplicated urinary tract infection immediately as Dr. Zacharias did, with a broad-spectrum antibiotic rather than obtaining a urine culture and have to wait for the 48-72 hours to receive back the lab results. He agreed with Dr. Zacharias' prescription of Keflex in that regard. Given the plaintiff's condition on September 23rd as set out in the notes and her failure to return, it was reasonable for Dr. Zacharias to assume that either she had improved or that she had gone to another physician. He reiterated that as of October 19th, there appeared to be a new dimension to the plaintiff's condition, namely, her pelvic/low back pain and that Dr. Zacharias did escalate his level of treatment with appropriate dispatch. He agreed that the tests during September were indicative of a bacterial infection but that could be of such an infection anywhere in the body and not necessarily of the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report (Exhibit 16-2) and testimony of Dr. Barry Koehler was also submitted on behalf of the defendant. Dr. Koehler is a rheumatologist whose post-graduate specialist training involved three years of internal medicine followed by two years of rheumatology. His report contains the following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nothing that emerges from the visit of September 23 that greatly changes the perception of Dr. Zacharias that he might be dealing with a viral infection such as infectious mononucleosis. He appropriately continued to manage Ms. McClelland's symptoms and would have had a reasonable expectation that the suspect underlying viral syndrome would have a spontaneous resolution. The subsequent handling of the situation by Dr. Zacharias was that of a conscientious, responsible physician who remained alert for alternative diagnoses and continued to evaluate his patient both clinically and through the laboratory.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likely, in retrospect, that the vertebral infection began in late August 1999. Unfortunately, Ms. McClelland does not seem to have communicated her (apparently) continuing problems with low back pain to Dr. Zacharias, for there is no mention of such complaints in the visits of September 8, 10, 17, or 23. Even on the visit of October 15, the back pain seems relatively minor, in that chiropractic manipulation and icing were cited as being helpful. The majority of that visit complaints were of systemic symptoms, which would continue to point to some type of systemic problem such as a viral infection (mononucleosis or hepatitis, for example) or a myeloproliferative disorder. The clinical records do not indicate that Dr. Zacharias could reasonably have suspected a localized disc space/vertebral body infection, even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Zacharias exhibited concern and diligence in his care of Ms. McClelland throughout the period from late August through late October 2003. He entertained appropriate diagnoses and pursued these appropriately. Initially he wondered about a viral or bacterial infection, such as diphtheria (which he ruled out by throat culture) or infectious mononucleosis. The course of Ms. McClelland illness through September was in keeping with a severe case of infectious mononucleosis and Dr. Zacharias appropriately continued with symptomatic management, given that the natural history of such a disease is to resolve gradually and spontaneously. However, in the visit of October 15 (after a hiatus of three weeks) Dr. Zacharias re-evaluated Ms. McClelland, both clinically and through the laboratory, considering alternative diagnoses, such as hepatitis. On October 19, responding to a complaint of "worsening back pain ... not responding to usual chiropracty", x-rays were done of hip and pelvis -- which were correctly reported to be normal. Dr. Zacharias wondered about a possible myeloproliferative disorder and initiated an Internal Medicine referral on October 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understandable that he would be reassured by the three week hiatus in Ms. McClelland's visits to the office. The majority of physicians would understand this to indicate that the patient was improving. Nevertheless, he thoroughly re-evaluated her on her visit on October 15, and took nothing for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to the discrepancy between the plaintiff and Dr. Zacharias as to the extent to which she recounted to him her symptoms of back pain, Dr. Koehler testified that he tended to rely on Dr. Zacharias' notes as more reliable and gave them more credence in instances of contradiction because they were contemporaneous to the events in question. However, he conceded that his opinion as to the reasonableness of Dr. Zacharias' working diagnosis of mononucleosis was affected by a misunderstanding on his part (Dr. Koehler's) as to the blood tests in September, namely, that the white cells (the neutrophils, specifically) were much lower than they in fact were and that the mononuclear cells were much higher than they in fact were. However, notwithstanding that the actual readings made a bacterial infection a more significant possibility he said that it was still not the number one possibility given the other clinical factors that Dr. Zacharias was apparently presented with. Besides, apparently Dr. Zacharias had considered the possibility of bacterial infection given that he had taken throat swabs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law relating to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 general terms simply the application of general principles regarding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context of medical treatment. The greater difficulty arises in determining the appropriate standard of care that is called for in any particular case. As a backdrop for the consideration of the factual issues in this case, I find the following statements of principle germane and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note firstly certain statements from the text "The Law and Medicine in Canada" Second Edition - Butterworths 1987 by Gilbert Sharpe at page ____ and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doctor is bound to exercise that degree of skill which could "reasonably" be expected of a normal, prudent practitioner of the same experience and 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physician is required to exercise only the degree of care and skill that could reasonably be expected of a prudent practitioner of the same experience and standing. Something more than a mere error of judgment must be proved before a physician can be found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example, if a physician has two treatment choices available and chooses the wrong one, so long as a reasonable physician might have chosen either in the circumstances, no liability will result from the wrong choice. Physicians, unlike judges, are not expected to have crystal balls.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a physician makes a mistake after having honestly applied his or her mind and falls within the standard of care, it is an "error of judgment" which does not result in liability. Where, however, after similar thought, the error falls below the appropriate standard of care for a reasonable physician, it amounts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"error of judgment" was illustrated in a decision where medical testimony indicated that the condition under scrutiny was a rare one. The fact that other physicians might have made different findings was not sufficient to fix the doctor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liability .... The most that could be said in this case was that the physician's failure to perform a certain test, which would have revealed the condition, was unfortunate. It was not itself an indication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Here, the diagnosis reached by the defendant doctor was consistent with the complaints presented by the patient. While it may have been an error of judgment for the physician not to have taken the complaints more seriously and pursued other lines of inquiry, failure to do so constituted an error of judgment, rather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[Unfortunately, Mr. Sharpe does not set out in his end notes the specific case citation for the above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Wilson v. Swanson </w:t>
      </w:r>
      <w:hyperlink r:id="rId404"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page 811, the Supreme Court of Canada set out the duty owed by a physician to his patient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That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error in judgment has long been distinguished from an act of unskilfulness or carelessness or due to lack of knowledge. Although universally-accepted procedures must be observed, they furnish little or no assistance in resolving such a predicament as faced the surgeon here. In such a situation a decision must be made without delay based on limited known and unknown factors; and the honest and intelligent exercise of judgment has long been recognized as satisfying the professional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It is not up to the Court to resolve differences of medical opinion or schools of thought within the medical profession. In ter Neuzen v. Korn </w:t>
      </w:r>
      <w:hyperlink r:id="rId368"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the Supreme Court of Canada said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As L'Heureux-Dubé J. stated in Lapointe,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in the context of the Quebec Civil Code (at pp. 363-64):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Given the number of available methods of treatment from which medical professionals must at times choose, and the distinction between error and fault, a doctor will not be found liable if the diagnosis and treatment given to a patient correspond to those recognized by medical science at the time, even in the face of competing theories.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Belknap v. Meakes </w:t>
      </w:r>
      <w:hyperlink r:id="rId400"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at page 474, the British Columbia Court of Appeal adopted a statement from the House of Lords in a previous case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realm of diagnosis and treatment there is ample scope for genuine difference of opinion and one man clearly is not negligent merely because his conclusion differs from that of other professional men ... The true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or treatment on the part of a doctor is whether he has been proved to be guilty of such failure as no doctor of ordinary skill would be guilty of if acting with ordinary care ...</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find the last sentence above to be particularly noteworthy and helpful in my analysis of the principal factual issue in this case, that is, whether Dr. Zacharias met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submission as to the quality of care provided by the defendant is set out in counsel's written argument at para. 2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 ... is: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Zacharias failed to provide Ms. McClelland with a reasonable quality of medical care from and after September 23, 1999;</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failure to provide Ms. McClelland with a reasonable quality of medical care was a continuous one from and after September 23, 1999 until her admittance to MSA Hospital on October 28, 1999;</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Zacharias would have provided Ms. McClelland with a reasonable quality of medical care from and after September 23, 1999 had he:</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Either referred her to a specialist in internal medicine (an internist) with the same urgency he displayed when he made a referral to an internist on October 22, 1999, or advised her to go to the MSA Hospital Emergency Room and wait until the on call internist could see her. Had the former option been chosen, Ms. McClelland could have been seen by an internist within three days. Had the latter option been chosen, Ms. McClelland could have been seen by an on call internist on the same day, as occurred on October 28, 1999; and</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Ordered a urinalysis for culture and sensitivity.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Zacharias' failure to have Ms. McClelland seen by an internist in a timely fashion is the most causally significant of his two failings;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further states in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case is that Dr. Zacharias failed to recognize the combination of clinical signs and test results that any general practitioner of ordinary skill would realize were strongly suggestive of a growing and dangerous bacterial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agree that the most significant factual issue to be resolved is whether, given the results of the blood tests and the symptoms of the plaintiff as he observed them and as they were recounted to him as of and immediately after September 23, 1999, the defendant should have done more than he did, in particular, refer the plaintiff to an internist for assessment? However, the difficulty in the plaintiff's case from an evidentiary point of view is that her clinical picture as reflected in Dr. Zacharias' notes and his testimony is not the same as that described by her and 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Zacharias' notes during the month of September do not reflect the complaints of back pain that she insisted she was conveying to him. I find it difficult to accept that if she had been advising him of "exquisite back pain" during that period (as she later advised Dr. Lapin and which played a significant part in the latter's diagnosis and opinions) that Dr. Zacharias would not have made some record of it and that he would not have pursued it more specifically in some way. Back pain is referred to in his notes of October 15th and 19th but the "problem" and "purpose of referral" sections of his Request for Consultation form to the internist on October 22nd (Exhibit 1-1-41) make no mention of back pain, which would be anomalous if such back pain had been a major feature of her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same can be said of her "sweats" or "night sweats", which combined with the blood picture apparently would have been of considerable significance with respect to a differential diagnosis of bacterial infection. There was mention of fever, which led Dr. Zacharias to consider mononucleosis. But there is no mention until October 15th of the severe "sweats" described by the plaintiff. Even at that, his lengthy notes of October 15th as well as containing the notation "spiked fever, sweats" also contain the notation "afebrile", presumably her condition on that day. Again, I find it unlikely that if she had repeatedly mentioned such "sweats" or "night sweats" to Dr. Zacharias during her visits of September that he would not have recorded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issue is not whether the plaintiff was experiencing those symptoms but whether their severity was being communicated fully to Dr. Zacharias. Similarly, the fact that her father and friends noted a "dramatic change" in her physical appearance does not necessarily mean that she presented that way on her visits to Dr. Zacharias. The evidence was that the plaintiff is, and indeed she struck me as, a forceful, upbeat person who was determined not to give in to her illness. That may well have affected her presentation to Dr. Zacharias during the month of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relating to her condition on September 23rd specifically is of course of prime importance. As mentioned, Dr. Zacharias insisted strongly in his testimony that her presentation had "markedly improved" since September 8th and the 10th, although he conceded that he could not be as definite about the 17th because of the brevity of his note for that date. According to him she did not "get worse over four weeks. Not at all. She had improved by the third week." Her blood counts for that day, that is, the indications of a bacterial infection, although still elevated, had in fact improved since the 17th. She had stopped losing weight and had gained a kilo since the 17th. He pointed out that she did not appear to be a person with bacteraemia. As mentioned above, he said such persons are "deathly ill. They don't come to the office. They are in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To further complicate the diagnosis, he did identify a urinary tract infection. That is much more common in women than in men. He knew it would be a bacterial infection and therefore he thought it might have something to do with her elevated blood counts, particularly when considered with her sore throat and the possibility of a viral infection. He treated it in what he considered to be the usual way, that is with a broad spectrum antibiotic. The evidence was that the protocol of the B.C. Medical Association for the investigation and treatment of uncomplicated urinary tract infections (Exhibit 4) does not call for a culture or sensitivity test. I think it is understandable that Dr. Zacharias was somewhat diverted by the appearance of the urinary tract infection on the 23rd, particularly since, as he testified, looking at the clinical picture as a whole there appeared to be no obvious explanation for a severe bacterial infection such as, for example, a large wound.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24th, Dr. Zacharias treated the plaintiff for dehydration at the hospital. Contrary to what Dr. Gummeson testified, he insisted that a second such treatment was in accordance with standard practice in his community, namely,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Thereafter, the plaintiff was "lost to care", to use Dr. Gummeson's expression. She did not return even though, according to her, after a brief improvement she went "downwards again". As stated above, she was determined to "get herself better" and tried alternative medicine procedures. She was resisting the idea of going to the hospital. Given the circumstances on the 23rd and 24th, I do not think it was unreasonable for the defendant to assume that the plaintiff had either got better or gone to her long-time principal physician, Dr. Hacquebard. I do not think the circumstances called upon him to pursue her and insist that she return for further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returned on October 15th. As set out above the defendant found her condition overall to be better but there were new factors that were of concern and caused him to order more lab work in order to rule out hepatitis and chronic infection. She returned on the 19th. Back pain and night sweats were mentioned and Dr. Zacharias ordered x-rays, which, as noted above, showed no abnormalities. The plaintiff did not show up for appointments on the 19th and 20th. She returned on the 22nd with a new complaint of hives and Dr. Zacharias now referred her to an internist with, as noted above, a specific concern about a "myeloproliferative disease". Given the picture to that point and the history of leukemia in her family it seems to me that that was a reasonable concern. When she returned on the 26th, having been "bumped" at the internist on the 25th but with a new appointment with him for the following week, Dr. Zacharias apparently felt that she should now be assessed and treated by the internist.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From October 15th to the 26th, things moved quickly and even if he still apparently did not diagnose a major systemic bacterial infection, I find that during that period Dr. Zacharias acted appropriately given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all the evidence it is clear that Dr. Zacharias was conscientious in his care of the plaintiff. I have outlined it in detail. There is nothing to indicate that decisions he did make were not made with due consideration and there is nothing to indicate that he was neglectful in any way. He exercised at the very least, "ordinary care". Did he exercise "ordinary skill"?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think it is fair to say that if all the information regarding the plaintiff's symptoms that she and her witnesses say were present were known to or observed by a treating physician by September 24th along with the test results, then such a physician of ordinary skill, exercising ordinary care might well have considered the possibility of a bacteraemia, included it in his differential diagnosis, and would have done something about it. The most troubling dimension of the evidence is, of course, the blood tests. However, as I indicated above, I am not satisfied on the balance of probabilities that the defendant received as complete a picture from the plaintiff of her symptoms up to September 23rd as she now remembers giving to him. The key times are September 23rd and the point thereafter when he received the results of the blood tests of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condition according to Dr. Dvorak was rare and, unfortunately, very virulent or "aggressive". All six cases he has treated were very advanced by the time they came to him. The defendant cannot, of course, be judged on the basis of hindsight and an error in judgement alone is not enough to establish liability. I am satisfied that there was a reasonable basis for the clinical judgment Dr. Zacharias exercised on the basis of the information that the evidence has established he had before him. Accordingly, I am not satisfied that he was negligent in his treatment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above is sufficient to dispose of the action. However, given the possibility of appellate review of this decision a few relatively brief observations in two areas are in order given that I had before me extensive evidence and submissions respecting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first observation is for the most part in the nature of an alternative finding. Basically it is that the evidence has not established that the plaintiff's present condition in its entirety is linked causally to the alleged deficiency in Dr. Zacharias' care, that is, the failure to take further action sometime soon after September 23rd.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note again the last two sentences in the passage from Dr. Gummeson's report set out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earlier treatment would have significantly changed the clinical outcome in terms of Ms. McClelland's long-term physical functioning and pain symptoms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note further the evidence of Dr. Dvorak cited above that the infection had likely been present in her lumbar spine "around two to three months" when he first saw her on November 2nd.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Given that evidence, it is difficult to say at what stage the infection and resulting damage would have been arrested if diagnosed and treated shortly after September 23rd. It is not enough to show that earlier treatment "might" have avoided the plaintiff's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Cottrelle v. Gerrard </w:t>
      </w:r>
      <w:hyperlink r:id="rId519" w:history="1">
        <w:r>
          <w:rPr>
            <w:rFonts w:ascii="arial" w:eastAsia="arial" w:hAnsi="arial" w:cs="arial"/>
            <w:i/>
            <w:color w:val="0077CC"/>
            <w:sz w:val="20"/>
            <w:u w:val="single"/>
            <w:shd w:val="clear" w:color="auto" w:fill="FFFFFF"/>
            <w:lang w:val="en-US" w:eastAsia="en-US" w:bidi="ar-SA"/>
          </w:rPr>
          <w:t>(2003), 233 D.L.R. (4th) 45</w:t>
        </w:r>
      </w:hyperlink>
      <w:r>
        <w:rPr>
          <w:rFonts w:ascii="arial" w:eastAsia="arial" w:hAnsi="arial" w:cs="arial"/>
          <w:color w:val="000000"/>
          <w:sz w:val="20"/>
          <w:lang w:val="en-US" w:eastAsia="en-US" w:bidi="ar-SA"/>
        </w:rPr>
        <w:t>, the Ontario Court of Appeal said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the appellant's submission that in an action for delayed medical diagnosis and treatment, a plaintiff must prove on a balance of probabilities that the delay caused or contributed to the unfavourable outcome. In other words, if, on a balance of probabilities, the plaintiff fails to prove that the unfavourable outcome would have been avoided with prompt diagnosis and treatment, then the plaintiff's claim must fail. It is not sufficient to prove that adequate diagnosis and treatment would have afforded a chance of avoiding the unfavourable outcome unless that chance surpasses the threshold of "more likely than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clear on the evidence that the condition could not have been diagnosed until some damage had already occurred. It seems to me therefore that if Dr. Zacharias was found negligent, the court would likely have been faced with a "crumbling skull" scenario where part but not all of the plaintiff's present condition would be attributable to the failure to diagnose earlier, for example (only), at the stage of a disc infection but before significant damage to the adjacent vertebrae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second observation is with respect to the claim for pecuniary damages. It is my opinion that in general it is not necessary and better not to assess damages after dismissing a claim. However, I have indicated above why it is preferable to offer at least some very brief comment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puts forward a claim for loss of earning capacity based on her business as a motivational speaker. However, the evidence was that up to the time of her illness, her business in that regard had been in a loss position and her calculations supporting her claim were based on what she hoped she would earn in the future. Up to the time of her incapacity, she had received only modest fees (with the exception of one $1200 fee) but she expected that her fees and income would increase somewhat dramatically in the future. I cannot say that I am persuaded on a balance of probabilities that such an increase would have occurred, certainly not beyond the income that she has earned from the two positions she has held since her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was advised that during the trial she resigned her most recent position because, she said, of the pain in her back. However, I would have had to hear more evidence before assessing damages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the result, if I had had to assess an amount for loss of future earning capacity, it would have been a relatively modest amount on the basis of a "loss of opportunity" as in such cases as Clark v. Kereiff </w:t>
      </w:r>
      <w:hyperlink r:id="rId520" w:history="1">
        <w:r>
          <w:rPr>
            <w:rFonts w:ascii="arial" w:eastAsia="arial" w:hAnsi="arial" w:cs="arial"/>
            <w:i/>
            <w:color w:val="0077CC"/>
            <w:sz w:val="20"/>
            <w:u w:val="single"/>
            <w:shd w:val="clear" w:color="auto" w:fill="FFFFFF"/>
            <w:lang w:val="en-US" w:eastAsia="en-US" w:bidi="ar-SA"/>
          </w:rPr>
          <w:t>(1983) 43 B.C.L.R. 157</w:t>
        </w:r>
      </w:hyperlink>
      <w:r>
        <w:rPr>
          <w:rFonts w:ascii="arial" w:eastAsia="arial" w:hAnsi="arial" w:cs="arial"/>
          <w:color w:val="000000"/>
          <w:sz w:val="20"/>
          <w:lang w:val="en-US" w:eastAsia="en-US" w:bidi="ar-SA"/>
        </w:rPr>
        <w:t xml:space="preserve"> and Freitag v. Davis </w:t>
      </w:r>
      <w:hyperlink r:id="rId521" w:history="1">
        <w:r>
          <w:rPr>
            <w:rFonts w:ascii="arial" w:eastAsia="arial" w:hAnsi="arial" w:cs="arial"/>
            <w:i/>
            <w:color w:val="0077CC"/>
            <w:sz w:val="20"/>
            <w:u w:val="single"/>
            <w:shd w:val="clear" w:color="auto" w:fill="FFFFFF"/>
            <w:lang w:val="en-US" w:eastAsia="en-US" w:bidi="ar-SA"/>
          </w:rPr>
          <w:t>[1984] 6 W.W.R. 188</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claim is dismissed. Costs must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McGregor v. Holyrood Manor, [2014] B.C.J. No. 698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13, 15 and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S23786, S23787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Evelyn McGregor, Plaintiff, and Holyrood Manor and/or Revera Long Term Care Inc., College of Registered Psychiatric Nurses of British Columbia, and Health Sciences Association of British Columbia, Defendants And between Evelyn McGregor, Plaintiff, and Simpson Hospital and/or Simpson Manor and/or Decker Management Ltd., Ridge Meadows Hospital and/or Fraser Health Authority, College of Registered Psychiatric Nurses of British Columbia, and Health Sciences Association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6"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6"/>
      <w:bookmarkEnd w:id="190"/>
      <w:r>
        <w:rPr>
          <w:rFonts w:ascii="arial" w:eastAsia="arial" w:hAnsi="arial" w:cs="arial"/>
          <w:b/>
          <w:color w:val="000000"/>
          <w:sz w:val="20"/>
          <w:lang w:val="en-US" w:eastAsia="en-US" w:bidi="ar-SA"/>
        </w:rPr>
        <w:t>Civil litigation — Civil procedure — Judgments and orders — Summary judgments — No triable issue — Motion by defendants for summary judgment dismissing action against them allowed — Plaintiff sued union, former employers, College and other entities for alleged wrongs in connection with her termination from employment as a psychiatric nurse — Plaintiff's grievance arising from dismissal by Holyrood Manor had been settled — College also agreed to reinstate her licence on certain conditions — Plaintiff's claims against all defendants remained confusing and deeply flawed and did not support any cause of action — Issues surrounding grievance and settlement agreement were within jurisdiction of Labour Relations Board — Charter did not apply to claims raised.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5"/>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for summary judgment dismissing the action against them. The plaintiff was a registered psychiatric nurse. She was a member of the defendant union and was employed by the defendant Holyrood Manor, a long-term care facility. The defendant Revera Inc. operated Holyrood. A collective agreement governed the terms and conditions of the plaintiff's employment, including termination. Holyrood terminated the plaintiff's employment for cause. The plaintiff then filed a grievance. The plaintiff and Revera had the matter arbitrated and settled pursuant to a Memorandum of Settlement, After Revera lodged a complaint against the plaintiff with the defendant College, the College suspended the plaintiff's licence. Pursuant to a subsequent settlement with the plaintiff, the College agreed to reinstate the plaintiff's licence under certain conditions. The plaintiff's claims against the College related to how the College received, investigated, and disposed of Revera's complaint. The plaintiff also worked for Decker Management as a psychiatric nurse on a casual basis. She complained about how her employment with Decker was terminated. The plaintiff alleged that the union failed to adequately represent her in her dealings with Holyrood and in the proceedings before the College. The action raised claims for breach of the Freedom of Information and Protection of Privacy Act, various Charter breaches, abuse of process, bad faith bargaining, and various torts. The plaintiff claimed the defendants' actions violated her Charter rights. She claimed that Decker breached her privacy rights by forwarding documentation of its termination of the plaintiff's employment to the College during its investigation of the plaintiff. Pursuant to a Master's order, the plaintiff was required to amend her pleadings and to identify and specify the relief claimed as against each named defendant and to specify the legal basis for the relief sought against each named defendant. All defendants alleged the plaintiff failed to comply with this 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23"/>
            <w:bookmarkEnd w:id="192"/>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not complied with the Master's order. The plaintiff's claims against all defendants remained confusing and deeply flawed. The pleadings did not support any cause of action. The plaintiff did not plead any facts that would establish any of the essential elements of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College. The plaintiff's claims, either individually or combined, did not disclose material facts to support any action against the College. The Health Professions Act also provided the College a complete defence. Any disclosure Decker made to the College during its investigation was made on an occasion of absolute privilege or were otherwise protected by witness immunity. The plaintiff's defamation claims were out of time. There were no genuine Charter issues to be tried as the nature of Decker's operations and the relationship between the plaintiff and Decker fell outside the ambit of the Charter. The plaintiff's complaints against Revera were clearly governed by the Collective Agreement and fell within the jurisdiction of the Labour Realtions Board. A binding settlement agreement was reached between the parties on all matters relating to the plaintiff's employment with Revera which encompassed not only matters transpired before the settlement but also future claims. The Court had no jurisdiction to dispose of the plaintiff's allegations regarding the grievance settlement and the Termination Grievance. These were matters a panel of the Labour Relations Board dealt with directly. The present action was an illegal collateral attack on the findings of the Review Panel. The allegations against the union were not made out. Even if the union should have grieved a breach of the plaintiff's privacy, this would not constitute an exercise of authority entitling the plaintiff to invoke Charter rights. The Charter sections cited by the plaintiff did also not apply to her complaints.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Legislation Cited_19"/>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7"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2(b), s. 6,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Disciplinary Authority Protection Act, </w:t>
      </w:r>
      <w:hyperlink r:id="rId529" w:history="1">
        <w:r>
          <w:rPr>
            <w:rFonts w:ascii="arial" w:eastAsia="arial" w:hAnsi="arial" w:cs="arial"/>
            <w:i/>
            <w:color w:val="0077CC"/>
            <w:sz w:val="20"/>
            <w:u w:val="single"/>
            <w:shd w:val="clear" w:color="auto" w:fill="FFFFFF"/>
            <w:lang w:val="en-US" w:eastAsia="en-US" w:bidi="ar-SA"/>
          </w:rPr>
          <w:t>RSBC 1996, CHAPTER 98, s. 1</w:t>
        </w:r>
      </w:hyperlink>
      <w:r>
        <w:rPr>
          <w:rFonts w:ascii="arial" w:eastAsia="arial" w:hAnsi="arial" w:cs="arial"/>
          <w:color w:val="000000"/>
          <w:sz w:val="20"/>
          <w:lang w:val="en-US" w:eastAsia="en-US" w:bidi="ar-SA"/>
        </w:rPr>
        <w:t>,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hyperlink r:id="rId530" w:history="1">
        <w:r>
          <w:rPr>
            <w:rFonts w:ascii="arial" w:eastAsia="arial" w:hAnsi="arial" w:cs="arial"/>
            <w:i/>
            <w:color w:val="0077CC"/>
            <w:sz w:val="20"/>
            <w:u w:val="single"/>
            <w:shd w:val="clear" w:color="auto" w:fill="FFFFFF"/>
            <w:lang w:val="en-US" w:eastAsia="en-US" w:bidi="ar-SA"/>
          </w:rPr>
          <w:t>RSBC 1996, CHAPTER 165, s. 74</w:t>
        </w:r>
      </w:hyperlink>
      <w:r>
        <w:rPr>
          <w:rFonts w:ascii="arial" w:eastAsia="arial" w:hAnsi="arial" w:cs="arial"/>
          <w:color w:val="000000"/>
          <w:sz w:val="20"/>
          <w:lang w:val="en-US" w:eastAsia="en-US" w:bidi="ar-SA"/>
        </w:rPr>
        <w:t>, s. 74.1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Professions Act, </w:t>
      </w:r>
      <w:hyperlink r:id="rId531" w:history="1">
        <w:r>
          <w:rPr>
            <w:rFonts w:ascii="arial" w:eastAsia="arial" w:hAnsi="arial" w:cs="arial"/>
            <w:i/>
            <w:color w:val="0077CC"/>
            <w:sz w:val="20"/>
            <w:u w:val="single"/>
            <w:shd w:val="clear" w:color="auto" w:fill="FFFFFF"/>
            <w:lang w:val="en-US" w:eastAsia="en-US" w:bidi="ar-SA"/>
          </w:rPr>
          <w:t>RSBC 1996, CHAPTER 183, s. 15</w:t>
        </w:r>
      </w:hyperlink>
      <w:r>
        <w:rPr>
          <w:rFonts w:ascii="arial" w:eastAsia="arial" w:hAnsi="arial" w:cs="arial"/>
          <w:color w:val="000000"/>
          <w:sz w:val="20"/>
          <w:lang w:val="en-US" w:eastAsia="en-US" w:bidi="ar-SA"/>
        </w:rPr>
        <w:t>, s. 24, s. 27, s. 28, s. 32, s. 33(1), s. 33(4), s. 35, s.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 Rule 3(7), Rule 3(9), Rule 4(2), Rule 8-1, Rule 8(2), Rule 9-4, Rule 9-5(1), Rule 9-6(4), Rule 9-6(5), Rule 21-8(1)(b)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4" w:name="Counsel_26"/>
      <w:bookmarkEnd w:id="1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Appearing on her own behalf: E. McGregor.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Holyrood Manor and/or Revera Long Term Care Inc: D.D.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College of Registered Psychiatric Nurses of B.C.: S.W. Lesiuk.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Health Sciences Association of B.C.: S.L. Avram.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Decker Management Ltd. dba, Simpson Hospital and/or Simpson Manor: J.N. Hassan.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Ridge Meadows Hospital and/or Fraser Health Authority: R. Pauls.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5" w:name="Judgment_26"/>
      <w:bookmarkEnd w:id="195"/>
      <w:r>
        <w:pict>
          <v:line id="_x0000_s1159"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RULES AND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Rule 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Rule 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Rule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Rule 21-8(1)(b)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OVERVIEW OF RELATIONSHIPS AND DEALINGS BETWEEN THE PLAINTIFF AND THE APPLICANTS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Health Sciences Association ("the HSA")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Holyrood Manor and Revera Long Term Care Inc. ("Revera")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College of Registered Psychiatric Nurses (the "College")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Fraser Health Authority (the "FHA")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Decker Management ("Decker")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HISTORY OF PROCEEDINGS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 Findings on the flaws in the 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 OF THE HEALTH SCIENCES ASSOCIATION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General nature of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Plaintiff's Collective Agreement grievance as it relates to Holyrood Manor/Revera termination</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Significance of the plaintiff's grievance before the LRB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pleadings as they relate to the HSA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NCC 786</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NCC 787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LRB exclusive jurisdiction issue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Charter of Rights Claims</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related to Labour Relations Board jurisdiction</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Charter violations related to failing to grieve</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Inapplicability of Charter sections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Privacy breaches, the FOIPPA</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Claims of </w:t>
      </w:r>
      <w:r>
        <w:rPr>
          <w:rFonts w:ascii="arial" w:eastAsia="arial" w:hAnsi="arial" w:cs="arial"/>
          <w:b/>
          <w:i/>
          <w:color w:val="000000"/>
          <w:sz w:val="20"/>
          <w:u w:val="single"/>
          <w:lang w:val="en-US" w:eastAsia="en-US" w:bidi="ar-SA"/>
        </w:rPr>
        <w:t>negligence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 OF THE COLLEGE OF REGISTERED PSYCHIATRIC NURSES OF BRITISH COLUMBIA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College's statutory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Nature of complaints in Actions 786 and 787</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786</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787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Legal points and conclusions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College's statutory protections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 OF DECKER MANAGEMENT LTD. &amp; SIMPSON HOSPITAL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Overview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Jurisdictional arguments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Decker's immunity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Defamation, Charter and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HOLYROOD MANOR AND REVERA LONG TERM CARE INC.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Rule 21-8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Effects of the binding settlement agreement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Limitation Act and breach of Charter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 OF FRASER HEALTH AUTHORITY AND MEADOW RIDGE HOSPITAL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IX.</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 ALL APPLICATIONS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Summary Judgment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6" w:name="N. BROWN J._0"/>
            <w:bookmarkEnd w:id="196"/>
            <w:r>
              <w:rPr>
                <w:rFonts w:ascii="arial" w:eastAsia="arial" w:hAnsi="arial" w:cs="arial"/>
                <w:b/>
                <w:color w:val="000000"/>
                <w:sz w:val="30"/>
                <w:lang w:val="en-US" w:eastAsia="en-US" w:bidi="ar-SA"/>
              </w:rPr>
              <w:t>N.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RULES AND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relate to the defendants' applications for dismissal of the plaintiff's amended claims set out in Action nos. S023786 and S023787, both in the Chilliwack Registry. For ease of reference, I will refer to the first action as 786; the second as 787.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All the defendants have applied for an order dismissing the plaintiff's claims, relying, variously, on the following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1(3), 3(7)(9), 8-1, 8(2), 9-5(1), 9-6(4)-(5), and 21-8(1)(b).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Under Rule 9-5(1) the court may strike a pleading which:</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discloses no reasonable claim;</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unnecessary, scandalous, frivolous or a vexatious;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prejudice, embarrassed or delay the fair hearing of the proceeding, or is an abuse of process of the Court;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Under Rule 9-5(1), It must be "plain and obvious" the claim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court may give a party opportunity to redraft an inadequate pleading. But if it is plain and obvious the redrafted pleading is also bound to fail, the pleading should be struck: </w:t>
      </w:r>
      <w:r>
        <w:rPr>
          <w:rFonts w:ascii="arial" w:eastAsia="arial" w:hAnsi="arial" w:cs="arial"/>
          <w:i/>
          <w:color w:val="000000"/>
          <w:sz w:val="20"/>
          <w:lang w:val="en-US" w:eastAsia="en-US" w:bidi="ar-SA"/>
        </w:rPr>
        <w:t>Strata Plan LMS3259 v. Sze Hang Holding Inc.</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2009 BCSC 473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Pleadings may also be struck if:</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unintelligible, confusing and difficult to understand;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do not establish a cause of action and do not advance a claim known in law;</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without substance in that they are groundless, fanciful and trifle with the court's time;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are not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or oppressive and are designed to cause the defendant's anxiety, trouble and expense: </w:t>
      </w: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para. 17; </w:t>
      </w:r>
      <w:r>
        <w:rPr>
          <w:rFonts w:ascii="arial" w:eastAsia="arial" w:hAnsi="arial" w:cs="arial"/>
          <w:i/>
          <w:color w:val="000000"/>
          <w:sz w:val="20"/>
          <w:lang w:val="en-US" w:eastAsia="en-US" w:bidi="ar-SA"/>
        </w:rPr>
        <w:t>Budgell v. Oppal</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[2007] B.C.J. No. 1499</w:t>
        </w:r>
      </w:hyperlink>
      <w:r>
        <w:rPr>
          <w:rFonts w:ascii="arial" w:eastAsia="arial" w:hAnsi="arial" w:cs="arial"/>
          <w:color w:val="000000"/>
          <w:sz w:val="20"/>
          <w:lang w:val="en-US" w:eastAsia="en-US" w:bidi="ar-SA"/>
        </w:rPr>
        <w:t xml:space="preserve"> (S.C.), paras. 20-22.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pleadings must clearly define the issues of fact and law for each of the issues the court must decide. The plaintiff must plead facts essential to formulate a complete cause of action: </w:t>
      </w:r>
      <w:r>
        <w:rPr>
          <w:rFonts w:ascii="arial" w:eastAsia="arial" w:hAnsi="arial" w:cs="arial"/>
          <w:i/>
          <w:color w:val="000000"/>
          <w:sz w:val="20"/>
          <w:lang w:val="en-US" w:eastAsia="en-US" w:bidi="ar-SA"/>
        </w:rPr>
        <w:t>Canadian Bar Assn. v. British Columbia</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xml:space="preserve">, paras. 59 - 60; </w:t>
      </w:r>
      <w:r>
        <w:rPr>
          <w:rFonts w:ascii="arial" w:eastAsia="arial" w:hAnsi="arial" w:cs="arial"/>
          <w:i/>
          <w:color w:val="000000"/>
          <w:sz w:val="20"/>
          <w:lang w:val="en-US" w:eastAsia="en-US" w:bidi="ar-SA"/>
        </w:rPr>
        <w:t>Delaney &amp; Friends Cartoon Productions Ltd. v. Radical Entertainment Inc.</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2005 BCSC 371</w:t>
        </w:r>
      </w:hyperlink>
      <w:r>
        <w:rPr>
          <w:rFonts w:ascii="arial" w:eastAsia="arial" w:hAnsi="arial" w:cs="arial"/>
          <w:color w:val="000000"/>
          <w:sz w:val="20"/>
          <w:lang w:val="en-US" w:eastAsia="en-US" w:bidi="ar-SA"/>
        </w:rPr>
        <w: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Material facts should be stated with certainty and precision and in the natural order; and state the defendant's wrongful acts and the consequent damage: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When the plaintiff pleads several causes against multiple defendants, they must clearly specify which facts relate to which cause of action and to which defendant. If they fail to do so, they have not clearly defined the issues of fact the court has to determine; thus making their case subject to being struck by the court: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To determine whether it is plain and obvious the statement of claim does not disclose a reasonable cause of action under Rule 9-5(1), facts are considered true; assumptions and speculations are not: </w:t>
      </w:r>
      <w:r>
        <w:rPr>
          <w:rFonts w:ascii="arial" w:eastAsia="arial" w:hAnsi="arial" w:cs="arial"/>
          <w:i/>
          <w:color w:val="000000"/>
          <w:sz w:val="20"/>
          <w:lang w:val="en-US" w:eastAsia="en-US" w:bidi="ar-SA"/>
        </w:rPr>
        <w:t>Dempsey v. Envision Credit Union</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2006 BCSC 750</w:t>
        </w:r>
      </w:hyperlink>
      <w:r>
        <w:rPr>
          <w:rFonts w:ascii="arial" w:eastAsia="arial" w:hAnsi="arial" w:cs="arial"/>
          <w:color w:val="000000"/>
          <w:sz w:val="20"/>
          <w:lang w:val="en-US" w:eastAsia="en-US" w:bidi="ar-SA"/>
        </w:rPr>
        <w:t xml:space="preserve">, para. 7; </w:t>
      </w:r>
      <w:r>
        <w:rPr>
          <w:rFonts w:ascii="arial" w:eastAsia="arial" w:hAnsi="arial" w:cs="arial"/>
          <w:i/>
          <w:color w:val="000000"/>
          <w:sz w:val="20"/>
          <w:lang w:val="en-US" w:eastAsia="en-US" w:bidi="ar-SA"/>
        </w:rPr>
        <w:t>McDaniel v. McDaniel</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2009 BCCA 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McDaniel</w:t>
      </w:r>
      <w:r>
        <w:rPr>
          <w:rFonts w:ascii="arial" w:eastAsia="arial" w:hAnsi="arial" w:cs="arial"/>
          <w:color w:val="000000"/>
          <w:sz w:val="20"/>
          <w:lang w:val="en-US" w:eastAsia="en-US" w:bidi="ar-SA"/>
        </w:rPr>
        <w:t xml:space="preserve">], para. 22;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For applications to strike pleadings under Rule 9-5(1) (b) and (c), on grounds they are unnecessary, scandalous, frivolous, vexatious, or may prejudice, embarrass or delay the fair trial, if the pleadings are so confusing it is difficult understand what is being claimed, the applicant will have established relevancy and embarrassment. A pleading is unnecessary or vexatious if it does not go to establishment of the plaintiff's cause of action or does not advance any claim known to law.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(S.C.),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Under Rule 9-6(4), an answering party who has filed a defence on the party advancing claims against them may apply for judgment dismissing all or part of a claim in the claiming party's originating pleading. If satisfied the pleadings reveal no genuine issue for trial either on a claim or defence, the court must pronounce judgment or dismiss the claim accordingly: </w:t>
      </w:r>
      <w:r>
        <w:rPr>
          <w:rFonts w:ascii="arial" w:eastAsia="arial" w:hAnsi="arial" w:cs="arial"/>
          <w:i/>
          <w:color w:val="000000"/>
          <w:sz w:val="20"/>
          <w:lang w:val="en-US" w:eastAsia="en-US" w:bidi="ar-SA"/>
        </w:rPr>
        <w:t>Serup v. School District No. 57</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[1989] B.C.J. No. 353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purpose of an application under Rule 9-6 is to show the case already pleaded by the plaintiff is unsound or that the applicant has a complete answer to it. In such circumstances, there is reason to weigh the plaintiff's pleadings in the scales against the defendants' affidavit evidence of the defendant: </w:t>
      </w:r>
      <w:r>
        <w:rPr>
          <w:rFonts w:ascii="arial" w:eastAsia="arial" w:hAnsi="arial" w:cs="arial"/>
          <w:i/>
          <w:color w:val="000000"/>
          <w:sz w:val="20"/>
          <w:lang w:val="en-US" w:eastAsia="en-US" w:bidi="ar-SA"/>
        </w:rPr>
        <w:t>McDaniel</w:t>
      </w:r>
      <w:r>
        <w:rPr>
          <w:rFonts w:ascii="arial" w:eastAsia="arial" w:hAnsi="arial" w:cs="arial"/>
          <w:color w:val="000000"/>
          <w:sz w:val="20"/>
          <w:lang w:val="en-US" w:eastAsia="en-US" w:bidi="ar-SA"/>
        </w:rPr>
        <w: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Applications under Rule 9-6 require examination of the pleaded facts to determine which causes of action they may support; identification of the essential elements the plaintiff has to prove at trial to succeed on each of the causes of action; and determination of whether the plaintiff has pleaded sufficient material facts to support each element required for each cause of action. </w:t>
      </w:r>
      <w:r>
        <w:rPr>
          <w:rFonts w:ascii="arial" w:eastAsia="arial" w:hAnsi="arial" w:cs="arial"/>
          <w:i/>
          <w:color w:val="000000"/>
          <w:sz w:val="20"/>
          <w:lang w:val="en-US" w:eastAsia="en-US" w:bidi="ar-SA"/>
        </w:rPr>
        <w:t>Skybridge Investments Ltd. v. Metro Motors Ltd. (c.o.b. as Metro Ford)</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Skybridge Investments</w:t>
      </w:r>
      <w:r>
        <w:rPr>
          <w:rFonts w:ascii="arial" w:eastAsia="arial" w:hAnsi="arial" w:cs="arial"/>
          <w:color w:val="000000"/>
          <w:sz w:val="20"/>
          <w:lang w:val="en-US" w:eastAsia="en-US" w:bidi="ar-SA"/>
        </w:rPr>
        <w:t xml:space="preserve">], para. 10. If the plaintiff has not pleaded sufficient material facts to support each element of a cause of action, then "beyond a doubt that cause of action is bound to fail and a defendant bringing an application pursuant to [Rule 9-6] will have met the onus to negative the existence of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w:t>
      </w:r>
      <w:r>
        <w:rPr>
          <w:rFonts w:ascii="arial" w:eastAsia="arial" w:hAnsi="arial" w:cs="arial"/>
          <w:i/>
          <w:color w:val="000000"/>
          <w:sz w:val="20"/>
          <w:lang w:val="en-US" w:eastAsia="en-US" w:bidi="ar-SA"/>
        </w:rPr>
        <w:t>Skybridge Investments</w:t>
      </w:r>
      <w:r>
        <w:rPr>
          <w:rFonts w:ascii="arial" w:eastAsia="arial" w:hAnsi="arial" w:cs="arial"/>
          <w:color w:val="000000"/>
          <w:sz w:val="20"/>
          <w:lang w:val="en-US" w:eastAsia="en-US" w:bidi="ar-SA"/>
        </w:rPr>
        <w: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Further, if a defendant who applies under Rule 9-6 shows the case the plaintiff pleaded is unsound, or that they have a complete answer to it, there is no logical reason to weigh the plaintiff's pleadings against the defendant's affidavit evidence. In this case, the plaintiff did not file a written response to the application or contradictory affidavits.) Further, if the Court, without consideration of the plaintiff's pleadings, is satisfied beyond a reasonable doubt they have no claim that deserves to be tried, the defendant should succeed: </w:t>
      </w:r>
      <w:r>
        <w:rPr>
          <w:rFonts w:ascii="arial" w:eastAsia="arial" w:hAnsi="arial" w:cs="arial"/>
          <w:i/>
          <w:color w:val="000000"/>
          <w:sz w:val="20"/>
          <w:lang w:val="en-US" w:eastAsia="en-US" w:bidi="ar-SA"/>
        </w:rPr>
        <w:t>McDaniel</w:t>
      </w:r>
      <w:r>
        <w:rPr>
          <w:rFonts w:ascii="arial" w:eastAsia="arial" w:hAnsi="arial" w:cs="arial"/>
          <w:color w:val="000000"/>
          <w:sz w:val="20"/>
          <w:lang w:val="en-US" w:eastAsia="en-US" w:bidi="ar-SA"/>
        </w:rPr>
        <w: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Rule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4(2) gives the court discretion to dismiss an action if, in its opinion, the point of law substantially disposes of the whole action or any distinct claim. The following principles govern the exercise of that discretion:</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to be decided must be raised and clearly defined by the pleadings;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the opposite party's allegations are true, they must raise and support a claim or defence in law;</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relating to the point of law must not be in dispute and the point of law must be capable of being resolved without hearing evidence;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determination of the question must be decisive of the litigation or a substantial issue raised in it;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be satisfied that there is some advantage in proceeding in this manner in that it will greatly shorten the trial or result in a substantial saving of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Blanco-Arriba v. British Columbia</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[2001] B.C.J. No. 2376</w:t>
        </w:r>
      </w:hyperlink>
      <w:r>
        <w:rPr>
          <w:rFonts w:ascii="arial" w:eastAsia="arial" w:hAnsi="arial" w:cs="arial"/>
          <w:color w:val="000000"/>
          <w:sz w:val="20"/>
          <w:lang w:val="en-US" w:eastAsia="en-US" w:bidi="ar-SA"/>
        </w:rPr>
        <w:t xml:space="preserve"> (S.C.),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 question of law can be decided even when it has not been raised under Rule 9-4 (formerly Rule 34): </w:t>
      </w:r>
      <w:r>
        <w:rPr>
          <w:rFonts w:ascii="arial" w:eastAsia="arial" w:hAnsi="arial" w:cs="arial"/>
          <w:i/>
          <w:color w:val="000000"/>
          <w:sz w:val="20"/>
          <w:lang w:val="en-US" w:eastAsia="en-US" w:bidi="ar-SA"/>
        </w:rPr>
        <w:t>Nicholls v. Richmond (Township)</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[1983] B.C.J. No. 2298</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Rule 21-8(1)(b)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Rule 21-8(1)(a), (b) and (c) provide: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has been served with an originating pleading or petition in a proceeding, whether that service was effected in or outside British Columbia, may, after filing a jurisdictional response in Form 108,</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the notice of civil claim, counterclaim, third party notice or petition or to dismiss or stay the proceeding on the ground that the notice of civil claim, counterclaim, third party notice or petition does not allege facts that, if true, would establish that the court has jurisdiction over that party in respect of the claim made against that party in the proceeding,</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dismiss or stay the proceeding on the ground that the court does not have jurisdiction over that party in respect of the claim made against that party in the proceeding, or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 in a pleading or in a response to petition that the court does not have jurisdiction over that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OVERVIEW OF RELATIONSHIPS AND DEALINGS BETWEEN THE PLAINTIFF AND THE APPLICANTS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Health Sciences Association ("the HSA")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HSA is a trade union, certified to represent health science professionals employed in the acute health and social services health sectors. It is one of three constituent members of the Nurses Bargaining Association ("NBA") and the College of Registered Psychiatric Nurses of British Columbia (the "College"). The College oversees the profession of registered psychiatric nurses in the province, including their registration and disciplinary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material times, the plaintiff was a member of the HSA employed by Revera Long Term Care Inc. ("Revera") as a registered psychiatric nurse at its long-term health care facility, Holyrood Manor, where the HSA was certified to represent the plaintiff and other psychiatric nurses employed by Revera.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Holyrood Manor and Revera Long Term Care Inc. ("Revera")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Revera operates Holyrood Manor, a private long-term health care facility located in Maple Ridge, British Columbia. It hired the plaintiff in March 2002. In September 2005, she secured a full-time temporary position and, in September 2006, she became a full-time regular employee. Revera terminated her employment for cause on March 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 collective agreement governed the terms and conditions of the plaintiff's employment, including termination. For its part, Revera has characterized the essence of the plaintiff's claim against it as a labour relations dispute, over which the </w:t>
      </w:r>
      <w:r>
        <w:rPr>
          <w:rFonts w:ascii="arial" w:eastAsia="arial" w:hAnsi="arial" w:cs="arial"/>
          <w:i/>
          <w:color w:val="000000"/>
          <w:sz w:val="20"/>
          <w:lang w:val="en-US" w:eastAsia="en-US" w:bidi="ar-SA"/>
        </w:rPr>
        <w:t>British Columbia Labour Code</w:t>
      </w:r>
      <w:r>
        <w:rPr>
          <w:rFonts w:ascii="arial" w:eastAsia="arial" w:hAnsi="arial" w:cs="arial"/>
          <w:color w:val="000000"/>
          <w:sz w:val="20"/>
          <w:lang w:val="en-US" w:eastAsia="en-US" w:bidi="ar-SA"/>
        </w:rPr>
        <w:t>, R.S.B.C. 196, c. 244 ("</w:t>
      </w:r>
      <w:r>
        <w:rPr>
          <w:rFonts w:ascii="arial" w:eastAsia="arial" w:hAnsi="arial" w:cs="arial"/>
          <w:i/>
          <w:color w:val="000000"/>
          <w:sz w:val="20"/>
          <w:lang w:val="en-US" w:eastAsia="en-US" w:bidi="ar-SA"/>
        </w:rPr>
        <w:t>L.R. Code"</w:t>
      </w:r>
      <w:r>
        <w:rPr>
          <w:rFonts w:ascii="arial" w:eastAsia="arial" w:hAnsi="arial" w:cs="arial"/>
          <w:color w:val="000000"/>
          <w:sz w:val="20"/>
          <w:lang w:val="en-US" w:eastAsia="en-US" w:bidi="ar-SA"/>
        </w:rPr>
        <w:t>) has exclusive jurisdiction, and one outside the jurisdiction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College of Registered Psychiatric Nurses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claims against the College relate to its role as statutory regulator of registered psychiatric nurses in British Columbia. The plaintiff complaints are based primarily on how the College received, investigated, and disposed of a complaint Revera lodged against the plaintiff, who was at all material times a registered member of the College. The College's position, apart from that commonly held by all the other applicants - which is that the plaintiff's pleadings fail to comply with Master McNaughton's orders - is that the relief she seeks is not a matter for civil liability; and, to the extent her claims can be made out at all, they are not valid in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Fraser Health Authority (the "FHA")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Fraser Health Authority's basic position is that the plaintiff has failed to plead facts in support of her claims against it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defamation;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infringements, abuse of process, bad-faith bargaining, "dignitary tort", violation of the of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etc. on; and that the claims are not sound in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Decker Management ("Decker")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Decker Management is an incorporated company owned by a single shareholder. It engages in various business ventures, including real estate development. It also owns and operates extended care nursing care homes, which includes Simpson Manor ("Simpson"), a unionized facility that had employed the plaintiff. Simpson is a licenced hospital and unionized facility. It provides extended care beds paid partly by the Fraser Health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worked for Decker as a psychiatric nurse on a casual basis between May 26, 2005 and October 13, 2007, the date of her last shift. She was removed from the call-in list on September 12, 2008. She was a member of the British Columbia Nurses Union, which represented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Decker submits the plaintiff's claims are irreparably flawed. In essence, they relate, in some way, to how Dexter terminated her employment. Dexter says, the claims are irreparably flawed,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because they lie outside the jurisdiction of this court and the scope of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which does not apply to Decker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HISTORY OF PROCEEDINGS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following history of proceedings is relevant to relief sought by all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December 16, 2009, the plaintiff filed two Notices of Civil Claim for Action Nos. S23786 ("786") and S23787 ("787"). The facts and allegations against the defendants in each action are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December 10, 2012, Master MacNaughton conducted a Case Planning Conference. She ordered the plaintiff to amend each of her Notices of Civil Claim ("NCCs") before January 11, 2013, to:</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correctly name all the existing defendants;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and specify the relief claimed as against each named defendant;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the legal basis for the relief sought against each named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then filed three subsequent amended NCCs in each action, on January 11, January 14, and January 23, 2013, respectively. None of these amended NCCs complied with Master McNaughton's Case Plan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February 14, 2013, Master MacNaughton conducted a second Case Planning Conference, this time, focused on inadequacies in the amended NCCs. She ordered the amended NCCs be struck from the Court Registry and ordered the plaintiff to file amended NCCs for each action, on or before February 24, 2013, in compliance with the Original Order, as detailed above. Among the other orders made were these:</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correctly name all the existing defendants;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identify and specify the relief claimed as against each named defendant;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specify the legal basis for the relief sought against each named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March 8, 2013, the plaintiff filed her amended NCCs for each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Findings on the flaws in the 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All the applicants agree with the HSA's submissions that the plaintiff failed to clarify her pleadings against them in a manner that complied with Master McNaughton's orders. I agree those with those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All the applicants submit the plaintiff's claims remain confusing and deeply flawed, amended versions little better than the previous, sometimes worse; leaving the applicants, even after many hours of painstaking review, trying to trace a logical line in and through the claims; afterwards still remaining doubtful about which specific claim might apply to which party, what relief the plaintiff sought; and against which defendant. Perusal of the pleadings reveals the difficulties. To figure out what it is the plaintiff claims as against them, and the relief she seeks, generous and sweeping assumptions have to be fully deployed without assurances the guesswork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some cases, a plaintiff's self-representation may call for a liberal reading of their pleadings; but not for the level of guesswork the defendants have had to engage in to gain a sense of what it is the plaintiff claims against them. The plaintiff does not lack education or intelligence; she should be able to state simply the basic facts required to state an actionable case. I found, however, she lacked not the ability to state the necessary facts for an action; rather, none of the facts she could assemble could support any action. What the plaintiff has done, effectively, is nominalise a series of unspecified possible actions against the defendants into a possible cause of action; for example: 'the defendants may have been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may be guilty of defamation; the defendants may have been guilty of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and so on. Based only on the pleadings' failure to conform either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or to Master McNaughton's order, the defendants are entitled to succeed and to see all the plaintiff's claims against them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Not only had the Master extended herself to assist the plaintiff. An arbitration and Labour Relations Board ("LRB") addressed the substance of the same complaints she evokes against the defendants. Throughout, the plaintiff had counsel, retained by the HSA, although not legally obliged to do so. A comprehensive arbitrated settlement was reached, with the plaintiff having the benefit of legal counsel's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Based on the foregoing, all the plaintiff's claims ought to be dismissed and summary judgment entered in all the defendants' favour. However, as the order is final, I have considered, and will address, the nature of the plaintiff's putative claims and the applicants' various extensive and scrupulous responses to them. Common to all the defendants' applications is the submission that the plaintiff has failed to adhere to the orders Master McNaughton made. There are also elements of redundancy in some aspects of the defendant's submissions - for example, on the point of this Court's lack of jurisdiction to hear the case. I have attempted to avoid redundancy; where it is necessary to focus on aspects more specific to an applicant's situation. The materials were voluminous; I will not mention all the points raised by the applicants and the plaintiff, which I have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defendants provided written outlines of their oral submissions, amply supported by documents and affidavits which summarize the nature and extent of the defendant's relevant dealings with the plaintiff. Their submissions and their supporting materials comply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and the governing principles I reviewed earlier at the start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conclusion of the hearing, pending reasons, I made an order to prohibit the plaintiff from taking any further steps in the litigation, enjoined against her commencing any new actions, and, as she intended to join additional parties also enjoined against her adding any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on the materials, the governing principles and authorities, all the defendants have succeeded.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turn now to the nature of the plaintiff's claims, and the reasons additional to the plaintiff's failure to comply with Master McNaughton's orders and to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why the defendants must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 OF THE HEALTH SCIENCES ASSOCIATION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General nature of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HSA characterizes the essence of the plaintiff's claims as ones that allege it failed to represent the plaintiff adequately on the following matters: termination of her employment by Revera/Holyrood Manor; suspension of her professional licence by the College of Registered Psychiatric Nurses of British Columbia (the "College"); and in its failure to secure a certain benefit said the plaintiff claims was owed her as a "displaced nurse". This last item refers to a settlement agreement reached between nursing unions and the provincial government. It entitled some nurses to financial compensation following a Supreme Court of Canada ruling against the provincial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a preliminary point of pleadings, the HSA points out the plaintiff does not allege in her further amended NCC 787 that the HSA represented her in her dealings with Simpson Hospital (another defendant, whose application will be considered further on in these reasons). In fact, the HSA was not certified to represent registered psychiatric nurses at the Simpson facility or other facilities operated by the defendant, Decker Management Ltd., and the HSA never represented her when she worked at its Simpson Manor facility. Further, although the plaintiff named Ridge Meadows Hospital &amp;/or Fraser Health Authority as defendants in her further amended NCC, she does not allege that the HSA represented her at Maple Ridge Meadows Hospital; and admits that neither Maple Ridge Meadows Hospital nor Fraser Health employed her.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Plaintiff's Collective Agreement grievance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as it relates to Holyrood Manor/Revera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filed three Collective Agreement grievances while she worked employed at Holyrood Manor. The last of these related to Holyrood's March 6, 2009 termination of her employment. About a week earlier, Holyrood filed its own formal complaint with the College, related to the alleged professional misconduct that had led to termination of her employment. On May 4, 2009, the College suspended her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HSA had no contractual obligation to become involved in matters related to professional discipline, which is the College's responsibility. But because the professional complaint to the College and the plaintiff's termination by Revera intersected somewhat, the HSA, following an internal informal discretionary practice, elected to retain counsel to assist the plaintiff at the College's hearing and at a subsequent LRB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July 2009, the plaintiff met with a representative of the HSA and her legal counsel to discuss a settlement agreement that contained certain conditions that would allow her to regain her licence to practice as a psychiatric nurse and become reinstated as a member of the College. On July 16, 2009, the plaintiff; her counsel, retained on her behalf by the HSA; representatives of the HSA; and Revera, the employer, attended a mediation/arbitration hearing on the plaintiff's Termination Grievance. Before the Arbitrator, they reached a settlement, signed and witnessed by the plaintiff, Holyrood Manor, the HSA, and Revera. It confirmed, among other things, that the plaintiff withdrew her Termination Grievance; the employer withdrew its termination notice; the plaintiff resigned her employment, effective July 16, 2009; would receive a lump sum payment of $20,000, less statutory deductions; and that the employer would provide her a neutral letter of reference. The settlement included a mutual release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hereby release one another from any and all liability with respect to any and all actions, claims, etc. which have arisen or may arise regarding the Grievor's employment with the Employer, including all claims arising under the Employment Standards Act or the Human Rights Code. The Grievor releases both the Employer and the Union [HSA] from any and all liability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settlement was carried out. The plaintiff ceased being a member of the HSA and, since then, she has not worked at a workplace where the HSA has certification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Significance of the plaintiff's grievance before the LRB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Despite the plaintiff's having signed a settlement agreement that paid her a $22,000 settlement, in September 2009, she went on to file a grievance against the HSA with the LRB. Her complaints fell under the general rubric of the HSA's duty to provide its members fair representation, as required of it by s. 12(1) of the </w:t>
      </w:r>
      <w:r>
        <w:rPr>
          <w:rFonts w:ascii="arial" w:eastAsia="arial" w:hAnsi="arial" w:cs="arial"/>
          <w:i/>
          <w:color w:val="000000"/>
          <w:sz w:val="20"/>
          <w:lang w:val="en-US" w:eastAsia="en-US" w:bidi="ar-SA"/>
        </w:rPr>
        <w:t>L.R. Code</w:t>
      </w:r>
      <w:r>
        <w:rPr>
          <w:rFonts w:ascii="arial" w:eastAsia="arial" w:hAnsi="arial" w:cs="arial"/>
          <w:color w:val="000000"/>
          <w:sz w:val="20"/>
          <w:lang w:val="en-US" w:eastAsia="en-US" w:bidi="ar-SA"/>
        </w:rPr>
        <w:t>. Her complaint consisted of two main parts: 1) The HSA's allegedly inadequate representation of her regarding the College's suspension of her professional licence and regarding her Collective Agreement grievance against Revera; and 2) to the HSA's alleged failure to represent her interests adequately with respect to the Bill 29 settlement. (As mentioned earlier, a settlement reached by the government and nursing labour unions allowed any nurse affected by parts of Bill 29 to seek compensation.) The plaintiff claimed her circumstances matched the definition of a displaced nurse under the settlement; and, in April 2009, she began asking for compensation. The HSA took the position the plaintiff's circumstances did not match the definition of a displaced nurse and that she was not eligible anyway because she failed to apply within the required time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LRB dismissed all the plaintiff's complaints on their merits, because her complaints were encompassed within her employment grievance, which she had settled, and because the duty the plaintiff said the HSA owed her fell outside the scope of its exclusive bargaining agency, thus not subject to s. 12 of the </w:t>
      </w:r>
      <w:r>
        <w:rPr>
          <w:rFonts w:ascii="arial" w:eastAsia="arial" w:hAnsi="arial" w:cs="arial"/>
          <w:i/>
          <w:color w:val="000000"/>
          <w:sz w:val="20"/>
          <w:lang w:val="en-US" w:eastAsia="en-US" w:bidi="ar-SA"/>
        </w:rPr>
        <w:t>L.R. Code</w:t>
      </w:r>
      <w:r>
        <w:rPr>
          <w:rFonts w:ascii="arial" w:eastAsia="arial" w:hAnsi="arial" w:cs="arial"/>
          <w:color w:val="000000"/>
          <w:sz w:val="20"/>
          <w:lang w:val="en-US" w:eastAsia="en-US" w:bidi="ar-SA"/>
        </w:rPr>
        <w:t xml:space="preserve">. The LRB further also dismissed the plaintiff's complaint that the HSA had acted in bad faith because it provided information from her personnel file to the College, the LRB's having noted two things; first, that s. 32.2)(2) of the </w:t>
      </w:r>
      <w:r>
        <w:rPr>
          <w:rFonts w:ascii="arial" w:eastAsia="arial" w:hAnsi="arial" w:cs="arial"/>
          <w:i/>
          <w:color w:val="000000"/>
          <w:sz w:val="20"/>
          <w:lang w:val="en-US" w:eastAsia="en-US" w:bidi="ar-SA"/>
        </w:rPr>
        <w:t>Health Professions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required the HSA to provide the information; second, that s. 12 of the </w:t>
      </w:r>
      <w:r>
        <w:rPr>
          <w:rFonts w:ascii="arial" w:eastAsia="arial" w:hAnsi="arial" w:cs="arial"/>
          <w:i/>
          <w:color w:val="000000"/>
          <w:sz w:val="20"/>
          <w:lang w:val="en-US" w:eastAsia="en-US" w:bidi="ar-SA"/>
        </w:rPr>
        <w:t>L.R. Code</w:t>
      </w:r>
      <w:r>
        <w:rPr>
          <w:rFonts w:ascii="arial" w:eastAsia="arial" w:hAnsi="arial" w:cs="arial"/>
          <w:color w:val="000000"/>
          <w:sz w:val="20"/>
          <w:lang w:val="en-US" w:eastAsia="en-US" w:bidi="ar-SA"/>
        </w:rPr>
        <w:t xml:space="preserve"> did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a further review, the LRB upheld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pleadings as they relate to the HSA</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NCC 786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agree with counsel for the HSA that the nature and extent of the plaintiff's claims against HSA are unclear and confusing; and that they appear to stem from matters related to the alleged inadequacies of the HSA's representation of the plaintiff. The claims against the HSA seem to be contained in paragraphs 6-7, 9-12, 17, 19, 21 and 25 of Part 1 of the amended NCC.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for the HSA accurately distilled the plaintiff's pleadings as follows:</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HSA may be responsible for economic interference, negligent actions omissions, tortious actions, and lost opportunity for the plaintiff when the Plaintiff was denied a Supreme Court settlement ruling for being a displaced nurse, and the HSA refused to acknowledge that the Plaintiff had a right to these funds or provided assistance to the Plaintiff in acquiring the funds (paras. 6-7 and 11);</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HSA failed to adequately represent the Plaintiff, or negligently representing the Plaintiff, with respect to her Termination Grievance, including causing an abuse of process, breach of natural justice and fundamental rights and freedoms under the </w:t>
      </w:r>
      <w:r>
        <w:rPr>
          <w:rFonts w:ascii="arial" w:eastAsia="arial" w:hAnsi="arial" w:cs="arial"/>
          <w:i/>
          <w:color w:val="000000"/>
          <w:sz w:val="20"/>
          <w:lang w:val="en-US" w:eastAsia="en-US" w:bidi="ar-SA"/>
        </w:rPr>
        <w:t>Charte</w:t>
      </w:r>
      <w:r>
        <w:rPr>
          <w:rFonts w:ascii="arial" w:eastAsia="arial" w:hAnsi="arial" w:cs="arial"/>
          <w:color w:val="000000"/>
          <w:sz w:val="20"/>
          <w:lang w:val="en-US" w:eastAsia="en-US" w:bidi="ar-SA"/>
        </w:rPr>
        <w:t xml:space="preserve"> r (paras. 11, 12, 13, 21, 25);</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HSA breached, or may have breached,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in particular, sections 2(b), 6(2b), 7, 8, 15, 31, 32, 52 (paras. 11, 17);</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HSA Failed to grieve Holyrood's alleged breaches of privacy when Holyrood provided confidential information to the College and Services Canada (paras. 10 and 11 and 19);</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HSA failed to obtain an injunction against Holyrood and the College for numerous breaches to pertaining legislation (para.11);</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allegations relating to the representation the Plaintiff received with respect to the suspension of her licence by the College (paras. 9, 10, and 11,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the HSA also points to paras. 5, 14, 15 and 24 which include additional vague allegations:</w:t>
      </w:r>
      <w:r>
        <w:rPr>
          <w:rFonts w:ascii="arial" w:eastAsia="arial" w:hAnsi="arial" w:cs="arial"/>
          <w:sz w:val="20"/>
          <w:lang w:val="en-US" w:eastAsia="en-US" w:bidi="ar-SA"/>
        </w:rPr>
        <w:cr/>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commission of tortious actions, breaches of the collective agreement, infringements of Charter rights and common law regarding the construction of the private contract (presumably the Settlement) and other actions;</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breach of fiduciary duties;</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Breaches of the terms of employment,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breaches of non delegable duties;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breaches of common law and legislation including the Charter of Rights and Freedoms, arbitrary treatment, high handed, oppressive and malicious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frequently uses the expression "may" when she refers to the defendants' impugned conduct. Part 2 of the Amended Statement of Claim, the 'relief sought' section, largely consists of a repetition of her allegations against the HSA. Examples of the nature of the relief sought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 2: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 xml:space="preserve">Against All Defendants: ruling and remedy for the following: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For all negligent actions and omissions, all torts, of the defendants that caused harm to the Plaintiff, including, but not limited to economic interference, dignitary tort, interference in being able to make important choices, interference in being able to mitigate damages.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For all possible Charter infringements that caused harm to the Plaintiff including: s. 2(b, d), s. 6(2b), s. 7, s .8,s. 15,s. 24(1,2), s. 31, s. 32, s. 52 with failure to infringe minimally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Of fines as set out under FIOPPA s. 74, s. 74.1; maximum amount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For breaches of fiduciary responsibility in all breaches of the terms of employment and other negligent actions and omissions including Charter infringements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For possible abuses of discretionary power and other torts including, but not limited to, economic interference, dignitary tort, interference with making important life choices, lost opportunity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For possible arbitrary treatment of the Plaintiff</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Plaintiff to be made whole, including direct and indirect losses of financial insolvency and accompanying dignitary tort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General, aggravated and punitive damages should the Court so find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Costs</w:t>
      </w:r>
    </w:p>
    <w:p>
      <w:pPr>
        <w:numPr>
          <w:numId w:val="43"/>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other costs and fees this Honourable court may see fit.)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 xml:space="preserve">Against Holyrood Manor and/or Health Sciences Association: Ruling and remedy for the following: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4"/>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on) Whether the private contract, '</w:t>
      </w:r>
      <w:r>
        <w:rPr>
          <w:rFonts w:ascii="arial" w:eastAsia="arial" w:hAnsi="arial" w:cs="arial"/>
          <w:color w:val="000000"/>
          <w:sz w:val="20"/>
          <w:u w:val="single"/>
          <w:lang w:val="en-US" w:eastAsia="en-US" w:bidi="ar-SA"/>
        </w:rPr>
        <w:t>Settlement Agreement</w:t>
      </w:r>
      <w:r>
        <w:rPr>
          <w:rFonts w:ascii="arial" w:eastAsia="arial" w:hAnsi="arial" w:cs="arial"/>
          <w:color w:val="000000"/>
          <w:sz w:val="20"/>
          <w:lang w:val="en-US" w:eastAsia="en-US" w:bidi="ar-SA"/>
        </w:rPr>
        <w:t xml:space="preserve">' is (binding, </w:t>
      </w:r>
      <w:r>
        <w:rPr>
          <w:rFonts w:ascii="arial" w:eastAsia="arial" w:hAnsi="arial" w:cs="arial"/>
          <w:color w:val="000000"/>
          <w:sz w:val="20"/>
          <w:u w:val="single"/>
          <w:lang w:val="en-US" w:eastAsia="en-US" w:bidi="ar-SA"/>
        </w:rPr>
        <w:t>legal</w:t>
      </w:r>
      <w:r>
        <w:rPr>
          <w:rFonts w:ascii="arial" w:eastAsia="arial" w:hAnsi="arial" w:cs="arial"/>
          <w:color w:val="000000"/>
          <w:sz w:val="20"/>
          <w:lang w:val="en-US" w:eastAsia="en-US" w:bidi="ar-SA"/>
        </w:rPr>
        <w:t xml:space="preserve">, and if not, possible apportionment of damages with aggravated and punitive damages should the Court find the Respondent's conduct reprehensible. Possible award) </w:t>
      </w:r>
      <w:r>
        <w:rPr>
          <w:rFonts w:ascii="arial" w:eastAsia="arial" w:hAnsi="arial" w:cs="arial"/>
          <w:color w:val="000000"/>
          <w:sz w:val="20"/>
          <w:u w:val="single"/>
          <w:lang w:val="en-US" w:eastAsia="en-US" w:bidi="ar-SA"/>
        </w:rPr>
        <w:t>remedy for possible</w:t>
      </w:r>
      <w:r>
        <w:rPr>
          <w:rFonts w:ascii="arial" w:eastAsia="arial" w:hAnsi="arial" w:cs="arial"/>
          <w:color w:val="000000"/>
          <w:sz w:val="20"/>
          <w:lang w:val="en-US" w:eastAsia="en-US" w:bidi="ar-SA"/>
        </w:rPr>
        <w:t xml:space="preserve"> Charter infringements s. 2b, s. 6(2b), s. 7, and s. 15, s. </w:t>
      </w:r>
      <w:r>
        <w:rPr>
          <w:rFonts w:ascii="arial" w:eastAsia="arial" w:hAnsi="arial" w:cs="arial"/>
          <w:color w:val="000000"/>
          <w:sz w:val="20"/>
          <w:u w:val="single"/>
          <w:lang w:val="en-US" w:eastAsia="en-US" w:bidi="ar-SA"/>
        </w:rPr>
        <w:t>24(1), s. 31(b), s. 28, s. 32, s. 52</w:t>
      </w:r>
      <w:r>
        <w:rPr>
          <w:rFonts w:ascii="arial" w:eastAsia="arial" w:hAnsi="arial" w:cs="arial"/>
          <w:color w:val="000000"/>
          <w:sz w:val="20"/>
          <w:lang w:val="en-US" w:eastAsia="en-US" w:bidi="ar-SA"/>
        </w:rPr>
        <w:t xml:space="preserve"> and a continuation </w:t>
      </w:r>
      <w:r>
        <w:rPr>
          <w:rFonts w:ascii="arial" w:eastAsia="arial" w:hAnsi="arial" w:cs="arial"/>
          <w:color w:val="000000"/>
          <w:sz w:val="20"/>
          <w:u w:val="single"/>
          <w:lang w:val="en-US" w:eastAsia="en-US" w:bidi="ar-SA"/>
        </w:rPr>
        <w:t>of court proceedings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Judgment on all matters pertaining to the statement of facts with damages, to be made whole bankruptcy, of Plaintiff's house, aggravated and punitive should the Court find the Repondent's conduct sufficiently below the acceptable standards, apportioned as this Honourable Court may seem just included with the following:) </w:t>
            </w:r>
          </w:p>
          <w:p>
            <w:pPr>
              <w:spacing w:line="24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[Editor's note: Text in brackets is struck out in the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5"/>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whether the plaintiff is entitled to receive the award money for the displacement </w:t>
      </w:r>
      <w:r>
        <w:rPr>
          <w:rFonts w:ascii="arial" w:eastAsia="arial" w:hAnsi="arial" w:cs="arial"/>
          <w:color w:val="000000"/>
          <w:sz w:val="20"/>
          <w:u w:val="single"/>
          <w:lang w:val="en-US" w:eastAsia="en-US" w:bidi="ar-SA"/>
        </w:rPr>
        <w:t>as set out in the SCC ruling in Health Services and Support-Facilities Subsector Bargaining Assn. v. BC and Nurse's Settlement Agreement,</w:t>
      </w:r>
      <w:r>
        <w:rPr>
          <w:rFonts w:ascii="arial" w:eastAsia="arial" w:hAnsi="arial" w:cs="arial"/>
          <w:color w:val="000000"/>
          <w:sz w:val="20"/>
          <w:lang w:val="en-US" w:eastAsia="en-US" w:bidi="ar-SA"/>
        </w:rPr>
        <w:t xml:space="preserve"> and if the respondents have committed (tortuous) tortious actions </w:t>
      </w:r>
      <w:r>
        <w:rPr>
          <w:rFonts w:ascii="arial" w:eastAsia="arial" w:hAnsi="arial" w:cs="arial"/>
          <w:color w:val="000000"/>
          <w:sz w:val="18"/>
          <w:lang w:val="en-US" w:eastAsia="en-US" w:bidi="ar-SA"/>
        </w:rPr>
        <w:t>[Editor's note: Text in brackets is struck out in the original.]</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displacement infringed on other Charter rights on the displace Plaintiff; perhaps Charter s. 6(2b), s. 7 s.15, with s. 24 (1), s. 31 (b), s. 32, s. 52 to apply.</w:t>
      </w:r>
    </w:p>
    <w:p>
      <w:pPr>
        <w:numPr>
          <w:numId w:val="45"/>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Judgment whether the similar displacement work situations warrant additional monies for Charter (Infractions) </w:t>
      </w:r>
      <w:r>
        <w:rPr>
          <w:rFonts w:ascii="arial" w:eastAsia="arial" w:hAnsi="arial" w:cs="arial"/>
          <w:color w:val="000000"/>
          <w:sz w:val="20"/>
          <w:u w:val="single"/>
          <w:lang w:val="en-US" w:eastAsia="en-US" w:bidi="ar-SA"/>
        </w:rPr>
        <w:t>infringements</w:t>
      </w:r>
      <w:r>
        <w:rPr>
          <w:rFonts w:ascii="arial" w:eastAsia="arial" w:hAnsi="arial" w:cs="arial"/>
          <w:color w:val="000000"/>
          <w:sz w:val="20"/>
          <w:lang w:val="en-US" w:eastAsia="en-US" w:bidi="ar-SA"/>
        </w:rPr>
        <w:t xml:space="preserve"> and breaches of the terms of agreement (collectivent) and </w:t>
      </w:r>
      <w:r>
        <w:rPr>
          <w:rFonts w:ascii="arial" w:eastAsia="arial" w:hAnsi="arial" w:cs="arial"/>
          <w:color w:val="000000"/>
          <w:sz w:val="20"/>
          <w:u w:val="single"/>
          <w:lang w:val="en-US" w:eastAsia="en-US" w:bidi="ar-SA"/>
        </w:rPr>
        <w:t>caused harm to the Plaintiff including: dignitary tort</w:t>
      </w:r>
      <w:r>
        <w:rPr>
          <w:rFonts w:ascii="arial" w:eastAsia="arial" w:hAnsi="arial" w:cs="arial"/>
          <w:color w:val="000000"/>
          <w:sz w:val="20"/>
          <w:lang w:val="en-US" w:eastAsia="en-US" w:bidi="ar-SA"/>
        </w:rPr>
        <w:t xml:space="preserve">, economic interference, </w:t>
      </w:r>
      <w:r>
        <w:rPr>
          <w:rFonts w:ascii="arial" w:eastAsia="arial" w:hAnsi="arial" w:cs="arial"/>
          <w:color w:val="000000"/>
          <w:sz w:val="20"/>
          <w:u w:val="single"/>
          <w:lang w:val="en-US" w:eastAsia="en-US" w:bidi="ar-SA"/>
        </w:rPr>
        <w:t>and interference in making important life choices</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Independent audit into the finances of both respondents with funds wrongfully deducted or not forwarded reallocated as the Court rules appropriate.) </w:t>
      </w:r>
      <w:r>
        <w:rPr>
          <w:rFonts w:ascii="arial" w:eastAsia="arial" w:hAnsi="arial" w:cs="arial"/>
          <w:color w:val="000000"/>
          <w:sz w:val="18"/>
          <w:lang w:val="en-US" w:eastAsia="en-US" w:bidi="ar-SA"/>
        </w:rPr>
        <w:t>[Editor's note: Text in brackets is struck out in the original.]</w:t>
      </w:r>
    </w:p>
    <w:p>
      <w:pPr>
        <w:spacing w:before="120" w:line="24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Judgment as to whether Holyrood and the College are responsible for trespass.) </w:t>
      </w:r>
      <w:r>
        <w:rPr>
          <w:rFonts w:ascii="arial" w:eastAsia="arial" w:hAnsi="arial" w:cs="arial"/>
          <w:color w:val="000000"/>
          <w:sz w:val="18"/>
          <w:lang w:val="en-US" w:eastAsia="en-US" w:bidi="ar-SA"/>
        </w:rPr>
        <w:t>[Editor's note: Text in brackets is struck out in the original.]</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committed torts in denying the Plaintiff the awarded funds; perhaps Charter s. 2(d), s. 6(2b), s. 7, s. 15, s. 24 (1), s. 31(b), s.32, s. 52 infringements as well as economic interference and dignitary tort.</w:t>
      </w:r>
    </w:p>
    <w:p>
      <w:pPr>
        <w:numPr>
          <w:numId w:val="46"/>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Whether (the) similar displacement work situations warrant the SCC (additional) award monies or other remedy for Charter infractions and breaches of the collective agreement causing dignitary tort and economic interference; possible Charter infringements: s. 2(</w:t>
      </w:r>
      <w:r>
        <w:rPr>
          <w:rFonts w:ascii="arial" w:eastAsia="arial" w:hAnsi="arial" w:cs="arial"/>
          <w:color w:val="000000"/>
          <w:sz w:val="20"/>
          <w:u w:val="single"/>
          <w:lang w:val="en-US" w:eastAsia="en-US" w:bidi="ar-SA"/>
        </w:rPr>
        <w:t>b</w:t>
      </w:r>
      <w:r>
        <w:rPr>
          <w:rFonts w:ascii="arial" w:eastAsia="arial" w:hAnsi="arial" w:cs="arial"/>
          <w:color w:val="000000"/>
          <w:sz w:val="20"/>
          <w:lang w:val="en-US" w:eastAsia="en-US" w:bidi="ar-SA"/>
        </w:rPr>
        <w:t xml:space="preserve">, d), 6(2b), s. 7, s. 15, s. 24(1), s. </w:t>
      </w:r>
      <w:r>
        <w:rPr>
          <w:rFonts w:ascii="arial" w:eastAsia="arial" w:hAnsi="arial" w:cs="arial"/>
          <w:color w:val="000000"/>
          <w:sz w:val="20"/>
          <w:u w:val="single"/>
          <w:lang w:val="en-US" w:eastAsia="en-US" w:bidi="ar-SA"/>
        </w:rPr>
        <w:t>31</w:t>
      </w:r>
      <w:r>
        <w:rPr>
          <w:rFonts w:ascii="arial" w:eastAsia="arial" w:hAnsi="arial" w:cs="arial"/>
          <w:color w:val="000000"/>
          <w:sz w:val="20"/>
          <w:lang w:val="en-US" w:eastAsia="en-US" w:bidi="ar-SA"/>
        </w:rPr>
        <w:t xml:space="preserve">, s.32, ((1b)) s. 52. </w:t>
      </w:r>
      <w:r>
        <w:rPr>
          <w:rFonts w:ascii="arial" w:eastAsia="arial" w:hAnsi="arial" w:cs="arial"/>
          <w:color w:val="000000"/>
          <w:sz w:val="20"/>
          <w:u w:val="single"/>
          <w:lang w:val="en-US" w:eastAsia="en-US" w:bidi="ar-SA"/>
        </w:rPr>
        <w:t>Severance and proper notice periods to be calculated as appropriate.</w:t>
      </w:r>
      <w:r>
        <w:rPr>
          <w:rFonts w:ascii="arial" w:eastAsia="arial" w:hAnsi="arial" w:cs="arial"/>
          <w:color w:val="000000"/>
          <w:sz w:val="20"/>
          <w:lang w:val="en-US" w:eastAsia="en-US" w:bidi="ar-SA"/>
        </w:rPr>
        <w:t xml:space="preserve"> </w:t>
      </w:r>
      <w:r>
        <w:rPr>
          <w:rFonts w:ascii="arial" w:eastAsia="arial" w:hAnsi="arial" w:cs="arial"/>
          <w:color w:val="000000"/>
          <w:sz w:val="18"/>
          <w:lang w:val="en-US" w:eastAsia="en-US" w:bidi="ar-SA"/>
        </w:rPr>
        <w:t>[Editor's note: Text in brackets is struck out in the original.]</w:t>
      </w:r>
    </w:p>
    <w:p>
      <w:pPr>
        <w:spacing w:before="120" w:line="24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w:t>
      </w:r>
      <w:r>
        <w:rPr>
          <w:rFonts w:ascii="arial" w:eastAsia="arial" w:hAnsi="arial" w:cs="arial"/>
          <w:color w:val="000000"/>
          <w:sz w:val="20"/>
          <w:u w:val="single"/>
          <w:lang w:val="en-US" w:eastAsia="en-US" w:bidi="ar-SA"/>
        </w:rPr>
        <w:t>Ruling and remedy for possible misappropriation of SCC awarded funds by the defendants; H.S.A. &amp;/or Holyrood (&amp;/or F.H.A.); perhaps unjust enrichment.</w:t>
      </w:r>
      <w:r>
        <w:rPr>
          <w:rFonts w:ascii="arial" w:eastAsia="arial" w:hAnsi="arial" w:cs="arial"/>
          <w:color w:val="000000"/>
          <w:sz w:val="20"/>
          <w:lang w:val="en-US" w:eastAsia="en-US" w:bidi="ar-SA"/>
        </w:rPr>
        <w:t xml:space="preserve">(Independent audit into the finances of both respondents with funds wrongfully deducted or not forwarded reallocated as the court rules appropriate) </w:t>
      </w:r>
      <w:r>
        <w:rPr>
          <w:rFonts w:ascii="arial" w:eastAsia="arial" w:hAnsi="arial" w:cs="arial"/>
          <w:color w:val="000000"/>
          <w:sz w:val="18"/>
          <w:lang w:val="en-US" w:eastAsia="en-US" w:bidi="ar-SA"/>
        </w:rPr>
        <w:t>[Editor's note: Text in brackets is struck out in the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and strikethrough in original.]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NCC 787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for amended Action S237887, it is not clear what, if anything, the plaintiff claims against the HSA in this action, or whether she even intended them to remain as a party in in it, silent as the pleadings are on those matters the plaintiff had raised against the HSA in NCC 786. The fact is, the HSA did not represent the plaintiff in her employment with the defendants Simpson Hospital and Ridge Meadows Hospital. The pleadings in Part 2 do not seek specific relief against the HSA, yet it remains a named defendant, caught up in the relief the plaintiff claims against all the defendants. Three representative examples of these claims are:</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Ruling and remedy of whether the dismissal was without just cause, and apportionment for severance;</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Ruling and remedy for possible tortious negligent actions and omissions, including fiduciary breaches, breaches of the terms of employment, and breaches of legislation the cause harm to the plaintiff;</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Ruling and remedy could possibly negligent participation and misstatements, perhaps defamatory in participating in an investigation into the Plaintiff's licence, perhaps an illegal activity.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LRB exclusive jurisdiction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agree with the HSA that the Court has no jurisdiction to dispose of the plaintiff's allegations regarding the Bill 29 settlement and the Termination Grievance. These are matters a panel of the LRB dealt with directly: see sections 82, 84(2), and 89 of the </w:t>
      </w:r>
      <w:r>
        <w:rPr>
          <w:rFonts w:ascii="arial" w:eastAsia="arial" w:hAnsi="arial" w:cs="arial"/>
          <w:i/>
          <w:color w:val="000000"/>
          <w:sz w:val="20"/>
          <w:lang w:val="en-US" w:eastAsia="en-US" w:bidi="ar-SA"/>
        </w:rPr>
        <w:t>L.R. Code</w:t>
      </w:r>
      <w:r>
        <w:rPr>
          <w:rFonts w:ascii="arial" w:eastAsia="arial" w:hAnsi="arial" w:cs="arial"/>
          <w:color w:val="000000"/>
          <w:sz w:val="20"/>
          <w:lang w:val="en-US" w:eastAsia="en-US" w:bidi="ar-SA"/>
        </w:rPr>
        <w:t>. And s. 101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 as provided in this Part, the decision or award of an arbitration board under this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is final and conclusive and is not open to question or review any court on any grounds whatsoever, and proceedings by or before an arbitration board must not be restrained by injunction, prohibition or other process or proceeding in a court and are not removable by </w:t>
      </w:r>
      <w:r>
        <w:rPr>
          <w:rFonts w:ascii="arial" w:eastAsia="arial" w:hAnsi="arial" w:cs="arial"/>
          <w:i/>
          <w:color w:val="000000"/>
          <w:sz w:val="20"/>
          <w:lang w:val="en-US" w:eastAsia="en-US" w:bidi="ar-SA"/>
        </w:rPr>
        <w:t>certiorari</w:t>
      </w:r>
      <w:r>
        <w:rPr>
          <w:rFonts w:ascii="arial" w:eastAsia="arial" w:hAnsi="arial" w:cs="arial"/>
          <w:color w:val="000000"/>
          <w:sz w:val="20"/>
          <w:lang w:val="en-US" w:eastAsia="en-US" w:bidi="ar-SA"/>
        </w:rPr>
        <w:t xml:space="preserve"> or otherwise into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essentials of the plaintiff's grievances arose from the "interpretation, application, administration or violation of the Collective Agreement" and accordingly, "must be dealt with by the dispute resolution process provided in the Collective Agreement and labour relations statutes and not by litigation in the courts": </w:t>
      </w:r>
      <w:r>
        <w:rPr>
          <w:rFonts w:ascii="arial" w:eastAsia="arial" w:hAnsi="arial" w:cs="arial"/>
          <w:i/>
          <w:color w:val="000000"/>
          <w:sz w:val="20"/>
          <w:lang w:val="en-US" w:eastAsia="en-US" w:bidi="ar-SA"/>
        </w:rPr>
        <w:t>Haight-Smith v. Neden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[2002] B.C.J. No. 375</w:t>
        </w:r>
      </w:hyperlink>
      <w:r>
        <w:rPr>
          <w:rFonts w:ascii="arial" w:eastAsia="arial" w:hAnsi="arial" w:cs="arial"/>
          <w:color w:val="000000"/>
          <w:sz w:val="20"/>
          <w:lang w:val="en-US" w:eastAsia="en-US" w:bidi="ar-SA"/>
        </w:rPr>
        <w:t>, (C.A.) [</w:t>
      </w:r>
      <w:r>
        <w:rPr>
          <w:rFonts w:ascii="arial" w:eastAsia="arial" w:hAnsi="arial" w:cs="arial"/>
          <w:i/>
          <w:color w:val="000000"/>
          <w:sz w:val="20"/>
          <w:lang w:val="en-US" w:eastAsia="en-US" w:bidi="ar-SA"/>
        </w:rPr>
        <w:t>Haight-Smith</w:t>
      </w:r>
      <w:r>
        <w:rPr>
          <w:rFonts w:ascii="arial" w:eastAsia="arial" w:hAnsi="arial" w:cs="arial"/>
          <w:color w:val="000000"/>
          <w:sz w:val="20"/>
          <w:lang w:val="en-US" w:eastAsia="en-US" w:bidi="ar-SA"/>
        </w:rPr>
        <w:t>],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If the dispute arises under the Collective Agreement, the jurisdiction to resolve it lies exclusively with the LRB, unless the disputed matter requires a remedy an arbitrator is not empowered to grant, or if it does not expressly or inferentially arise out of the Collective Agreement; only then does the court retain jurisdiction: Haight-Smith,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an apparent attempt to circumvent the jurisdictional hurdle, the plaintiff cast her pleadings in her further amended NCC somewhat differently than she did in previous pleadings. The matters raised maintain, nonetheless, the same essential s. 12 complaints the board disposed of. Further, in my view, the HSA correctly characterized the amended claims as an illegal collateral attack on the findings of the Review Panel: </w:t>
      </w:r>
      <w:r>
        <w:rPr>
          <w:rFonts w:ascii="arial" w:eastAsia="arial" w:hAnsi="arial" w:cs="arial"/>
          <w:i/>
          <w:color w:val="000000"/>
          <w:sz w:val="20"/>
          <w:lang w:val="en-US" w:eastAsia="en-US" w:bidi="ar-SA"/>
        </w:rPr>
        <w:t>R. v. Wilson</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Charter of Rights Claims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As related to Labour Relations Board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has not pleaded any facts against the HSA to support a cause of action for any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 claims the HSA's actions violated her rights under ss. 2(b), 6, 7, 8, and 15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that she is entitled to a remedy under s. 24.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-related allegations relate primarily to the Bill 28 settlement agreement and the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If a statutory tribunal such as the LRB has jurisdiction over the parties, the subject matter of the dispute, and is empowered to make the order sought, they are competent to grant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remedies, </w:t>
      </w:r>
      <w:r>
        <w:rPr>
          <w:rFonts w:ascii="arial" w:eastAsia="arial" w:hAnsi="arial" w:cs="arial"/>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As the LRB has exclusive jurisdiction over the parties and the subject matter, it is the correct venue for disposition of any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complaints the plaintiff may have.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Charter violations related to failing to grieve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At paras. 10 and 17 of the amended NCC 786, the plaintiff claims at paras. 10 and 17:</w:t>
      </w:r>
      <w:r>
        <w:rPr>
          <w:rFonts w:ascii="arial" w:eastAsia="arial" w:hAnsi="arial" w:cs="arial"/>
          <w:sz w:val="20"/>
          <w:lang w:val="en-US" w:eastAsia="en-US" w:bidi="ar-SA"/>
        </w:rPr>
        <w:cr/>
      </w:r>
    </w:p>
    <w:p>
      <w:pPr>
        <w:numPr>
          <w:numId w:val="50"/>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color w:val="000000"/>
          <w:sz w:val="20"/>
          <w:lang w:val="en-US" w:eastAsia="en-US" w:bidi="ar-SA"/>
        </w:rPr>
        <w:t>Employer and the Union</w:t>
      </w:r>
      <w:r>
        <w:rPr>
          <w:rFonts w:ascii="arial" w:eastAsia="arial" w:hAnsi="arial" w:cs="arial"/>
          <w:color w:val="000000"/>
          <w:sz w:val="20"/>
          <w:lang w:val="en-US" w:eastAsia="en-US" w:bidi="ar-SA"/>
        </w:rPr>
        <w:t xml:space="preserve"> may have (bargained in bad faith) </w:t>
      </w:r>
      <w:r>
        <w:rPr>
          <w:rFonts w:ascii="arial" w:eastAsia="arial" w:hAnsi="arial" w:cs="arial"/>
          <w:color w:val="000000"/>
          <w:sz w:val="20"/>
          <w:u w:val="single"/>
          <w:lang w:val="en-US" w:eastAsia="en-US" w:bidi="ar-SA"/>
        </w:rPr>
        <w:t>acted with malice, meaning to cause foreseeable harm to the Plaintiff</w:t>
      </w:r>
      <w:r>
        <w:rPr>
          <w:rFonts w:ascii="arial" w:eastAsia="arial" w:hAnsi="arial" w:cs="arial"/>
          <w:color w:val="000000"/>
          <w:sz w:val="20"/>
          <w:lang w:val="en-US" w:eastAsia="en-US" w:bidi="ar-SA"/>
        </w:rPr>
        <w:t xml:space="preserve"> by breaching the (collective agreement), terms of employment, rights of common law, the Freedom of Information and Protection of Privacy Act, the Health Professions Act, and infringed on the Charter rights of the plaintiff by providing confidential information to the College with similar breaches when confidential information was </w:t>
      </w:r>
      <w:r>
        <w:rPr>
          <w:rFonts w:ascii="arial" w:eastAsia="arial" w:hAnsi="arial" w:cs="arial"/>
          <w:color w:val="000000"/>
          <w:sz w:val="20"/>
          <w:u w:val="single"/>
          <w:lang w:val="en-US" w:eastAsia="en-US" w:bidi="ar-SA"/>
        </w:rPr>
        <w:t>also</w:t>
      </w:r>
      <w:r>
        <w:rPr>
          <w:rFonts w:ascii="arial" w:eastAsia="arial" w:hAnsi="arial" w:cs="arial"/>
          <w:color w:val="000000"/>
          <w:sz w:val="20"/>
          <w:lang w:val="en-US" w:eastAsia="en-US" w:bidi="ar-SA"/>
        </w:rPr>
        <w:t xml:space="preserve"> provided to Service Canada, Employment Insurance programs; Charter s. 2(b), s. 6 (2b), s. 7, S. 8, s. 15, s. 31, s. 32, s. 52 infringements. </w:t>
      </w:r>
      <w:r>
        <w:rPr>
          <w:rFonts w:ascii="arial" w:eastAsia="arial" w:hAnsi="arial" w:cs="arial"/>
          <w:color w:val="000000"/>
          <w:sz w:val="18"/>
          <w:lang w:val="en-US" w:eastAsia="en-US" w:bidi="ar-SA"/>
        </w:rPr>
        <w:t>[Editor's note: Text in brackets is struck out in the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College and H.S.A.</w:t>
      </w:r>
      <w:r>
        <w:rPr>
          <w:rFonts w:ascii="arial" w:eastAsia="arial" w:hAnsi="arial" w:cs="arial"/>
          <w:color w:val="000000"/>
          <w:sz w:val="20"/>
          <w:lang w:val="en-US" w:eastAsia="en-US" w:bidi="ar-SA"/>
        </w:rPr>
        <w:t xml:space="preserve"> constructed a document 'undertakings' that may be an illegal document; it provides for less than the minimum statutory requirement, and may include Charter infringements, s. 2(b), s. 6(2b,), s. 7, s. 15, s. 31, s. 32, s. 52 with failure to infringe minimally.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strikethrough and bold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HSA submits, as it seems, that the plaintiff appears to be alleging it breached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because it failed to grieve Holyrood's alleged disclosure of confidential information. That appears to be the only logical interpretation of the pleadings, in as much as the HSA did not disclose any information, either to the College or to Services Canada. The HSA further submits the plaintiff appears to allege it breached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because it failed to grieve Holyrood's alleged disclosure of confidential information. That appears to be the only logical interpretation of the pleadings on that point, also. But as the HSA did not disclose any information, either to the College or to Services Canada, the plaintiff has no basis for claiming a breach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by the HSA on those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any case, the HSA is not a government body, as the plaintiff submitted; and it did not exercise any authority given it by statute. I agree with the HSA, that even if it should have grieved a breach of the plaintiff's privacy, this would not constitute an exercise of authority entitling the plaintiff to invoke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w:t>
      </w:r>
      <w:r>
        <w:rPr>
          <w:rFonts w:ascii="arial" w:eastAsia="arial" w:hAnsi="arial" w:cs="arial"/>
          <w:i/>
          <w:color w:val="000000"/>
          <w:sz w:val="20"/>
          <w:lang w:val="en-US" w:eastAsia="en-US" w:bidi="ar-SA"/>
        </w:rPr>
        <w:t>Retail, Wholesale and Department Store Union, Local 580 [R.W.D.S.U.] v. Dolphin Delivery Ltd.</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[1986] S.C.J. No. 75</w:t>
        </w:r>
      </w:hyperlink>
      <w:r>
        <w:rPr>
          <w:rFonts w:ascii="arial" w:eastAsia="arial" w:hAnsi="arial" w:cs="arial"/>
          <w:color w:val="000000"/>
          <w:sz w:val="20"/>
          <w:lang w:val="en-US" w:eastAsia="en-US" w:bidi="ar-SA"/>
        </w:rPr>
        <w:t xml:space="preserve">, at paras. 34, 35, 39; </w:t>
      </w:r>
      <w:r>
        <w:rPr>
          <w:rFonts w:ascii="arial" w:eastAsia="arial" w:hAnsi="arial" w:cs="arial"/>
          <w:i/>
          <w:color w:val="000000"/>
          <w:sz w:val="20"/>
          <w:lang w:val="en-US" w:eastAsia="en-US" w:bidi="ar-SA"/>
        </w:rPr>
        <w:t>Re Baldwin and B.C. Government Employee's Union</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[1986] B.C.J. No. 3265</w:t>
        </w:r>
      </w:hyperlink>
      <w:r>
        <w:rPr>
          <w:rFonts w:ascii="arial" w:eastAsia="arial" w:hAnsi="arial" w:cs="arial"/>
          <w:color w:val="000000"/>
          <w:sz w:val="20"/>
          <w:lang w:val="en-US" w:eastAsia="en-US" w:bidi="ar-SA"/>
        </w:rPr>
        <w:t xml:space="preserve"> (S.C.), paras. 18-19.</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Inapplicability of Charter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any case, I cannot find any of the </w:t>
      </w:r>
      <w:r>
        <w:rPr>
          <w:rFonts w:ascii="arial" w:eastAsia="arial" w:hAnsi="arial" w:cs="arial"/>
          <w:i/>
          <w:color w:val="000000"/>
          <w:sz w:val="20"/>
          <w:lang w:val="en-US" w:eastAsia="en-US" w:bidi="ar-SA"/>
        </w:rPr>
        <w:t>Charte</w:t>
      </w:r>
      <w:r>
        <w:rPr>
          <w:rFonts w:ascii="arial" w:eastAsia="arial" w:hAnsi="arial" w:cs="arial"/>
          <w:color w:val="000000"/>
          <w:sz w:val="20"/>
          <w:lang w:val="en-US" w:eastAsia="en-US" w:bidi="ar-SA"/>
        </w:rPr>
        <w:t xml:space="preserve"> r sections cited by the plaintiff apply to her complaints. Section 2(b) protects individuals against government interference with a person's freedom of expression, as defined in </w:t>
      </w:r>
      <w:r>
        <w:rPr>
          <w:rFonts w:ascii="arial" w:eastAsia="arial" w:hAnsi="arial" w:cs="arial"/>
          <w:i/>
          <w:color w:val="000000"/>
          <w:sz w:val="20"/>
          <w:lang w:val="en-US" w:eastAsia="en-US" w:bidi="ar-SA"/>
        </w:rPr>
        <w:t>Irwin Toy Ltd. v. Québec (Attorney General)</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[1989] 1 S.C.R. 927</w:t>
        </w:r>
      </w:hyperlink>
      <w:r>
        <w:rPr>
          <w:rFonts w:ascii="arial" w:eastAsia="arial" w:hAnsi="arial" w:cs="arial"/>
          <w:color w:val="000000"/>
          <w:sz w:val="20"/>
          <w:lang w:val="en-US" w:eastAsia="en-US" w:bidi="ar-SA"/>
        </w:rPr>
        <w:t>, paras. 41-45. The plaintiff has not pleaded any facts, nor can any be conceived, to show any of the HSA's actions were intended to interfere with the plaintiff's ability to convey meaning, or that they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Section 6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deals with Canadian citizens' mobility rights, their right to live in any province and to pursue a livelihood in any province, not with barriers to mobility within a province. </w:t>
      </w:r>
      <w:r>
        <w:rPr>
          <w:rFonts w:ascii="arial" w:eastAsia="arial" w:hAnsi="arial" w:cs="arial"/>
          <w:i/>
          <w:color w:val="000000"/>
          <w:sz w:val="20"/>
          <w:lang w:val="en-US" w:eastAsia="en-US" w:bidi="ar-SA"/>
        </w:rPr>
        <w:t>McDermott v. Nackawic (Town)</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[1988] N.B.J. No 713</w:t>
        </w:r>
      </w:hyperlink>
      <w:r>
        <w:rPr>
          <w:rFonts w:ascii="arial" w:eastAsia="arial" w:hAnsi="arial" w:cs="arial"/>
          <w:color w:val="000000"/>
          <w:sz w:val="20"/>
          <w:lang w:val="en-US" w:eastAsia="en-US" w:bidi="ar-SA"/>
        </w:rPr>
        <w:t xml:space="preserve"> (C.A.). See also: </w:t>
      </w:r>
      <w:r>
        <w:rPr>
          <w:rFonts w:ascii="arial" w:eastAsia="arial" w:hAnsi="arial" w:cs="arial"/>
          <w:i/>
          <w:color w:val="000000"/>
          <w:sz w:val="20"/>
          <w:lang w:val="en-US" w:eastAsia="en-US" w:bidi="ar-SA"/>
        </w:rPr>
        <w:t>Law Society of Upper Canada v. Skapinker</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[1984] S.C.J. No. 18</w:t>
        </w:r>
      </w:hyperlink>
      <w:r>
        <w:rPr>
          <w:rFonts w:ascii="arial" w:eastAsia="arial" w:hAnsi="arial" w:cs="arial"/>
          <w:color w:val="000000"/>
          <w:sz w:val="20"/>
          <w:lang w:val="en-US" w:eastAsia="en-US" w:bidi="ar-SA"/>
        </w:rPr>
        <w:t xml:space="preserve">, para. 18. Further, as with her other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complaints, the plaintiff has not alleged any facts to show the HSA's actions, or those of any another defendant, infringed her mobility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for s. 7, which protects everyone's right to life, liberty and security of the person, and the right not to be deprived thereof except in accordance with the principles of fundamental justice; and s. 8, which provides "everyone has the right to be secure against unreasonable search and seizure"; and s. 15, which states each individual is equal before and under the law and has the right to equal protection and equal benefit of it without discrimination, the plaintiff did not plead any specific facts to show the HSA violated any of the plaintiff's rights under those sections. Accordingly, the plaintiff has not established she has standing to apply for relief under s. 24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Privacy breaches, the FOIPPA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plaintiff further alleges the HSA wrongly failed to grieve certain alleged breaches of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by Holyrood. The pleading does not specify what information Holyrood illegally disclosed, but the LRB panel decision refers to documents connected to the plaintiff's termination and given to the College by Holyrood and Service Canada. However, s. 32.2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32.2 (1) A registrant must report in writing to the registrar of another person's college if the registrant, on reasonable and probable grounds, believes that the continued practise of a designated health profession by the other person might constitute a danger to the public.</w:t>
      </w:r>
    </w:p>
    <w:p>
      <w:pPr>
        <w:numPr>
          <w:numId w:val="5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terminates the employment of another person,</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revokes, suspends or imposes restrictions on the privileges of another person, or</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dissolves a partnership or association with another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 belief described in subsection (1), the person must report this in writing to the registrar of the other person's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Further, s. 19 of the </w:t>
      </w:r>
      <w:r>
        <w:rPr>
          <w:rFonts w:ascii="arial" w:eastAsia="arial" w:hAnsi="arial" w:cs="arial"/>
          <w:i/>
          <w:color w:val="000000"/>
          <w:sz w:val="20"/>
          <w:lang w:val="en-US" w:eastAsia="en-US" w:bidi="ar-SA"/>
        </w:rPr>
        <w:t>Employment Insurance Regulations</w:t>
      </w:r>
      <w:r>
        <w:rPr>
          <w:rFonts w:ascii="arial" w:eastAsia="arial" w:hAnsi="arial" w:cs="arial"/>
          <w:color w:val="000000"/>
          <w:sz w:val="20"/>
          <w:lang w:val="en-US" w:eastAsia="en-US" w:bidi="ar-SA"/>
        </w:rPr>
        <w:t xml:space="preserve">, </w:t>
      </w:r>
      <w:hyperlink r:id="rId554" w:history="1">
        <w:r>
          <w:rPr>
            <w:rFonts w:ascii="arial" w:eastAsia="arial" w:hAnsi="arial" w:cs="arial"/>
            <w:i/>
            <w:color w:val="0077CC"/>
            <w:sz w:val="20"/>
            <w:u w:val="single"/>
            <w:shd w:val="clear" w:color="auto" w:fill="FFFFFF"/>
            <w:lang w:val="en-US" w:eastAsia="en-US" w:bidi="ar-SA"/>
          </w:rPr>
          <w:t>SOR/96-332</w:t>
        </w:r>
      </w:hyperlink>
      <w:r>
        <w:rPr>
          <w:rFonts w:ascii="arial" w:eastAsia="arial" w:hAnsi="arial" w:cs="arial"/>
          <w:color w:val="000000"/>
          <w:sz w:val="20"/>
          <w:lang w:val="en-US" w:eastAsia="en-US" w:bidi="ar-SA"/>
        </w:rPr>
        <w:t xml:space="preserve">, requires every employer to complete a record of employment. See also </w:t>
      </w:r>
      <w:r>
        <w:rPr>
          <w:rFonts w:ascii="arial" w:eastAsia="arial" w:hAnsi="arial" w:cs="arial"/>
          <w:i/>
          <w:color w:val="000000"/>
          <w:sz w:val="20"/>
          <w:lang w:val="en-US" w:eastAsia="en-US" w:bidi="ar-SA"/>
        </w:rPr>
        <w:t>Health Professions Designation Regulation</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B.C. Reg. 270/2008, s. 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plaintiff refers to s. 74 and 74.1 of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but these sections govern prosecutions by the Privacy Commission against offenders for specific offences such as making a false statement. Section 74.1(6) provides a time limit of one year for laying an information to commence a prosecution. The plaintiff, so far as the material shows, has not made a complaint.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 xml:space="preserve">Claims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plaintiff further alleges the HSA was negligent for refusing to represent her with respect to Holyrood's disclosure to Services Canada of confidential information. The plaintiff's pleadings fall well short of stating material facts which are essential to establish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She does not state the basis for a duty to care, how the defendant negligently performed the duty, and in what respect her injury was reasonably foreseeable and caused by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cannot simply allege the HSA acted in a negligent way and caused her injury. She must plead the facts that would show this. As the facts are well within the plaintiff's knowledge, this should be fairly easy for her to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Similarly, regarding the plaintiff's allegations of negligent representation in allowing a hearing to proceed on a hearsay basis, and "perhaps inadequate representation that may have caused harm to the plaintiff" and the HSA's failure to act when she complained about the lawyer's alleged lack of representation, she provides none of the essential facts required to establish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HSA. Again, these are not onerous requirements, as the facts fall uniquely within the plaintiff's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para. 25, of the amended NCC for Action 786 the plaintiff claims:</w:t>
      </w:r>
      <w:r>
        <w:rPr>
          <w:rFonts w:ascii="arial" w:eastAsia="arial" w:hAnsi="arial" w:cs="arial"/>
          <w:sz w:val="20"/>
          <w:lang w:val="en-US" w:eastAsia="en-US" w:bidi="ar-SA"/>
        </w:rPr>
        <w:cr/>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HSA had the responsibility to represent the Plaintiff in the above legal matters, including two instances when the union chose to hire a legal firm to provide that representation, and provided perfunctory service below the requisite standard of duty that caused the Plaintiff harm, and may have caused the Employer and H.S.A. unjust enrichment.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HSA points out (as mentioned earlier) it had no obligation to represent the plaintiff before the board and that it arranged for a lawyer to assist her only because suspension of her licence was linked to the College's termination of her licence. Of course, this would not relieve the retained lawyer from his professional obligations. But in that regard, the plaintiff states no facts that would reveal to the HSA the nature of counsel's failings that purportedly called for their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Further, as noted earlier in these reasons, the plaintiff executed an agreement of undertaking with the College that contained terms to reinstate her licence on certain conditions; paid the $22,000, compensation; and provided her a neutral letter of reference. Nowhere does the plaintiff claim her counsel or the HSA made negligent misrepresentations to her regarding the settlement agreement; let alone in what respects they were negligent and what harms they caused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Counsel for the HSA pointed as well to the plaintiff's general allegation against all the defendants that they are guilty of a breach of fiduciary duty. However, once again the plaintiff did not state the facts of any breaches committed by the HSA. For example, she has not pleaded any that allege how or where the HSA's position, duty and interests conflicted with her own, or prevented the advancement of some interest of the plaintiff. Neither does she state how the plaintiff was unduly influenced to sign the 'Agreement of Undertaking' that led to her licence being reinstated and other beneficial terms, what specific fiduciary duty the HSA owed, how it was breached; or how what appears to have been a beneficial arrangement and compromise of a disputed matter, harmed her interests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Finally in this first part, at para. 24, the plaintiff claims against all defendants: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Numerous breaches of the terms of employment and legislated rights of the Plaintiff</w:t>
      </w:r>
      <w:r>
        <w:rPr>
          <w:rFonts w:ascii="arial" w:eastAsia="arial" w:hAnsi="arial" w:cs="arial"/>
          <w:color w:val="000000"/>
          <w:sz w:val="20"/>
          <w:lang w:val="en-US" w:eastAsia="en-US" w:bidi="ar-SA"/>
        </w:rPr>
        <w:t xml:space="preserve">; repeated negligent actions and omissions and </w:t>
      </w:r>
      <w:r>
        <w:rPr>
          <w:rFonts w:ascii="arial" w:eastAsia="arial" w:hAnsi="arial" w:cs="arial"/>
          <w:color w:val="000000"/>
          <w:sz w:val="20"/>
          <w:u w:val="single"/>
          <w:lang w:val="en-US" w:eastAsia="en-US" w:bidi="ar-SA"/>
        </w:rPr>
        <w:t>breaches of</w:t>
      </w:r>
      <w:r>
        <w:rPr>
          <w:rFonts w:ascii="arial" w:eastAsia="arial" w:hAnsi="arial" w:cs="arial"/>
          <w:color w:val="000000"/>
          <w:sz w:val="20"/>
          <w:lang w:val="en-US" w:eastAsia="en-US" w:bidi="ar-SA"/>
        </w:rPr>
        <w:t xml:space="preserve"> non delegable duties may have breached the Plaintiff's rights of common law and as legislated including the Charter of Rights and Freedoms </w:t>
      </w:r>
      <w:r>
        <w:rPr>
          <w:rFonts w:ascii="arial" w:eastAsia="arial" w:hAnsi="arial" w:cs="arial"/>
          <w:color w:val="000000"/>
          <w:sz w:val="20"/>
          <w:u w:val="single"/>
          <w:lang w:val="en-US" w:eastAsia="en-US" w:bidi="ar-SA"/>
        </w:rPr>
        <w:t>may indicate arbitrary treatment, high handed and oppressive treatment towards the Plaintiff by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To the extent this allows the interpretation that this claims a breach by the HSA and the other defendants of a non-delegable duty, it does not specify which defendant or defendants is/are guilty of the breach and is/are not in compliance with the orders of Master McNaughton; not only in failing to specify which claim applies to which defendant, but also in failing to allege material facts that could support a cause of action for breach of non-delegable duty by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HSA's application is granted; the plaintiff's action against 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 OF THE COLLEGE OF REGISTERED PSYCHIATRIC NURSES OF BRITISH COLUMBIA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College applies to have the plaintiff's claim against it struck and/or dismissed pursuant to Rules 9-5 and 9-6, on the basis that the plaintiff's amended NCC filed March 8, 2013, does not disclose a cause of action; alternatively, there is no genuine issue to be tried. The College points out the plaintiff's current pleadings constitute her third versions. The main difference between actions 786 and 787 is that the plaintiff has sued Holyrood Manor for wrongful dismissal in 786 and in 787 but not Simpson Manor.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College also relies on the statutory immunity that s. 24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s. 1 of the </w:t>
      </w:r>
      <w:r>
        <w:rPr>
          <w:rFonts w:ascii="arial" w:eastAsia="arial" w:hAnsi="arial" w:cs="arial"/>
          <w:i/>
          <w:color w:val="000000"/>
          <w:sz w:val="20"/>
          <w:lang w:val="en-US" w:eastAsia="en-US" w:bidi="ar-SA"/>
        </w:rPr>
        <w:t>Disciplinary Authority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98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raise against the plaintiff's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College's statutory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Since October 17, 2008, the College has been the legally appointed regulator of psychiatric nurses in the province: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s.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Section 32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32(1) A person who wishes to make a complaint against a registrant must deliver the complaint in writing to the registrar.</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soon as practicable after receiving a complaint, the registrar must deliver to the inquiry committee a copy of the complaint, an assessment of the complaint and any recommendations of the registrar for the disposition of the complaint.</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(2), the registrar, if authorized by the board, may dismiss a complaint, or request that the registrant act as described in section 36(1), without reference to the inquiry committee if the registrar determines that the complaint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trivial, frivolous, vexatious, or made in bad faith,</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contain allegations that, if admitted or proven, would constitute a matter subject to investigation by the inquiry committee under section 33(4), or</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contains allegations that, if admitted or proven, would constitute a matter, other than a serious matter, subject to investigation by the inquiry committee under section 33(4).</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complaint is disposed of under subsection (3), the registrar must deliver a written report to the inquiry committee about the circumstances of the disposition.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disposition under subsection (3) is considered to be a disposition by the inquiry committee unless the inquiry committee gives the registrar written direction to proceed under subsection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Section 33(1)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empowers the Inquiry Committee to conduct an inquiry as soon as possible. Section 33(4) empowers it to investigate a registrant for various matters, including professional misconduct or unprofessional conduct. Section 33(5) requires the committee to request the registrant to provide it with any information the registrant believes the committee should consider, as the committee did in this instance.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Section 36 governs reprimands or remedial action consented to by the registrant. Section 36(1)(a) permits the committee to request an undertaking from the registrant not to repeat the conduct to which the matter relates. The plaintiff entered into a consent undertaking as set out in the Agreement of Undertaking mentioned earlier in these reasons. Accordingly, matters never proceeded to the point of a full-fledged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College registrar received a complaint from Holyrood Manor about the defendant on February 27, 2009, gave notice to the plaintiff on March 4, 2009, and an inspector was then duly appointed under ss. 27 and 28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He undertook an investigation of the complaint and reported to the College on April 28, 2010. On May 5, 2009, the plaintiff's Inquiry Committee invited the plaintiff and her counsel to make submissions at a pending May 5, 2009 Inquiry Committee meeting. There, the Inquiry Committee ordered an interim suspension, pursuant to s. 35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the plaintiff was notified of it that same day. As required by s. 35, which governs extraordinary remedies such as a registrant's suspension, the Inquiry Committee advised the plaintiff of her right to appeal her suspension to the Supreme Court, which she did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Two months later, the matter was resolved. The plaintiff consented to terms contained in the Agreement of Undertaking, which included her consent agreement that a consultant would assess her psychiatric nursing skills, at her expense. Meantime, the College lifted the interim suspension. A representative of the College and the plaintiff signed the Agreement of Undertaking on July 8, 2009. The plaintiff was represented by legal counsel throughout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never fulfilled her undertaking to undergo an assessment of her psychiatric nursing skills. Correspondence between the Chair of the Inquiry Committee and the plaintiff between September 25, 2009 and May 8, 2010 eventually led to the College Registrar to write the plaintiff pointing out she had not undergone the nursing skills assessment that formed part of her undertakings, had not paid her registration fees, had not completed various forms required to renew her registration as a psychiatric nurse; that she was therefore no longer a registrant, and that the complaint file was being closed. The registrar further advised the plaintiff that if she should wish to apply for registration in future, the Inquiry Committee would have to review her application. The College did not hear further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is noteworthy that the College agreed to pay the cost of the assessment of her psychiatric nursing skills in response to the plaintiff's advisement to the College on October 5, 2009, that she had not undergone the assessment because she could not afford the cost, which the College then agreed to pay.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Nature of complaints in Actions 786 and 787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Action 786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Like the other defendants, the College found it very difficult to make out the nature and extent of the plaintiff's complaints against it, either in NCC 786 or in NCC 787; and, of those complaints discernible, which of them were specifically directed at the College. The College reasonably suggests that against it, the plaintiff appears to have raised the following matters in 786:</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College may have been negligent in erring in judgment regarding the need for their actions;</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College may have failed to provide natural justice;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College failed to comply with its requirement of procedural fairness;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College breached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College acted without authority or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xml:space="preserve"> its enabling statute; and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other allegations related to the process of the College's dealing with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Part 2, as was the case with the plaintiff's claims against the HSA, the plaintiff mostly repeats allegations she made against the College in Part 1; and adds an allegation the College is vicariously liable for the actions of its investigator.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also claims the following relief specific to the College: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Judgment regarding the nursing licence of the plaintiff; reinstatement without restrictions and suspension, investigation, and letters of complaint [expunged] from file.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[Underline emphasis omitted.]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Action 787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Review of Action 787 does not clarify the claims the plaintiff made in 786, with which 787 is very similar. The plaintiff still focuses on procedural complaints, and on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infringement related to an undefined illegal search and seizure. Para. 11 of NCC 787 refers to "a separate action", presumably NCC 786.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As was the case with the HSA, allegations are also raised about a breach of fiduciary duty and breaches of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Paragraph 4 of the concise summary of the plaintiff's claim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College of Registered Psychiatric Nurses of B.C. may have committed repeated negligent actions and omissions regarding their authority under the Health Professions Act, Freedom of Information Act, knowledge of nursing contracts, and common law rights. The Union, H.S.A., failed to represent the plaintiff adequately concerning the College and the Respondent Hospitals.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Legal points and conclusions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College's statutory protections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Before briefly disposing of the plaintiff's individual claims, I should first note that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give the College statutory immunity from the plaintiff's claims, leaving no genuine issue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If,</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an Act a corporation is established having as one of its purposes the regulation of the profession or occupation practised or carried on by the members of the corporation, and</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disciplinary powers over the members of the corporation in respect of their conduct in the profession or occupation regulated are conferred by the Act on the corporation, or on any body of its members, or on any official or member of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liability is incurred by the corporation, or by any body of the members, or by any official or member of the corporation, or by any person retained as counsel, solicitor or agent by the corporation for any act or thing done in the exercise of the disciplinary powers conferred or in doing any act or thing in preparation for the exercise of those powers, unless the act or thing is done maliciously and without reasonable and probable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Section 15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Nurses (Registered Psychiatric) B.C. Regulation 285/2008 establish the College as a disciplinary corporation empowered to deal with disciplinary matters for registered psychiatric nurses. The plaintiff's claims relate directly to disciplinary matters and they engage the College's disciplinary powers: </w:t>
      </w:r>
      <w:r>
        <w:rPr>
          <w:rFonts w:ascii="arial" w:eastAsia="arial" w:hAnsi="arial" w:cs="arial"/>
          <w:i/>
          <w:color w:val="000000"/>
          <w:sz w:val="20"/>
          <w:lang w:val="en-US" w:eastAsia="en-US" w:bidi="ar-SA"/>
        </w:rPr>
        <w:t>Netupsky v. Association of Professional Engineers &amp; Geoscientists of British Columbia</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[2001] B.C.J. No. 1443</w:t>
        </w:r>
      </w:hyperlink>
      <w:r>
        <w:rPr>
          <w:rFonts w:ascii="arial" w:eastAsia="arial" w:hAnsi="arial" w:cs="arial"/>
          <w:color w:val="000000"/>
          <w:sz w:val="20"/>
          <w:lang w:val="en-US" w:eastAsia="en-US" w:bidi="ar-SA"/>
        </w:rPr>
        <w:t xml:space="preserve"> (S.C.), paras. 5, 7, and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College does not have statutory immunity when it acts in a malicious way, or without reasonable and probable cause, but the plaintiff has not alleged this, leaving no genuine issue for trial: </w:t>
      </w:r>
      <w:r>
        <w:rPr>
          <w:rFonts w:ascii="arial" w:eastAsia="arial" w:hAnsi="arial" w:cs="arial"/>
          <w:i/>
          <w:color w:val="000000"/>
          <w:sz w:val="20"/>
          <w:lang w:val="en-US" w:eastAsia="en-US" w:bidi="ar-SA"/>
        </w:rPr>
        <w:t>Allen v. College of Dental Surgeons of British Columbia</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[2005] B.C.J. No. 1285</w:t>
        </w:r>
      </w:hyperlink>
      <w:r>
        <w:rPr>
          <w:rFonts w:ascii="arial" w:eastAsia="arial" w:hAnsi="arial" w:cs="arial"/>
          <w:color w:val="000000"/>
          <w:sz w:val="20"/>
          <w:lang w:val="en-US" w:eastAsia="en-US" w:bidi="ar-SA"/>
        </w:rPr>
        <w:t xml:space="preserve"> (S.C.), paras.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extends immunity for actions or omissions in good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Immunity for acts or omissions in good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24(1) No action for damages lies or may be brought against a member of a board or a person acting on behalf of or under the direction of a board or college because of anything done or omitted in good faith</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performance or intended performance of any duty under this Act, or</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exercise or intended exercise of any power under this Act.</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absolve a college from vicarious liability for an act or omission for which it would be vicariously liable if this section were not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plaintiff has not pleaded any facts, per s. 24(2)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to support a claim it acted vicariously for any other party. Absent bad faith, which is not pleaded, anything the College had done or has failed to do when it carried out its powers of investigation and discipline is not actionable, and her claims against the College must be dismissed on those grounds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for the plaintiff's claims regarding the hearing process, these devolve to questions of procedural fairness or breaches of natural justice, which do not constitute a valid civil action. Remedies for such complaints fall within the realm of Administrative Law: </w:t>
      </w:r>
      <w:r>
        <w:rPr>
          <w:rFonts w:ascii="arial" w:eastAsia="arial" w:hAnsi="arial" w:cs="arial"/>
          <w:i/>
          <w:color w:val="000000"/>
          <w:sz w:val="20"/>
          <w:lang w:val="en-US" w:eastAsia="en-US" w:bidi="ar-SA"/>
        </w:rPr>
        <w:t>Monogram Properties Ltd. v. Etobicoke</w:t>
      </w:r>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(1996), 34 M.P.L.R. (2d) 48</w:t>
        </w:r>
      </w:hyperlink>
      <w:r>
        <w:rPr>
          <w:rFonts w:ascii="arial" w:eastAsia="arial" w:hAnsi="arial" w:cs="arial"/>
          <w:color w:val="000000"/>
          <w:sz w:val="20"/>
          <w:lang w:val="en-US" w:eastAsia="en-US" w:bidi="ar-SA"/>
        </w:rPr>
        <w:t xml:space="preserve"> (Ont. Gen. Div.), para. 18, cited in </w:t>
      </w:r>
      <w:r>
        <w:rPr>
          <w:rFonts w:ascii="arial" w:eastAsia="arial" w:hAnsi="arial" w:cs="arial"/>
          <w:i/>
          <w:color w:val="000000"/>
          <w:sz w:val="20"/>
          <w:lang w:val="en-US" w:eastAsia="en-US" w:bidi="ar-SA"/>
        </w:rPr>
        <w:t>Roeder v. Lang Michener Lawrence &amp; Shaw</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2007 BCCA 152</w:t>
        </w:r>
      </w:hyperlink>
      <w:r>
        <w:rPr>
          <w:rFonts w:ascii="arial" w:eastAsia="arial" w:hAnsi="arial" w:cs="arial"/>
          <w:color w:val="000000"/>
          <w:sz w:val="20"/>
          <w:lang w:val="en-US" w:eastAsia="en-US" w:bidi="ar-SA"/>
        </w:rPr>
        <w:t>, paras. 19-20. The plaintiff has not claimed that the College failed to comply with the requirements of its enabling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To the extent a most liberal reading makes possible, a claim for abuse of process, or one tainted by negligent action and omissions, the plaintiff does not state facts to establish the College proceeded with collateral or improper purpose, engaged in an act or made any threat, overt or otherwise, to further illegitimate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plaintiff did not plead any facts that would establish any of the essential elements of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discussed earlier the plaintiff's claims related to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when I discussed the application of the HSA. They have no application or merit here either. And, for much the same reasons as discussed earlier in the HSA's application, none of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against the College have any merit. Further, the plaintiff has not pleaded facts against the College that would establish any basis for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against it. Neither has she established any basis in her pleadings for either the presence of a fiduciary duty or a breach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summary, I find the plaintiff's claims, either individually or combined, do not disclose material facts to support any action against the College. Neither do they raise a genuine triable issue for trial. Further,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provide the College a complete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 OF DECKER MANAGEMENT LTD. &amp; SIMPSON HOSPITAL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Decker Management Ltd. is a company, owned by a soul shareholder, ("Decker"). It operates Simpson Hospital, before July 2008 known as Simpson Manor. It's licenced as a private hospital under Part Two of the </w:t>
      </w:r>
      <w:r>
        <w:rPr>
          <w:rFonts w:ascii="arial" w:eastAsia="arial" w:hAnsi="arial" w:cs="arial"/>
          <w:i/>
          <w:color w:val="000000"/>
          <w:sz w:val="20"/>
          <w:lang w:val="en-US" w:eastAsia="en-US" w:bidi="ar-SA"/>
        </w:rPr>
        <w:t>Hospital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200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worked for Decker as a registered psychiatric nurse, starting in 2005 on a casual basis; ending with her last shift on October 13, 2007; and on September 12, 2008, she was removed from the call-in list. As mentioned earlier, Simpson Manor was unionized. A collective agreement negotiated by the British Columbia Nurses Union (the "BCNU") and the Health Employers Association of British Columbia (the "HEABC"), of which Decker was a member, governed the terms and conditions of the plaintiff's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On March 5, 2009, Decker received a letter from the College advising that an inspector been appointed to investigate the professional conduct and practice of the plaintiff as a registered psychiatric nurse. The notice states any information it provided to the College during the investigation would be "subject to the conditions outlined in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Decker understood this to mean the College would treat disclosed information confidentially and, according to an affidavit sworn by Mr. I. Riesen, the chief financial and operating officer of Decker, its disclosure to the College would not constitute a breach of the</w:t>
      </w:r>
      <w:r>
        <w:rPr>
          <w:rFonts w:ascii="arial" w:eastAsia="arial" w:hAnsi="arial" w:cs="arial"/>
          <w:i/>
          <w:color w:val="000000"/>
          <w:sz w:val="20"/>
          <w:lang w:val="en-US" w:eastAsia="en-US" w:bidi="ar-SA"/>
        </w:rPr>
        <w:t xml:space="preserve"> FOIPPA</w:t>
      </w:r>
      <w:r>
        <w:rPr>
          <w:rFonts w:ascii="arial" w:eastAsia="arial" w:hAnsi="arial" w:cs="arial"/>
          <w:color w:val="000000"/>
          <w:sz w:val="20"/>
          <w:lang w:val="en-US" w:eastAsia="en-US" w:bidi="ar-SA"/>
        </w:rPr>
        <w:t>. The College's inspector questioned Mr. Riesen and other Decker representatives about the plaintiff's attendance on shifts. Decker says its sole motive in providing the requested information was to permit the College to discharge its supervisory and disciplinary obligations. The College's investigation was actually first initiated by a complaint filed by Holyrood Manor, another former employer of the plaintiff. As mentioned, the plaintiff's and Holyrood's grievances and the College's inquiry devolved into a consent agreement of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Decker aptly distills the plaintiff's allegations against it in para. 17 of its outline of submissions:</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Decker's participation in the investigation was wrongful and that its communication regarding her work history with the Inspector amounted, inter alia, to a breach of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defamation. Ms. McGregor also makes a number of other allegations that Decker failed to discharge its obligations to her under the Collective Agreement, including in connection with its termination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Decker submits all the claims related to the investigation should be dismissed or struck out on grounds any disclosure Decker made to the College during its investigation were made on an occasion of absolute privilege, or were otherwise protected by witness immunity. All other claims should be dismissed or struck because they fall within the exclusive jurisdiction of LRB and are outside the jurisdiction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agree with Decker that the combination of its immunity and its jurisdictional argument are sufficient to dispose of the plaintiff's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Jurisdictional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Decker relies on Rule 9-5 for striking the pleadings and Rule 21-8 for its position on jurisdiction. Decker filed its jurisdictional response September 4, 2012, after it had filed its response to the plaintiff's civil claim. Decker's jurisdiction defence is based on the subject matter of the dispute, not its territory. This is not a situation that may occur when a defendant asserts the court lacks territorial jurisdiction, but is found to have effectively attorned to it, depending on when it raises the jurisdictional point of law and other considerations. Decker does not dispute the territorial jurisdiction, as the plaintiff appears to have thought: territorial jurisdiction is not an issue, subject matter jurisdiction is. Further, even if Decker wanted to attorn to the Court's subject matter jurisdiction, it could not do so because such action would represent an attempt to frustrate the Legislature's intention to remove jurisdiction of the subject matter from the court, </w:t>
      </w:r>
      <w:r>
        <w:rPr>
          <w:rFonts w:ascii="arial" w:eastAsia="arial" w:hAnsi="arial" w:cs="arial"/>
          <w:i/>
          <w:color w:val="000000"/>
          <w:sz w:val="20"/>
          <w:lang w:val="en-US" w:eastAsia="en-US" w:bidi="ar-SA"/>
        </w:rPr>
        <w:t>Rothgiesser v. Rothgiesser</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[2000] O.J. No. 33</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It is appropriate for Decker to seek relief under Rule 9-5, as the plaintiff's claim falls outside the jurisdiction of the court; rendering the claim unreasonable within the meaning of Rule 9-5 (1)(a) or embarrassing, per (1)(c): </w:t>
      </w:r>
      <w:r>
        <w:rPr>
          <w:rFonts w:ascii="arial" w:eastAsia="arial" w:hAnsi="arial" w:cs="arial"/>
          <w:i/>
          <w:color w:val="000000"/>
          <w:sz w:val="20"/>
          <w:lang w:val="en-US" w:eastAsia="en-US" w:bidi="ar-SA"/>
        </w:rPr>
        <w:t>Sykes v. Langara College</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[1997] B.C.J. No. 1295</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Musqueam Indian Band v. British Columbia</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[1991] B.C.J. No. 2288</w:t>
        </w:r>
      </w:hyperlink>
      <w:r>
        <w:rPr>
          <w:rFonts w:ascii="arial" w:eastAsia="arial" w:hAnsi="arial" w:cs="arial"/>
          <w:color w:val="000000"/>
          <w:sz w:val="20"/>
          <w:lang w:val="en-US" w:eastAsia="en-US" w:bidi="ar-SA"/>
        </w:rPr>
        <w:t xml:space="preserve"> (S.C.), para.4.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 have already discussed the exclusive jurisdiction of LRB under the </w:t>
      </w:r>
      <w:r>
        <w:rPr>
          <w:rFonts w:ascii="arial" w:eastAsia="arial" w:hAnsi="arial" w:cs="arial"/>
          <w:i/>
          <w:color w:val="000000"/>
          <w:sz w:val="20"/>
          <w:lang w:val="en-US" w:eastAsia="en-US" w:bidi="ar-SA"/>
        </w:rPr>
        <w:t>L.R.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on collective agreements and other labour relations matters. But I will briefly canvas aspects of it here again, and include additional points amplified by Decker. What is stated here, applies there, and vice-versa.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Collective Agreement that governed the plaintiff's employment contained an arbitration provision; s. 84(2) of the </w:t>
      </w:r>
      <w:r>
        <w:rPr>
          <w:rFonts w:ascii="arial" w:eastAsia="arial" w:hAnsi="arial" w:cs="arial"/>
          <w:i/>
          <w:color w:val="000000"/>
          <w:sz w:val="20"/>
          <w:lang w:val="en-US" w:eastAsia="en-US" w:bidi="ar-SA"/>
        </w:rPr>
        <w:t>L.R.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requires it; stating that [a collective agreement] "must contain a provision governing dismissal or discipline of an employee bound by the agreement". The collective agreement gave either party the right to "refer any grievance, dispute or difference [unresolved through a grievance procedure] to a Board of Arbitration or a single arbitrator. Article 10.01 (B)-(C) of the Nurses' Collective Agreement states that any decision of the arbitrator "shall be final and binding upon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Supreme Court of Canada rejected jurisdiction models that would have labour arbitrators and Superior Courts share jurisdiction. It adopted an "exclusive jurisdiction" model.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referred to in the HSA's application, the court said at paras. 43 and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 The issue is not whether the action, defined legally, is independent of the collective agreement, but rather whether the dispute is one "arising under [the] collective agreement". Where the dispute, regardless of how it may be characterized legally, arises under the collective agreement, then the jurisdiction to resolve it lies exclusively with the labor tribunal and the courts cannot try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 The question in each case is whether the dispute, in its essential character, arises from the interpretation, application, administration or violation of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At para. 53, the court explained that an express provision dealing precisely with the dispute is not necessary and that the matter can arise under a collective agreement inferentially or by implication.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Decker takes the position, as did the HSA, both correctly, that the plaintiff's complaints against Decker relate to matters governed by the Collective Agreement and the exclusive jurisdiction of the LRB. The plaintiff effectively acknowledges the LRB's jurisdiction at para. 2 of her further amended claim, where she states that "Simpson Hospital may also be liable for breach of the terms of employment called the collective agreement". The plaintiff alleges, in effect, wrongful dismissal and other matters, all related to the manner in which Decker terminated her employment, which is governed by Article 15.04 and article 3 of the Collective Agreement; as an inclusion required by s. 84 of the </w:t>
      </w:r>
      <w:r>
        <w:rPr>
          <w:rFonts w:ascii="arial" w:eastAsia="arial" w:hAnsi="arial" w:cs="arial"/>
          <w:i/>
          <w:color w:val="000000"/>
          <w:sz w:val="20"/>
          <w:lang w:val="en-US" w:eastAsia="en-US" w:bidi="ar-SA"/>
        </w:rPr>
        <w:t>L.R. Code</w:t>
      </w:r>
      <w:r>
        <w:rPr>
          <w:rFonts w:ascii="arial" w:eastAsia="arial" w:hAnsi="arial" w:cs="arial"/>
          <w:color w:val="000000"/>
          <w:sz w:val="20"/>
          <w:lang w:val="en-US" w:eastAsia="en-US" w:bidi="ar-SA"/>
        </w:rPr>
        <w:t xml:space="preserve">. Further, as counsel for Decker points out, at para. 53 of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the court specifically identified allegations of "wrongful dismissal" and "constructive dismissal" as claims within the exclusive jurisdiction of the labour arbitrator.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Counsel noted that the plaintiff's amended claim has some of the Article numbers of the Collective Agreement struck through. She also slightly changed the wording of her claims from "employment contract, called the collective agreement," to "terms of employment called the collective agreement" These changes do not change the essential nature of the plaintiff's claims as ones arising from or under the Collective Agreement that governed her employment at all material times, as counsel stated it. Counsel also rightly noted that the same disputed matters that allegedly constitute breaches of the Collective Agreement form the basis for other causes of action: positing names of other causes of action does not transform the subject matter from one inside to one outside the jurisdiction of the LRB. Counsel stated the point well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set out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the plaintiff's attempts to obfuscate the nature of her Claim by striking through her references to the various Collective Agreement articles, or to claim the breaches of the Collective Agreement may also constitute other claims in tort or under statute does not somehow give the Court jurisdiction. It does not matter how claim is framed legally. If its substance or underlying factual matrix is a dispute arising under collective agreement, the agreement cannot be heard in this court.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Decker's immunity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general rule is clear that no action lies for defamatory statements contained in a document properly used in the course of proceedings before any court of justice or tribunal the law recognizes. The rule applies to tribunals exercising functions equivalent to courts of justice: </w:t>
      </w:r>
      <w:r>
        <w:rPr>
          <w:rFonts w:ascii="arial" w:eastAsia="arial" w:hAnsi="arial" w:cs="arial"/>
          <w:i/>
          <w:color w:val="000000"/>
          <w:sz w:val="20"/>
          <w:lang w:val="en-US" w:eastAsia="en-US" w:bidi="ar-SA"/>
        </w:rPr>
        <w:t>Sussman v. Eales</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(1985), 33 C.C.L.T. 156</w:t>
        </w:r>
      </w:hyperlink>
      <w:r>
        <w:rPr>
          <w:rFonts w:ascii="arial" w:eastAsia="arial" w:hAnsi="arial" w:cs="arial"/>
          <w:color w:val="000000"/>
          <w:sz w:val="20"/>
          <w:lang w:val="en-US" w:eastAsia="en-US" w:bidi="ar-SA"/>
        </w:rPr>
        <w:t xml:space="preserve"> (Ont. H.C.J.), pp. 157-8, appeal allowed in part </w:t>
      </w:r>
      <w:hyperlink r:id="rId564" w:history="1">
        <w:r>
          <w:rPr>
            <w:rFonts w:ascii="arial" w:eastAsia="arial" w:hAnsi="arial" w:cs="arial"/>
            <w:i/>
            <w:color w:val="0077CC"/>
            <w:sz w:val="20"/>
            <w:u w:val="single"/>
            <w:shd w:val="clear" w:color="auto" w:fill="FFFFFF"/>
            <w:lang w:val="en-US" w:eastAsia="en-US" w:bidi="ar-SA"/>
          </w:rPr>
          <w:t>(1986) 25 C.P.C. (2d) 7</w:t>
        </w:r>
      </w:hyperlink>
      <w:r>
        <w:rPr>
          <w:rFonts w:ascii="arial" w:eastAsia="arial" w:hAnsi="arial" w:cs="arial"/>
          <w:color w:val="000000"/>
          <w:sz w:val="20"/>
          <w:lang w:val="en-US" w:eastAsia="en-US" w:bidi="ar-SA"/>
        </w:rPr>
        <w:t xml:space="preserve"> (Ont. C.A.), as cited in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immunity will only be conferred upon a citizen complaining in a confidential way to a body created by statute. The court in </w:t>
      </w:r>
      <w:r>
        <w:rPr>
          <w:rFonts w:ascii="arial" w:eastAsia="arial" w:hAnsi="arial" w:cs="arial"/>
          <w:i/>
          <w:color w:val="000000"/>
          <w:sz w:val="20"/>
          <w:lang w:val="en-US" w:eastAsia="en-US" w:bidi="ar-SA"/>
        </w:rPr>
        <w:t>Sussman</w:t>
      </w:r>
      <w:r>
        <w:rPr>
          <w:rFonts w:ascii="arial" w:eastAsia="arial" w:hAnsi="arial" w:cs="arial"/>
          <w:color w:val="000000"/>
          <w:sz w:val="20"/>
          <w:lang w:val="en-US" w:eastAsia="en-US" w:bidi="ar-SA"/>
        </w:rPr>
        <w:t xml:space="preserve"> noted that a communication of that kind can hardly be said to be a publication of the kind that is apt to harm one's reputation in the community to a degree sufficient to attract an award of compensation, </w:t>
      </w:r>
      <w:r>
        <w:rPr>
          <w:rFonts w:ascii="arial" w:eastAsia="arial" w:hAnsi="arial" w:cs="arial"/>
          <w:i/>
          <w:color w:val="000000"/>
          <w:sz w:val="20"/>
          <w:lang w:val="en-US" w:eastAsia="en-US" w:bidi="ar-SA"/>
        </w:rPr>
        <w:t>Sussman</w:t>
      </w:r>
      <w:r>
        <w:rPr>
          <w:rFonts w:ascii="arial" w:eastAsia="arial" w:hAnsi="arial" w:cs="arial"/>
          <w:color w:val="000000"/>
          <w:sz w:val="20"/>
          <w:lang w:val="en-US" w:eastAsia="en-US" w:bidi="ar-SA"/>
        </w:rPr>
        <w:t xml:space="preserve">, pp. 159-60;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doctrine applies to statements made to a disciplinary body,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xml:space="preserve">, para. 8, citing </w:t>
      </w:r>
      <w:r>
        <w:rPr>
          <w:rFonts w:ascii="arial" w:eastAsia="arial" w:hAnsi="arial" w:cs="arial"/>
          <w:i/>
          <w:color w:val="000000"/>
          <w:sz w:val="20"/>
          <w:lang w:val="en-US" w:eastAsia="en-US" w:bidi="ar-SA"/>
        </w:rPr>
        <w:t>Lincoln v. Daniels</w:t>
      </w:r>
      <w:r>
        <w:rPr>
          <w:rFonts w:ascii="arial" w:eastAsia="arial" w:hAnsi="arial" w:cs="arial"/>
          <w:color w:val="000000"/>
          <w:sz w:val="20"/>
          <w:lang w:val="en-US" w:eastAsia="en-US" w:bidi="ar-SA"/>
        </w:rPr>
        <w:t xml:space="preserve">, [1961] 3 All E.R.740, p. 748. The immunity applies to any claim made on communications with the professional body, irrespective of how the plaintiff frames their claim: </w:t>
      </w:r>
      <w:r>
        <w:rPr>
          <w:rFonts w:ascii="arial" w:eastAsia="arial" w:hAnsi="arial" w:cs="arial"/>
          <w:i/>
          <w:color w:val="000000"/>
          <w:sz w:val="20"/>
          <w:lang w:val="en-US" w:eastAsia="en-US" w:bidi="ar-SA"/>
        </w:rPr>
        <w:t>Hung</w:t>
      </w:r>
      <w:r>
        <w:rPr>
          <w:rFonts w:ascii="arial" w:eastAsia="arial" w:hAnsi="arial" w:cs="arial"/>
          <w:color w:val="000000"/>
          <w:sz w:val="20"/>
          <w:lang w:val="en-US" w:eastAsia="en-US" w:bidi="ar-SA"/>
        </w:rPr>
        <w: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As discussed in the College's application,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is the College's governing legislation, empowering and obliging it to investigate complaints made against a registrant: s. 32(2), 33(1). The Inquiry Committee and the inquiry process set out in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constitute legislated stages of the College's disciplinary processes. The inspector appointed by the Inquiry Committee and their subsequent inspection is also an integral part of the disciplinary process, initiated at the College's discretion. It may lead, at the College's discretion and at its direction, to a settlement, as occurred here, or to the issue of a citation against the registrant and further disciplinary proceedings and hearings. The fact the College exercised its discretion through a settlement and stipulations the plaintiff was required to follow if she wished her licence to be reinstated does not in any way diminish the fact that the College at all material times was acting in its capacity as a professional disciplinary body, or render actionable communications between itself, Decker and others, from whom the inspector or other duly authorized person solicited and received information deemed relevant to the complaint and its investigation by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Decker is immune from any claim, howsoever constituted, related in any way to information it provided to the College at its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As for claims related to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I have disposed of that, generally, earlier. I agree with counsel for Decker that the plaintiff has not pleaded anything to show that it did anything more than comply with directions it received from the College in its Investigation Notice; and that its communications with the Inspector fully complied with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Personal Information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63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applies to Decker a private for profit extended care private hospital licenced under Part 2 of the </w:t>
      </w:r>
      <w:r>
        <w:rPr>
          <w:rFonts w:ascii="arial" w:eastAsia="arial" w:hAnsi="arial" w:cs="arial"/>
          <w:i/>
          <w:color w:val="000000"/>
          <w:sz w:val="20"/>
          <w:lang w:val="en-US" w:eastAsia="en-US" w:bidi="ar-SA"/>
        </w:rPr>
        <w:t>HA</w:t>
      </w:r>
      <w:r>
        <w:rPr>
          <w:rFonts w:ascii="arial" w:eastAsia="arial" w:hAnsi="arial" w:cs="arial"/>
          <w:color w:val="000000"/>
          <w:sz w:val="20"/>
          <w:lang w:val="en-US" w:eastAsia="en-US" w:bidi="ar-SA"/>
        </w:rPr>
        <w:t xml:space="preserve"> and does not meet the definitions of hospital set out in s. 1 of the </w:t>
      </w:r>
      <w:r>
        <w:rPr>
          <w:rFonts w:ascii="arial" w:eastAsia="arial" w:hAnsi="arial" w:cs="arial"/>
          <w:i/>
          <w:color w:val="000000"/>
          <w:sz w:val="20"/>
          <w:lang w:val="en-US" w:eastAsia="en-US" w:bidi="ar-SA"/>
        </w:rPr>
        <w:t>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Further, as set out in Mr. Riesen's affidavit, while Decker's agreement with the FHA is subject to the requirements of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the agreement also provides it does not apply to the Decker's information, documents, or records that relate solely to its internal labour and employment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Authorization similar to s. 33.1(1)(c) and (1) of the</w:t>
      </w:r>
      <w:r>
        <w:rPr>
          <w:rFonts w:ascii="arial" w:eastAsia="arial" w:hAnsi="arial" w:cs="arial"/>
          <w:i/>
          <w:color w:val="000000"/>
          <w:sz w:val="20"/>
          <w:lang w:val="en-US" w:eastAsia="en-US" w:bidi="ar-SA"/>
        </w:rPr>
        <w:t xml:space="preserve"> FOIPPA</w:t>
      </w:r>
      <w:r>
        <w:rPr>
          <w:rFonts w:ascii="arial" w:eastAsia="arial" w:hAnsi="arial" w:cs="arial"/>
          <w:color w:val="000000"/>
          <w:sz w:val="20"/>
          <w:lang w:val="en-US" w:eastAsia="en-US" w:bidi="ar-SA"/>
        </w:rPr>
        <w:t xml:space="preserve">, which authorizes disclosures to disciplinary bodies, is found at s. 18(1) of the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which authorizes disclosure of personal information without the consent of the individual if:</w:t>
      </w:r>
      <w:r>
        <w:rPr>
          <w:rFonts w:ascii="arial" w:eastAsia="arial" w:hAnsi="arial" w:cs="arial"/>
          <w:sz w:val="20"/>
          <w:lang w:val="en-US" w:eastAsia="en-US" w:bidi="ar-SA"/>
        </w:rPr>
        <w:cr/>
      </w:r>
    </w:p>
    <w:p>
      <w:pPr>
        <w:numPr>
          <w:numId w:val="6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is for the purpose of complying with a subpoena, warrant or order issued or made by a court, person or body with jurisdiction to compel the production of personal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disclosure is required or authorized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Accordingly, both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xml:space="preserve"> except disclosures authorized by law. Further, and as set out in s. 28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and as recited by the College in the Inspection Notice it sent to Decker, an inspector may, subject to limitations imposed on them by the Inquiry Committee, and without court order, "investigate, inquire into, inspect, observe or examine" records of the registrant related to their practice of her profession [as a psychiatric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short, the inspector was authorized to compel production of the information it sought from Decker; and no matter which privacy legislation Decker fell under, whether ss. 33(1)(c) and 33.1(1) of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or s. 18(1)(o) of </w:t>
      </w:r>
      <w:r>
        <w:rPr>
          <w:rFonts w:ascii="arial" w:eastAsia="arial" w:hAnsi="arial" w:cs="arial"/>
          <w:i/>
          <w:color w:val="000000"/>
          <w:sz w:val="20"/>
          <w:lang w:val="en-US" w:eastAsia="en-US" w:bidi="ar-SA"/>
        </w:rPr>
        <w:t>PIPA</w:t>
      </w:r>
      <w:r>
        <w:rPr>
          <w:rFonts w:ascii="arial" w:eastAsia="arial" w:hAnsi="arial" w:cs="arial"/>
          <w:color w:val="000000"/>
          <w:sz w:val="20"/>
          <w:lang w:val="en-US" w:eastAsia="en-US" w:bidi="ar-SA"/>
        </w:rPr>
        <w:t>; Decker was protected, disclosure of its employment information in its possession being for the purpose of the College's investigating of the plaintiff, a person whose professional practice it regulated, and in which capacity it had the right to obtain employment information from Decker, and Decker the obligation to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Defamation, Charter and other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 agree the plaintiff has not raised a genuine issue to be tried on the plaintiff's defamation claim. In addition, however, Decker also relies on a limitation defence. As noted elsewhere, briefly here again, the plaintiff is out of time on any claim for defamation, her NCCs having been filed more than two years after the alleged defamations; and also before June 1, 2013, hence governed by the 1996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not the 2013 version; see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S.B.C. 2012, c. 13, s. 30</w:t>
        </w:r>
      </w:hyperlink>
      <w:r>
        <w:rPr>
          <w:rFonts w:ascii="arial" w:eastAsia="arial" w:hAnsi="arial" w:cs="arial"/>
          <w:color w:val="000000"/>
          <w:sz w:val="20"/>
          <w:lang w:val="en-US" w:eastAsia="en-US" w:bidi="ar-SA"/>
        </w:rPr>
        <w:t>(3).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facts do not support any postponement of time. Section 6(3) does not include defamation actions as one that may benefit from a postponement of the running of time. In any case, the discoverability principle is concerned with the discovery of facts, not with "learning about the laws of tort or defamation". Section 6(4) provides:</w:t>
      </w:r>
      <w:r>
        <w:rPr>
          <w:rFonts w:ascii="arial" w:eastAsia="arial" w:hAnsi="arial" w:cs="arial"/>
          <w:sz w:val="20"/>
          <w:lang w:val="en-US" w:eastAsia="en-US" w:bidi="ar-SA"/>
        </w:rPr>
        <w:cr/>
      </w:r>
    </w:p>
    <w:p>
      <w:pPr>
        <w:numPr>
          <w:numId w:val="7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Further, the plaintiff has no prospect of success. As counsel points out, the plaintiff 'discovered' tort and other remedies on September 16, 2009, which is when she filed her complaints under s. 12 of the </w:t>
      </w:r>
      <w:r>
        <w:rPr>
          <w:rFonts w:ascii="arial" w:eastAsia="arial" w:hAnsi="arial" w:cs="arial"/>
          <w:i/>
          <w:color w:val="000000"/>
          <w:sz w:val="20"/>
          <w:lang w:val="en-US" w:eastAsia="en-US" w:bidi="ar-SA"/>
        </w:rPr>
        <w:t>L.R. Code</w:t>
      </w:r>
      <w:r>
        <w:rPr>
          <w:rFonts w:ascii="arial" w:eastAsia="arial" w:hAnsi="arial" w:cs="arial"/>
          <w:color w:val="000000"/>
          <w:sz w:val="20"/>
          <w:lang w:val="en-US" w:eastAsia="en-US" w:bidi="ar-SA"/>
        </w:rPr>
        <w:t xml:space="preserve"> and before the expiry of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As for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related claims, as discussed on the application of HSA, the plaintiff has not raised any genuine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to be tried. Furthermore,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apply to Decker: it does not perform government activities, such as carrying out a government program; it is as a private for profit company operating independently of government. See: </w:t>
      </w:r>
      <w:r>
        <w:rPr>
          <w:rFonts w:ascii="arial" w:eastAsia="arial" w:hAnsi="arial" w:cs="arial"/>
          <w:i/>
          <w:color w:val="000000"/>
          <w:sz w:val="20"/>
          <w:lang w:val="en-US" w:eastAsia="en-US" w:bidi="ar-SA"/>
        </w:rPr>
        <w:t>Eldridge v. British Columbia (Attorney General)</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[1997] 3 S.C.R. 624</w:t>
        </w:r>
      </w:hyperlink>
      <w:r>
        <w:rPr>
          <w:rFonts w:ascii="arial" w:eastAsia="arial" w:hAnsi="arial" w:cs="arial"/>
          <w:color w:val="000000"/>
          <w:sz w:val="20"/>
          <w:lang w:val="en-US" w:eastAsia="en-US" w:bidi="ar-SA"/>
        </w:rPr>
        <w:t xml:space="preserve">, paras. 44 and 53. See also: </w:t>
      </w:r>
      <w:r>
        <w:rPr>
          <w:rFonts w:ascii="arial" w:eastAsia="arial" w:hAnsi="arial" w:cs="arial"/>
          <w:i/>
          <w:color w:val="000000"/>
          <w:sz w:val="20"/>
          <w:lang w:val="en-US" w:eastAsia="en-US" w:bidi="ar-SA"/>
        </w:rPr>
        <w:t>Stoffman v. Vancouver General Hospital</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[1990] 3 S.C.R. 483</w:t>
        </w:r>
      </w:hyperlink>
      <w:r>
        <w:rPr>
          <w:rFonts w:ascii="arial" w:eastAsia="arial" w:hAnsi="arial" w:cs="arial"/>
          <w:color w:val="000000"/>
          <w:sz w:val="20"/>
          <w:lang w:val="en-US" w:eastAsia="en-US" w:bidi="ar-SA"/>
        </w:rPr>
        <w:t>. I agree with Decker that its activities were not sufficiently, governmental, if at all; and, more important, within the jurisdiction of the LRB.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summary: the plaintiff's claims fall within the jurisdiction of the LRB and this Court has no jurisdiction over them. Communications between Decker and the College are protected by absolute immunity.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does not apply to Decker and the occasion, purposes, and legal setting in which the information transmitted by Decker were legal, and it is fully protected from the plaintiff's claims. The plaintiff's defamation claims are out of time; there are no genuine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issues to be tried; the nature of Decker's operations and the relationship between the plaintiff and Decker fall outside the ambit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Further, the plaintiff's claims do not comply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or with the orders of Master McNaughton. There is no genuine issue to 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plaintiff's claims against Decker are struck and her case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HOLYROOD MANOR AND REVERA LONG TERM CARE INC.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previously mentioned, I will refer to Holyrood Manner and/or Revera Long Term Care Inc. as "Revera". Revera relies on Rules 21-8, 9-4, 9-5 and 9-7, and on the following assertions, a mix of fact and law, to support its application for dismissal of all the plaintiff's claims against it:</w:t>
      </w:r>
      <w:r>
        <w:rPr>
          <w:rFonts w:ascii="arial" w:eastAsia="arial" w:hAnsi="arial" w:cs="arial"/>
          <w:sz w:val="20"/>
          <w:lang w:val="en-US" w:eastAsia="en-US" w:bidi="ar-SA"/>
        </w:rPr>
        <w:cr/>
      </w:r>
    </w:p>
    <w:p>
      <w:pPr>
        <w:numPr>
          <w:numId w:val="7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court has no jurisdiction over the preceding;</w:t>
      </w:r>
    </w:p>
    <w:p>
      <w:pPr>
        <w:numPr>
          <w:numId w:val="7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signed a binding release on all claims against it relating to her employment;</w:t>
      </w:r>
    </w:p>
    <w:p>
      <w:pPr>
        <w:numPr>
          <w:numId w:val="7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are statute barred; and</w:t>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do not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As noted earlier, the plaintiff worked for Revera at its owned and operated Holyrood Manor long-term care facility in Maple Ridge, B.C. Revera hired the plaintiff in March 2002, as a casual relief employee. From there, she progressed to a full-time temporary position in September 2005. By September 2006 she became a full-time regular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stated in the affidavit of Anne McMillan, executive director of Holyrood Manor, sworn April 3, 2013, Revera terminated the plaintiff's employment for cause (initiating a change in the plaintiff's care plan contrary to the orders of her primary physician and without having assaulted other staff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was the case with Decker Management and Simpson Hospital, a Collective Agreement governed the plaintiff's employment with Revera; its provisions governed resolution of all employment disputes related to the plaintiff's employment and its termination. The plaintiff advanced complaints against Revera regarding certain deductions made regarding her pay. The Collective Agreement governs that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senior labor relations officer for the union wrote Revera on March 12, 2009, giving notice it intended to grieve the plaintiff's termination and Revera responded by denying the grievance. The plaintiff and Revera had the matter arbitrated pursuant to the terms of the Collective Agreement on July 16, 2009. They settled and entered into a Memorandum of Settlement, (not to be confused with the settlement reached with the College and the undertakings the plaintiff gave to undergo an independent assessment of her nursing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Memorandum of Agreement was signed by the plaintiff and a representative of Revera, on the following terms, mentioned earlier, set out again for ease of reference:</w:t>
      </w:r>
      <w:r>
        <w:rPr>
          <w:rFonts w:ascii="arial" w:eastAsia="arial" w:hAnsi="arial" w:cs="arial"/>
          <w:sz w:val="20"/>
          <w:lang w:val="en-US" w:eastAsia="en-US" w:bidi="ar-SA"/>
        </w:rPr>
        <w:cr/>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Union will withdraw its grievance;</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will resign her employment, effective July 16, 2009;</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Revera will pay the plaintiff $20,000, less statutory deductions;</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Revera will provide the plaintiff with a neutral reference letter; and</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Revera, the plaintiff, and the union, will release each other from any and all liability with respect to any and all claims and actions, which have arisen or may arise regarding the plaintiff's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As discussed in earlier sections of these Reasons, such as the section dealing with the HSA's application, after the plaintiff settled, she proceeded to file a complaint under s. 12 of the </w:t>
      </w:r>
      <w:r>
        <w:rPr>
          <w:rFonts w:ascii="arial" w:eastAsia="arial" w:hAnsi="arial" w:cs="arial"/>
          <w:i/>
          <w:color w:val="000000"/>
          <w:sz w:val="20"/>
          <w:lang w:val="en-US" w:eastAsia="en-US" w:bidi="ar-SA"/>
        </w:rPr>
        <w:t>L.R. Code</w:t>
      </w:r>
      <w:r>
        <w:rPr>
          <w:rFonts w:ascii="arial" w:eastAsia="arial" w:hAnsi="arial" w:cs="arial"/>
          <w:color w:val="000000"/>
          <w:sz w:val="20"/>
          <w:lang w:val="en-US" w:eastAsia="en-US" w:bidi="ar-SA"/>
        </w:rPr>
        <w:t xml:space="preserve"> on the HSA's handling of her dismissal grievance, s. 12 prohibiting, as it does, arbitrary, discriminatory or bad faith actions by the union in their representation of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After the LRB dismissed the complaint, the plaintiff applied for leave and reconsideration, which the LRB denied on December 16, 2009, finding the plaintiff's application failed to disclose a good arguable case containing reviewable error. It was on December 16, 2011, the two-year anniversary of the LRB's December 16, 2009 ruling, that the plaintiff filed her first NCC. In the plaintiff's further amended NCC March 8, 2013, at paras. 5, 6, 8, 9, 10, 12, 14, 15, 20, 24, the plaintiff alleges Revera "may" have acted negligently during her employment by:</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wrongfully dismissing her contrary to the terms of employment;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suspending her without notice in breach of the terms of her employment;</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biased investigation processes in breach of the terms of employment;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refer a perceived problem for internal assessment;</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comply with an order the arbitrator;</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yearly work evaluations, a term of employment;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remove past records of suspension, the term of employment;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remove the letter as ordered by the arbitrator;</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inappropriate deductions to the plaintiff's paycheck and settlement check;</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 proper payment to the plaintiff;</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proper severance;</w:t>
      </w:r>
    </w:p>
    <w:p>
      <w:pPr>
        <w:numPr>
          <w:numId w:val="9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displacing the plaintiff in breach of the terms of employment;</w:t>
      </w:r>
    </w:p>
    <w:p>
      <w:pPr>
        <w:numPr>
          <w:numId w:val="9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confidential information and laying a complaint with the College;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confidential information the College and Service Canada about the plaintiff without authorization and in breach of the terms of employment; and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inaccurate information to the College and EI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In its February 8, 2013 response, Revera filed a response and denied,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court's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Rule 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Rule 21-8(b) allows the court to dismiss or stay a proceeding on grounds it does not have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 have twice already discussed </w:t>
      </w:r>
      <w:r>
        <w:rPr>
          <w:rFonts w:ascii="arial" w:eastAsia="arial" w:hAnsi="arial" w:cs="arial"/>
          <w:i/>
          <w:color w:val="000000"/>
          <w:sz w:val="20"/>
          <w:lang w:val="en-US" w:eastAsia="en-US" w:bidi="ar-SA"/>
        </w:rPr>
        <w:t>Weber v. Ontario Hydro</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[1995] 2 S.C.R. 929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Webber v. Kelowna (City)</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2001 BCSC 189</w:t>
        </w:r>
      </w:hyperlink>
      <w:r>
        <w:rPr>
          <w:rFonts w:ascii="arial" w:eastAsia="arial" w:hAnsi="arial" w:cs="arial"/>
          <w:color w:val="000000"/>
          <w:sz w:val="20"/>
          <w:lang w:val="en-US" w:eastAsia="en-US" w:bidi="ar-SA"/>
        </w:rPr>
        <w:t xml:space="preserve">, and will not go over the principles those cases stand for here, except to briefly note again that in </w:t>
      </w:r>
      <w:r>
        <w:rPr>
          <w:rFonts w:ascii="arial" w:eastAsia="arial" w:hAnsi="arial" w:cs="arial"/>
          <w:i/>
          <w:color w:val="000000"/>
          <w:sz w:val="20"/>
          <w:lang w:val="en-US" w:eastAsia="en-US" w:bidi="ar-SA"/>
        </w:rPr>
        <w:t>Weber</w:t>
      </w:r>
      <w:r>
        <w:rPr>
          <w:rFonts w:ascii="arial" w:eastAsia="arial" w:hAnsi="arial" w:cs="arial"/>
          <w:color w:val="000000"/>
          <w:sz w:val="20"/>
          <w:lang w:val="en-US" w:eastAsia="en-US" w:bidi="ar-SA"/>
        </w:rPr>
        <w:t xml:space="preserve">, the Supreme Court held the plaintiff's tort action and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could not stand, as it was precluded by the terms of a Collective Agreement and the Ontario equivalent of the </w:t>
      </w:r>
      <w:r>
        <w:rPr>
          <w:rFonts w:ascii="arial" w:eastAsia="arial" w:hAnsi="arial" w:cs="arial"/>
          <w:i/>
          <w:color w:val="000000"/>
          <w:sz w:val="20"/>
          <w:lang w:val="en-US" w:eastAsia="en-US" w:bidi="ar-SA"/>
        </w:rPr>
        <w:t>L.R. Code</w:t>
      </w:r>
      <w:r>
        <w:rPr>
          <w:rFonts w:ascii="arial" w:eastAsia="arial" w:hAnsi="arial" w:cs="arial"/>
          <w:color w:val="000000"/>
          <w:sz w:val="20"/>
          <w:lang w:val="en-US" w:eastAsia="en-US" w:bidi="ar-SA"/>
        </w:rPr>
        <w:t>. The plaintiff's complaints against Revera are clearly governed by the Collective Agreement and fall within the jurisdiction of the LRB.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Counsel for Revera points out the court may grant leave for a point of law to be determined on summary hearing and then go on to determine that point of law upon finding it is in the interests of a just speedy and inexpensive determination and that the question can be decided on assumed facts that arise from the pleadings. </w:t>
      </w:r>
      <w:r>
        <w:rPr>
          <w:rFonts w:ascii="arial" w:eastAsia="arial" w:hAnsi="arial" w:cs="arial"/>
          <w:i/>
          <w:color w:val="000000"/>
          <w:sz w:val="20"/>
          <w:lang w:val="en-US" w:eastAsia="en-US" w:bidi="ar-SA"/>
        </w:rPr>
        <w:t>Nicholls v. Richmond (Township)</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(1983), 43 B.C.L.R. 162</w:t>
        </w:r>
      </w:hyperlink>
      <w:r>
        <w:rPr>
          <w:rFonts w:ascii="arial" w:eastAsia="arial" w:hAnsi="arial" w:cs="arial"/>
          <w:color w:val="000000"/>
          <w:sz w:val="20"/>
          <w:lang w:val="en-US" w:eastAsia="en-US" w:bidi="ar-SA"/>
        </w:rPr>
        <w: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Revera, Decker and the HSA meet the threshold test for summary disposition set out in </w:t>
      </w:r>
      <w:r>
        <w:rPr>
          <w:rFonts w:ascii="arial" w:eastAsia="arial" w:hAnsi="arial" w:cs="arial"/>
          <w:i/>
          <w:color w:val="000000"/>
          <w:sz w:val="20"/>
          <w:lang w:val="en-US" w:eastAsia="en-US" w:bidi="ar-SA"/>
        </w:rPr>
        <w:t>Blanco-Arriba v. British Columbia</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2001 BCSC 1557</w:t>
        </w:r>
      </w:hyperlink>
      <w:r>
        <w:rPr>
          <w:rFonts w:ascii="arial" w:eastAsia="arial" w:hAnsi="arial" w:cs="arial"/>
          <w:color w:val="000000"/>
          <w:sz w:val="20"/>
          <w:lang w:val="en-US" w:eastAsia="en-US" w:bidi="ar-SA"/>
        </w:rPr>
        <w:t>, paras. 20-31. The pleadings identify the facts that identifies the relevant point of law; the point of law asserted is that the plaintiff's employment with Revera was subject to the Collective Agreement; Revera HSA pleaded it and relies on it; and, even if the plaintiff's claims were true, those facts cannot support a claim if the court has no jurisdiction over them. Further, the point of law can be resolved without hearing evidence, as the existence of the Collective Agreement, standing alone, determines jurisdiction; and the court's answer to that question decides the litigation: if in the applicant's favour, the court must dismiss the plaintiff's claim. Finally, proceeding summarily will result in substantial cost savings.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Effects of the binding settlement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agree with Revera that a binding settlement agreement was reached between the parties on all matters relating to the plaintiff's employment with Revera. It encompassed not only matters transpired before the settlement, but also future claims. The plaintiff has not stated any facts to support the suggestion in her further amended NCC claims that the settlement agreement may be "illegal", a question which, anyway, is a matter for the arbitrator to determine. The LRB did so, in effect, after the plaintiff filed her complaint with it. The LRB determined the plaintiff signified her agreement with the settlement by signing it and that she was properly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 has never returned the $20,000 settlement she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 agree with counsel's submission that the plaintiff's claims against Revera are encompassed within the settlement agreement and settled by it, the LRB tribunal confirmed this, it has become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this court has no jurisdiction, which constitutes them an abuse of process under Rule 9-5(1)(d); and on that basis alone should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Limitation Act and breach of Charter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Revera also relies 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R.S.B.C. 1996, c. 266, s. 3(2); submitting that the two-year limitation period applies. Subsections (2) and (a) state:</w:t>
      </w:r>
      <w:r>
        <w:rPr>
          <w:rFonts w:ascii="arial" w:eastAsia="arial" w:hAnsi="arial" w:cs="arial"/>
          <w:sz w:val="20"/>
          <w:lang w:val="en-US" w:eastAsia="en-US" w:bidi="ar-SA"/>
        </w:rPr>
        <w:cr/>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(4)(k),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This would encompass all of what the plaintiff has set out in Part 2 of her Amended Notice of Civil Claim, "all negligent actions and omission, all torts of the defendants that caused harm to the plaintiff, including, but not limited to, economic interference, dignity tort", </w:t>
      </w:r>
      <w:r>
        <w:rPr>
          <w:rFonts w:ascii="arial" w:eastAsia="arial" w:hAnsi="arial" w:cs="arial"/>
          <w:i/>
          <w:color w:val="000000"/>
          <w:sz w:val="20"/>
          <w:lang w:val="en-US" w:eastAsia="en-US" w:bidi="ar-SA"/>
        </w:rPr>
        <w:t>Bush v. Vancouver (City)</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2006 BCSC 1207</w:t>
        </w:r>
      </w:hyperlink>
      <w:r>
        <w:rPr>
          <w:rFonts w:ascii="arial" w:eastAsia="arial" w:hAnsi="arial" w:cs="arial"/>
          <w:color w:val="000000"/>
          <w:sz w:val="20"/>
          <w:lang w:val="en-US" w:eastAsia="en-US" w:bidi="ar-SA"/>
        </w:rPr>
        <w:t xml:space="preserve">, para. 36;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2012 BCSC 177</w:t>
        </w:r>
      </w:hyperlink>
      <w:r>
        <w:rPr>
          <w:rFonts w:ascii="arial" w:eastAsia="arial" w:hAnsi="arial" w:cs="arial"/>
          <w:color w:val="000000"/>
          <w:sz w:val="20"/>
          <w:lang w:val="en-US" w:eastAsia="en-US" w:bidi="ar-SA"/>
        </w:rPr>
        <w:t>, paras. 29 and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With respect to the plaintiff's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claims, these can be disposed of by their lack of factual correspondence with the intentions of the various sections the plaintiff asserts; further, by the court's lack of jurisdiction, the Release the plaintiff signed includes all claims, and Holyrood's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Further, for the reasons already given in the section dealing with Decker's application,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does not apply to Revera.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plaintiff's claim against Revera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APPLICATION OF FRASER HEALTH AUTHORITY AND MEADOW RIDGE HOSPITAL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FHA provides a wide variety of health services on both sides of the Fraser River. They include hospitals, health clinics, residential care, assisted living homes, and community health care centres. It seeks dismissal of the plaintiff's amended NCC, (Action 787) under Rule 9-5(1) because it fails to disclose a reasonable cause of action against it, and under Rule 9-6 because they reveal no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will not repeat the FHA's complaints regarding the shortcomings in the plaintiff's pleadings as they cover the same ground as do the other parties' submissions, and with the same accepted justification.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Similarly with the College and the other defendants, the plaintiff's claims against the FHA relate primarily to their alleged involvement in the events that led to the plaintiff's dismissal from her employment at Holyrood Manor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At para 14, Part 2 of her further amended NCC 787, the plaintiff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hospital representatives made several misleading and negligent statements pertaining to the Plaintiff which may be defamation, discrimination, innuendo, altered, and misleading, meant to cause harm to the Plaintiff. [Underline emphasis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summarizes her claims against the defendants, including the FHA, in paras. 3 to 11 of NCC 787. I have referred to some of these earlier, and will not recite all of them here, but will select types representative of them:</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torts...: duty to minimize, duty of standard, duty of care, breaches to the terms of employment, common law, including equity, duty to provide warning, due diligence, arbitrary treatment, the Health Professions Act, and the Freedom of Information and Protection of Privacy Act ...</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breaches of fiduciary responsibility and breaches of terms of employment ...</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breaches of natural justice and the fundamental rights and freedoms of the plaintiff ...</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Charter infringements.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pleadings do not disclose a reasonable basis for a cause of action against FHA: no alleged facts to show that it owed the plaintiff duty of care; and if so, in what regards; or the existence or nature of any loss caused to the plaintiff. The plaintiff has not stated a factual basis to show that the FHA may be vicariously liable for any negligent actions or omissions caused by a hospital or a health care facility operating under FHA's authority, as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has not stated how the FHA's participation in a legal inquiry constituted a breach of a duty of care owed the FHA to the plaintiff. She has not stated facts supporting the existence or nature of a fiduciary obligation owed her by the FHA or why, and in what respects the FHA should be liable for the acts or omissions of Simpson Hospital and Decker Management. And, the plaintiff's assertions that Simpson Hospital and/or Decker are facilities allowed to operate under the auspices of the FHA is incorrect; and, standing alone, form no basis for a claim that would make the FHA liable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As for the plaintiff's claim that the FHA and the HSA defamed her, presumably through the participation of a representative of Ridge Meadows Hospital in the investigation, thus transmitting "possibly" defamatory statements about her; nowhere does the plaintiff recount the utterance or writing of specific words that would tend to lower her reputation in the eyes of a reasonable person: </w:t>
      </w:r>
      <w:r>
        <w:rPr>
          <w:rFonts w:ascii="arial" w:eastAsia="arial" w:hAnsi="arial" w:cs="arial"/>
          <w:i/>
          <w:color w:val="000000"/>
          <w:sz w:val="20"/>
          <w:lang w:val="en-US" w:eastAsia="en-US" w:bidi="ar-SA"/>
        </w:rPr>
        <w:t>Shannon v. King</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[1931] B.C.J. No. 74</w:t>
        </w:r>
      </w:hyperlink>
      <w:r>
        <w:rPr>
          <w:rFonts w:ascii="arial" w:eastAsia="arial" w:hAnsi="arial" w:cs="arial"/>
          <w:color w:val="000000"/>
          <w:sz w:val="20"/>
          <w:lang w:val="en-US" w:eastAsia="en-US" w:bidi="ar-SA"/>
        </w:rPr>
        <w:t xml:space="preserve"> (C.A.), para. 2. Nor does the plaintiff state the medium through which the words alleged were communicated, when, through whom, or the nature and extent of any damages flowing from any words allegedly defamatory. Further, to the extent that representatives of the College questioned employees of the FHA, they did so in their capacity as a member of the College, and absent allegations of bad faith, such statements made in the context of an investigation are not actionable, for much the same reasons as were discussed in the section dealing with Decker's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Just as with the plaintiff's claims against the other defendants, breach of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various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breaches, abuse of process, bad faith bargaining, various torts, including dignitary tort, breaches of natural justice and so on, the findings made with respect to the other defendants apply equally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also agree with the FHA that, even on the most generous reading of the further amended NCC, the plaintiff has not provided any factual or legal basis for her claims against it: in effect, the plaintiff alleges that a Ridge Meadows Hospital representative participated in a legal investigation, but without any facts alleged to support a cause of action against the FHA.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plaintiff's claim must be struck under Rule 9-5 and 9-6. She has not established a cause of action, there is no meritorious claim that deserves to be heard, the claims are unsound in every respect required and the FHA's answers to it are decisive. Further, the facts pleaded do not provide a basis for any genuine issue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plaintiff's pleadings are struck and the FHA, together with all the defendants is entitled to summary judgment, dismissal of all the plaintiff's claims against it. The claim against Ridge Meadows Hospital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IX.</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 ALL APPLICATIONS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All the defendant applicants are entitled to the orders sought, including summary judgment and dismissal under Rule 9-7. To this point, I have not commented on the suitability of summary judgment and shall do that do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 was able on the whole of the evidence to find facts necessary to decide issues of fact or law. The facts relating to the legal defences of jurisdiction (immunity, limitation, contractual release, and the </w:t>
      </w:r>
      <w:r>
        <w:rPr>
          <w:rFonts w:ascii="arial" w:eastAsia="arial" w:hAnsi="arial" w:cs="arial"/>
          <w:i/>
          <w:color w:val="000000"/>
          <w:sz w:val="20"/>
          <w:lang w:val="en-US" w:eastAsia="en-US" w:bidi="ar-SA"/>
        </w:rPr>
        <w:t>FOIPPA</w:t>
      </w:r>
      <w:r>
        <w:rPr>
          <w:rFonts w:ascii="arial" w:eastAsia="arial" w:hAnsi="arial" w:cs="arial"/>
          <w:color w:val="000000"/>
          <w:sz w:val="20"/>
          <w:lang w:val="en-US" w:eastAsia="en-US" w:bidi="ar-SA"/>
        </w:rPr>
        <w:t xml:space="preserve">, are straightforward and are not disputable. Furthermore, the plaintiff has not pleaded facts that would render the defendants liable in law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in trust, or in tort, or in any other form of legal action. As stated earlier in these reasons, the plaintiff cannot particularize an actionable claim not for want of ability, but for want of having any facts that would form an actionable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 further find not only that it would not be unjust to the plaintiff to decide the issues on summary hearing, but grossly unjust to the defendants not to do so, considering the modest amounts involved, generously assuming the highly unlikely event of their ever being awarded; the costs already incurred, which have been and will be even more so in future, wholly disproportionate to the complexity and confusing nature of the allegations; and further considering the number of parties, to which the plaintiff intended to join others. Any trial would be very long and drawn out, especially given the ambiguous and poorly particularized nature of the plaintiff's claims, and considering how long it has taken to get to this stage, still without pleadings in actionable or answerable form: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[1988] B.C.J. 1025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None of the matters raised by the plaintiff in her oral submissions address the substance of the applications. She has received and kept the settlement funds, all matters have been addressed by the LRB and the Release she signed, and there are no genuine claims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defendants are entitled to costs. The plaintiff's financial circumstances may have to be considered, but in principle, the defendants are entitled to an order of costs. I grant leave to the parties to submit brief written submissions, not to exceed two pages, spaced 1.5, within 21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interim order I made during the hearing stands and forms part of the final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McInnes v. Lenz, [2018] B.C.J. No. 3342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Choi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25-27,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M151932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3342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1727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39 M.V.R. (7th) 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2647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Janine McInnes, Plaintiff, and Grant Roger Lenz, South Coast British Columbia Transportation Authority and Coast Mountain Bus Company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jc w:val="both"/>
        <w:rPr>
          <w:rFonts w:ascii="arial" w:eastAsia="arial" w:hAnsi="arial" w:cs="arial"/>
          <w:sz w:val="20"/>
          <w:lang w:val="en-US" w:eastAsia="en-US" w:bidi="ar-SA"/>
        </w:rPr>
      </w:pPr>
      <w:bookmarkStart w:id="197" w:name="Counsel_27"/>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1"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Nairne, M. Burtini.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O. Gavrilova.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8" w:name="Judgment_27"/>
      <w:bookmarkEnd w:id="198"/>
      <w:r>
        <w:pict>
          <v:line id="_x0000_s1162" style="position:absolute;z-index:2517381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9" w:name="G. CHOI J. (orally)"/>
            <w:bookmarkEnd w:id="199"/>
            <w:r>
              <w:rPr>
                <w:rFonts w:ascii="arial" w:eastAsia="arial" w:hAnsi="arial" w:cs="arial"/>
                <w:b/>
                <w:color w:val="000000"/>
                <w:sz w:val="30"/>
                <w:lang w:val="en-US" w:eastAsia="en-US" w:bidi="ar-SA"/>
              </w:rPr>
              <w:t>G. CHOI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is about the relevant standard of care for a bus driver operating his vehicle. Specifically, the issue in this case is whether or not the defendant Mr. Lenz is liable for the injuries suffered by the plaintiff, Ms. McInnes.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5, 2013, the plaintiff boarded a bus driven by Mr. Lenz on her way to work. While riding the bus, the plaintiff fell as a result of a sudden movement of the vehicle. The plaintiff seeks damages for the injuries she suffered as a result of the fall. She claims that the impact of the injuries has persisted and affected her prospective income-earning and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submits that she fell as a result of a sudden and powerful acceleration by Mr. Lenz. She claims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Lenz and vicariously by his employers, the South Coast British Columbia Transportation Authority and the Coast Mountain Bus Company. Specifically, the plaintiff claims that her fall was a result of the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abruptly braking the vehicle without a warning or ensuring that she was safely seated.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argue that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part of Mr. Lenz and the plaintiff's case ought to be dismissed. Liability and quantum have been severed. This decision only relates to liability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approximately 51 years old and has no disabilities. She is employed as a legal assistant at a law firm, where she was working at the time of the incident. She is a regular bus passenger and often takes the bus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Lenz is 64 years old and began training as a bus driver in April 2012. He has driven the number three route numerous times, and prior to April 5, 2015, he had driven the 60-foot buses on other routes.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McClelland is employed as a paralegal at the same law firm as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McInnes, Mr. Lenz, and Ms. McClelland were the only witnesses at trial. Ms. McClelland was a witness for the defendants. There is no video footage of the incident.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morning of April 5, 2013, the plaintiff left her home in North Vancouver to go to work. After taking the SeaBus to Waterfront station and then to Main Street/Science World station, the plaintiff was joined by her co-worker, Ms. McClelland. At approximately 8:40 a.m., the two women embarked on a southbound number three Main Street bus at Terminal Avenue. This vehicle is a 60-foot trolley bus with a capacity of 120 passengers and has three sets of doors for passengers to exit and 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and Ms. McClelland were expected to start work at 9:00 a.m. They intended to disembark at the first stop south of Main and Broadway, and walk just over a block to their work, which is located near Main and Broadway.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the bus departed from Main and Terminal, it was relatively full, with a number of people standing towards the front of the vehicle. It was rush hour, and there was the usual stop-and-go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boarding the bus through the front set of doors, the plaintiff sat on one of four elevated sideways-facing seats in the middle portion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 at her stop just south of Broadway and Main, she stood to disembark the bus through the middle doors in front of her, located on the opposite side of the driver. The plaintiff testified that she generally waits for the bus to come to a complete stop before she stands to exit. She also testified that she typically sits in close proximity to the exit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were a number of people standing near the exit, so the plaintiff crossed the aisle and grabbed a vertical bar on the driver's side of the bus, waiting to exit.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she could exit the vehicle, however, the plaintiff testified that the driver accelerated and pulled away from the curb. She says the acceleration was "powerful", "very quick", and "jerky". The plaintiff says she then lost her grip on the bar, fell backwards and landed in the lap of a gentlemen seated in the middle section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bus abruptly stopped and, according to the plaintiff, she was thrown to the floor for two or three seconds, in front of the gentlemen whose lap she had previously fallen. Her evidence is that several passengers, including Ms. McClelland and the gentleman, assisted her off the floor. She did not hit her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fall, the plaintiff heard other passengers laughing. The driver remained seated, but asked the passengers if everyone was okay. The plaintiff quickly responded that she was fine, as she was embarrassed and wanted to get off the bus as quickly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then exited the vehicle through the middle doors with Ms. McClelland. The plaintiff did not exchange any information with the driver or any other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April 11, 2013, six days after the incident, the plaintiff reported the incident to the defendant Coast Mountain Bus Company, and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Mr. Lenz did not observe the incident, and was not made aware of the incident until a few weeks after it occurred. On April 30, 2013, he prepared an incident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Lenz's recollection of the incident differs from that of the plaintiff. He testified that on that day, he waited at the Main and Broadway stop for about 15 or 20 seconds. He says he then drove away smoothly, at a speed of about two to four kilometres per hour. Unlike the diesel buses, the 60-foot busses do not power up as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Lenz testified that he heard a woman gasp and a shuffling of feet, but was unable to observe anything, as there were a number of standees at the front of the bus. He stopped the bus and asked twice, the second time in a loud voice, if everyone was okay. A woman responded that she was fine. He heard that a passenger wanted to exit the vehicle, so he pulled back into the curb and opened the rear doors. He knew an incident had occurred, but did not perceive it to be consequential. According to him, this explains why he did not leave his seat or activate the button that would store the video recording that was operating continuously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Lenz testified that on that day, he had cautioned the passengers to hold on because of the number of standees and because it had been raining that day. According to his evidence, Mr. Lenz cautions passengers on approximately 70 percent of his journeys, especially when passengers are standing or when it is 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McClelland also testified at trial, and her evidence slightly differs from that of the plaintiff and defendant. Ms. McClelland testified that the fall occurred north of the Main and Broadway intersection, not at the Main and Broadway bus stop. She thought the bus stopped north of Main and Broadway due to a traffic light or a vehicle turning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McClelland testified that there was nothing abnormal about Mr. Lenz 's operation of the bus that morning. Her evidence is that the plaintiff stood while the bus was stopped, either at a light or waiting for a car to turn. She agrees that the plaintiff did not have a firm grip the vertical bar before the bus began moving again. The plaintiff then fell into the lap of a gentleman who was seated in the articulated part of the bus. Ms. McClelland disagrees that the plaintiff fell on the floor, and therefore disagrees that she helped the plaintiff get up. Ms. McClelland remained seated until the bus reached the stop south of Main and Broadway. She did not observe any other passengers fall on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issues in this case are as follows:</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Lenz breached the standard of care expected of a reasonable and prudent bus driver.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 on the part of Mr. Lenz, whether Ms. McInnes was at all contributory negligent.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British Columbia Court of Appeal recently reviewed the case law surrounding the duty of care owed by a transit operator to its passengers, as well as the onus of proof: </w:t>
      </w:r>
      <w:r>
        <w:rPr>
          <w:rFonts w:ascii="arial" w:eastAsia="arial" w:hAnsi="arial" w:cs="arial"/>
          <w:i/>
          <w:color w:val="000000"/>
          <w:sz w:val="20"/>
          <w:lang w:val="en-US" w:eastAsia="en-US" w:bidi="ar-SA"/>
        </w:rPr>
        <w:t>Benavides v. Insurance Corporation of British Columbia</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2017 BCCA 15</w:t>
        </w:r>
      </w:hyperlink>
      <w:r>
        <w:rPr>
          <w:rFonts w:ascii="arial" w:eastAsia="arial" w:hAnsi="arial" w:cs="arial"/>
          <w:color w:val="000000"/>
          <w:sz w:val="20"/>
          <w:lang w:val="en-US" w:eastAsia="en-US" w:bidi="ar-SA"/>
        </w:rPr>
        <w:t>. The Court of Appeal summarized the principles as follows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draw from this review of the law the following principles: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mere fact that a passenger is injured while riding on a public carrier does not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burden of proving on a balance of probabilities that the defendant breached the standard of care owed to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the plaintiff establishes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practical terms the burden shifts to the defendant to answer the case against him and to show that he was not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Thus, the plaintiff must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specifically, that her injury was sustained while riding the vehicle driven by Mr. Lenz. The defendants submit that the plaintiff has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while the incident was unfortunate, there was nothing unusual about Mr. Lenz's conduct in operation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Patoma v. Clarke</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2009 BCSC 1069</w:t>
        </w:r>
      </w:hyperlink>
      <w:r>
        <w:rPr>
          <w:rFonts w:ascii="arial" w:eastAsia="arial" w:hAnsi="arial" w:cs="arial"/>
          <w:color w:val="000000"/>
          <w:sz w:val="20"/>
          <w:lang w:val="en-US" w:eastAsia="en-US" w:bidi="ar-SA"/>
        </w:rPr>
        <w:t>, Madam Justice Fenlon held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It is clear that bus drivers owe a duty of care to their passengers based on the reasonable foreseeability test. The standard of care is the conduct or behaviour that would be expected of the reasonably prudent bus driver in the circumstances. This is an objective test that takes into consideration both the experience of the average bus driver, and what the driver knew or should have known: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note that the standard to be applied to a bus driver is not one of perfection, as neither the bus driver nor the transit company is effectively an insurer for every fall or mishap that occurs on a bus (</w:t>
      </w:r>
      <w:r>
        <w:rPr>
          <w:rFonts w:ascii="arial" w:eastAsia="arial" w:hAnsi="arial" w:cs="arial"/>
          <w:i/>
          <w:color w:val="000000"/>
          <w:sz w:val="20"/>
          <w:lang w:val="en-US" w:eastAsia="en-US" w:bidi="ar-SA"/>
        </w:rPr>
        <w:t>Patoma</w:t>
      </w:r>
      <w:r>
        <w:rPr>
          <w:rFonts w:ascii="arial" w:eastAsia="arial" w:hAnsi="arial" w:cs="arial"/>
          <w:color w:val="000000"/>
          <w:sz w:val="20"/>
          <w:lang w:val="en-US" w:eastAsia="en-US" w:bidi="ar-SA"/>
        </w:rPr>
        <w:t xml:space="preserve">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submits that the location of the incident is critical. According to the plaintiff, if the incident took place at the Main and Broadway bus stop, there is a higher standard of care, as passengers are less alert to sudden movements of the bus. In contrast, when busses are travelling between stops, passengers should expect sudden movements, either when stopped at a traffic light or when waiting behind cars. The plaintiff argues that at a bus stop, the bus driver has a higher standard of care to ensure that passengers are seated or are holding onto something before the bus drives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submit that the location of the incident is not material and instead, the circumstances surrounding the fall should be of high importance. I agree with this submission. As a bus driver, Mr. Lenz has a high standard of care, regardless of the location of the bus. Whether at a stop, at a traffic light, or behind a vehicle, passengers on busy urban routes during morning rush hour with stop-and-go traffic, and where there is a bus stop at virtually every block, have to expect that busses will be continuously stopping and moving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standard of care expected of the defendants is already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During her reply submissions, the plaintiff argued that she was not challenged on the location of the incident during her cross-examination and that this offends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CanLII 65 (FOREP).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requires a party who intends to impeach a witness to provide that witness with an opportunity to explain or address the point on which their evidence is to be challenged later in trial (</w:t>
      </w:r>
      <w:r>
        <w:rPr>
          <w:rFonts w:ascii="arial" w:eastAsia="arial" w:hAnsi="arial" w:cs="arial"/>
          <w:i/>
          <w:color w:val="000000"/>
          <w:sz w:val="20"/>
          <w:lang w:val="en-US" w:eastAsia="en-US" w:bidi="ar-SA"/>
        </w:rPr>
        <w:t>R. v. Podolski</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2018 BCCA 96</w:t>
        </w:r>
      </w:hyperlink>
      <w:r>
        <w:rPr>
          <w:rFonts w:ascii="arial" w:eastAsia="arial" w:hAnsi="arial" w:cs="arial"/>
          <w:color w:val="000000"/>
          <w:sz w:val="20"/>
          <w:lang w:val="en-US" w:eastAsia="en-US" w:bidi="ar-SA"/>
        </w:rPr>
        <w:t xml:space="preserve"> at para.145).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Given my finding that location is not critical to the standard of care, it is not necessary to address this argument. However, if I am incorrect, and it turns out that the location of the bus at the time of the incident is central, I note that I do not accept the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argument, particularly, at para. 10 of the reply submissions. Counsel should have raised the issue prior to the close of the evidence, rather than in reply submissions, as the case could have been reopened. More substantively, I did not understand what remedy Ms. McInnes sought as a result of the alleged breach of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next issue is whether Mr. Lenz breached the standard of care. At trial, Mr. Lenz testified that he cautions passengers to "hold on" approximately 70 percent of the time, usually when it is raining or the bus is crowded. I accept that he made this announcement on the day of the incident. Every witness agrees that on the morning of the incident, it had been lightly raining. Every witness also agrees that there were a number standees near the front of the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also accept Mr. Lenz and Ms. McClelland's evidence that the movement of the bus around the time of the incident was nothing outside of the ordinary. I accept Mr. Lenz's evidence that the speed of the bus was about three to four kilometres when he pulled away from the curb. Unlike a diesel bus, a heavy 60-foot bus does not accelerate that quickly. This finding is reinforced by the fact that the bus was on a busy city street with a high volume of traffic. The bus may have had some abrupt or jerky movements, but I accept this to be within the ordinary movement of busses in a big city. I reject the plaintiff's evidence that the acceleration was very powerful and very quick.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Given my factual findings, I am not satisfied that the Mr. Lenz breached the standard of care of a reasonable and prudent bus driver. Accordingly, I dismiss the plaintiff's claim because she has not proven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are entitled to their costs as scale B unless there are other circumstances of which I am unaware.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CHOI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3"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Papaspyros v. Cox, [2014] I.L.R. para. M-2784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Skolrood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August 19, 2014.</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Nos. M103226, M103227</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2014</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[2014] I.L.R. para. M-2784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[2014] B.C.J. No. 2138</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2014 BCSC 1569</w:t>
        </w:r>
      </w:hyperlink>
    </w:p>
    <w:p>
      <w:pPr>
        <w:spacing w:before="120" w:line="260" w:lineRule="atLeast"/>
        <w:rPr>
          <w:lang w:val="en-US" w:eastAsia="en-US" w:bidi="ar-SA"/>
        </w:rPr>
      </w:pPr>
      <w:r>
        <w:rPr>
          <w:rFonts w:ascii="arial" w:eastAsia="arial" w:hAnsi="arial" w:cs="arial"/>
          <w:color w:val="000000"/>
          <w:sz w:val="20"/>
          <w:lang w:val="en-US" w:eastAsia="en-US" w:bidi="ar-SA"/>
        </w:rPr>
        <w:t>Adamandia Papaspyros Plaintiff v. James Cox, South Coast BC Transportation Authority, Coast Mountain Bus Company Ltd. and Insurance Corporation of British Columbia Defendants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4" style="position:absolute;z-index:2516879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0" w:name="Keywords_27"/>
      <w:bookmarkEnd w:id="200"/>
      <w:r>
        <w:rPr>
          <w:rFonts w:ascii="arial" w:eastAsia="arial" w:hAnsi="arial" w:cs="arial"/>
          <w:b/>
          <w:color w:val="000000"/>
          <w:sz w:val="20"/>
          <w:lang w:val="en-US" w:eastAsia="en-US" w:bidi="ar-SA"/>
        </w:rPr>
        <w:t xml:space="preserve">Tort, motor vehicle — Liability — Public bus — Plaintiffs were injured when defendant bus driver brought bus to sudden stop — Defendant alleged third-party car cut in front of bus, causing him to brake to avoid rear-ending car — Plaintiffs brought claims for damages — Issue before Court was whether defendant established plaintiffs' injuries were not due to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taken in entirety, supported defendant's version of facts — Defendant's evidence was consistent with that of passenger witnesses — Court found defendant had minimal time to react due to car's sudden cutting in and had no opportunity to increase space between vehicles — Defendant met standard of reasonable and prudent bus driver in circumstances — Incident was caused 100 per cent by driver of car — Plaintiffs' claims dismissed.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1" w:name="Case Summary_26"/>
            <w:bookmarkEnd w:id="201"/>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defendant bus driver caused his bus, which was owned by the defendant Coast Mountain Bus Company, to come to a sudden stop, causing the plaintiff passengers to be thrown to the floor. The plaintiffs commenced actions claiming damages for their injuries. The bus driver's evidence was that a passenger car cut in front of the bus and subsequently stopped for a pedestrian to cross. The bus driver first applied the brake to slow down and then had to apply the hard brake to avoid rear-ending the car. The defendant insurer admitted that the incident was caused by the unidentified car driver. The issue before the Court was the defendants' liability. </w:t>
            </w:r>
            <w:r>
              <w:rPr>
                <w:lang w:val="en-US" w:eastAsia="en-US" w:bidi="ar-SA"/>
              </w:rPr>
              <w:cr/>
            </w:r>
          </w:p>
          <w:p>
            <w:pPr>
              <w:spacing w:before="120" w:line="260" w:lineRule="atLeast"/>
              <w:ind w:left="240"/>
              <w:jc w:val="both"/>
              <w:rPr>
                <w:lang w:val="en-US" w:eastAsia="en-US" w:bidi="ar-SA"/>
              </w:rPr>
            </w:pPr>
            <w:bookmarkStart w:id="202" w:name="Holdings of Court_24"/>
            <w:bookmarkEnd w:id="202"/>
            <w:r>
              <w:rPr>
                <w:rFonts w:ascii="arial" w:eastAsia="arial" w:hAnsi="arial" w:cs="arial"/>
                <w:color w:val="000000"/>
                <w:sz w:val="20"/>
                <w:lang w:val="en-US" w:eastAsia="en-US" w:bidi="ar-SA"/>
              </w:rPr>
              <w:t>HELD: The plaintiffs' claims were dismissed against the bus defendants.</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applied the governing principle on the duty of care owed by public carriers: "once a passenger on a public carrier has been injured in an accident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it is for the public carrier to establish that the passenger's injuries were occasioned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or that it resulted from a cause for which the carrier was not responsible"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[2012] I.L.R. M- 2592 (BCSC); see also </w:t>
            </w:r>
            <w:r>
              <w:rPr>
                <w:rFonts w:ascii="arial" w:eastAsia="arial" w:hAnsi="arial" w:cs="arial"/>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xml:space="preserve">). The issue was whether the defendants established that the plaintiffs' injuries were not due to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bus driver. The Court noted that the expert evidence, based on unproven assumptions as to how quickly the car cut in front of the bus, was of little assistance. However, the evidence in its entirety supported the version of facts provided by the bus driver. This evidence was consistent with that of the passenger witnesses, who experienced two instances of being propelled forward. The bus driver had minimal time to react due to the car's sudden cutting in, and had no opportunity to increase the space between the vehicles. The Court concluded that the bus driver met the standard of a reasonable and prudent bus driver in the circumstances. The incident was caused 100 per cent by the driver of the car. </w:t>
            </w:r>
            <w:r>
              <w:rPr>
                <w:lang w:val="en-US" w:eastAsia="en-US" w:bidi="ar-SA"/>
              </w:rPr>
              <w:cr/>
            </w:r>
          </w:p>
          <w:p>
            <w:pPr>
              <w:rPr>
                <w:lang w:val="en-US" w:eastAsia="en-US" w:bidi="ar-SA"/>
              </w:rPr>
            </w:pPr>
          </w:p>
        </w:tc>
      </w:tr>
    </w:tbl>
    <w:p>
      <w:pPr>
        <w:jc w:val="both"/>
        <w:rPr>
          <w:lang w:val="en-US" w:eastAsia="en-US" w:bidi="ar-SA"/>
        </w:rPr>
      </w:pPr>
      <w:bookmarkStart w:id="203" w:name="Counsel_28"/>
      <w:bookmarkEnd w:id="20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5" style="position:absolute;z-index:2517391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 Maragos and A. Epstein for the plaintiffs; R. Hodgins for the defendants, James Cox, South Coast BC Transportation Authority and Coast Mountain Bus Company Ltd.; S. Leong for the defendant, Insurance Corporation of British Columbia.</w:t>
      </w:r>
      <w:r>
        <w:rPr>
          <w:lang w:val="en-US" w:eastAsia="en-US" w:bidi="ar-SA"/>
        </w:rPr>
        <w:cr/>
      </w:r>
    </w:p>
    <w:p>
      <w:pPr>
        <w:spacing w:after="240"/>
        <w:rPr>
          <w:lang w:val="en-US" w:eastAsia="en-US" w:bidi="ar-SA"/>
        </w:rPr>
      </w:pPr>
      <w:bookmarkStart w:id="204" w:name="Judgment_28"/>
      <w:bookmarkEnd w:id="204"/>
      <w:r>
        <w:pict>
          <v:line id="_x0000_s1166" style="position:absolute;z-index:25179033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05" w:name="R.A. SKOLROOD J."/>
            <w:bookmarkEnd w:id="205"/>
            <w:r>
              <w:rPr>
                <w:rFonts w:ascii="arial" w:eastAsia="arial" w:hAnsi="arial" w:cs="arial"/>
                <w:b/>
                <w:color w:val="000000"/>
                <w:sz w:val="30"/>
                <w:lang w:val="en-US" w:eastAsia="en-US" w:bidi="ar-SA"/>
              </w:rPr>
              <w:t>R.A. SKOLROOD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31, 2008, a bus, driven by the defendant James Cox, came to a sudden stop at the intersection of MacDonald Street and West 4th Avenue in Vancouver (the "Incident") causing a number of passengers to be thrown to the floor. Those passengers included the plaintiffs, Maria Pappas and Adamandia Papaspyros, both of whom have commenced actions claiming damages for the injuries that they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bus was owned and operated by the defendant Coast Mountain Bus Company ("Coast Mountain"), which is an operating company of the defendant South Coast BC Transportation Authority ("Translink"), the regional transportation authority. For ease of reference, where appropriate I will refer to Mr. Cox, Coast Mountain and Translink collectively as the "Transit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Cox alleges that the Incident occurred when a car cut suddenly in front of him requiring him to forcefully apply his brakes in order to avoid a collision. The defendant Insurance Corporation of British Columbia ("ICBC") has admitted that the Incident was caused by the unidentified driver of that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Pursuant to previous orders of this court, liability in the two actions was ordered to be heard together and separate from the issue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central issue in this trial is therefore whether Mr. Cox as the driver of the bus, together with Coast Mountain and/or Translink as his employer(s), bear any liability for the Incident.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Lay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bus in issue was a No. 22 which has a route that travels north on MacDonald Street heading into downtown Vancouver.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Pappas testified that she boarded the bus around 15th Avenue and MacDonald Street to go downtown to her work at Vancity Credit Union, located at Hastings Street and Howe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about 7:40 am and the bus was not very full. She sat on a bench seat towards the front of the bus on the opposite side of where the driver sat. Her seat faced the aisle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Pappas testified that by the time the Incident occurred, the bus had gotten quite full and there were people standing in the aisle.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last stop before the Incident was on the east side of MacDonald Street, north of 5th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Pappas recalled talking to some people on the bus as it pulled forward from that stop, including Ms. Papaspyros who she knew casually. Shortly after pulling forward, the bus braked once which caused her to move forward out of her seat. As she was sitting back down, the bus braked a second time, more aggressively, and came to a sudden stop. The force of that stop caused her to, in her words, fly out of her seat. She said that she was like a "rag doll".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Pappas testified that she flew two to three feet and landed on a pile of people who had fallen into the aisle. She said that she had no warning and therefore could not brace herself for the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Pappas said that she did not see the car that apparently cut the bus off nor could she see the traffic light at the intersection of MacDonald Street and 4th Avenue. She did not notice any pedestrians outside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sudden stop, the bus driver pulled ahead across 4th Avenue and stopped to check and see if anyone was hurt. Ms. Pappas recalls the driver saying that a car had cut in front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Papaspyros testified that she boarded the bus at 20th Avenue at about 7:30 am and she too was heading downtown to work. Her office was located in the HSBC Building at West Georgia Street and Hornby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sat in the aisle seat in the first row of front-facing seats on the opposite side of where the driver sat. This was directly adjacent to the bench where Ms. Pappas was sitting, though Ms. Pappas faced into the aisle whereas Ms. Papaspyros faced the front of the bus. She said that the two women were talking as the bus moved along.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Similar to Ms. Pappas's evidence, Ms. Papaspyros said that the bus was not very full when she got on but by the time of the Incident there were people standing in the aisle.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Papaspyros recalls that the bus jerked forward once, which caused her to move forward in her seat, and then there was a second and more forceful jerk that caused her to fall forward out of her seat into the aisle. She said that she fell to her hands and knees but was then pushed flat onto the floor as other people fell on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Incident, she recalls seeing a man towards the front of the bus by the fare machine holding his leg.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Pappas stayed with her and helped her call her employer to let them know she would not be in. A transit supervisor eventually drove her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Papaspyros could not remember the bus stop just before the Incident. She said she knew that there were stops on MacDonald Street between Broadway and 4th Avenue but could not say where they were. She did not remember the last stop before the Incident nor did she recall seeing any traffic in front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bus driver, Mr. Cox, has been a driver with Coast Mountain since 2006. He has a class 1 driver's licence which enables him to operate any motor vehicle other than a motorcycle. A class 2 licence is the minimum requirement to operate a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Cox testified that when he was first hired, he had six weeks of training on all aspects of bus operation, including safety procedures. He did a further safety course in June 2008 that focussed on space cushions, a safety concept where the driver is taught to maintain a safe distance between the bus and other vehicles at all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July 31, 2008, Mr. Cox's shift started at 6:50 a.m., and he said that he usually arrives for his shifts 15 - 20 minutes early. When his shift started, he conducted a standard pre-trip inspection of his bus. Everything was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was driving the No. 22 bus which starts its route at the Dunbar Loop then proceeds north to downtown. Its route takes it along MacDonald Street from King Edward Avenue through to Cornwall Avenue before heading over the Burrard Street Bridge. Mr. Cox said he was familiar with the route as he had driven it a number of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the time he reached the bus stop just north of 5th Avenue on MacDonald Street, Mr. Cox estimated that there were 60 or more passengers on the bus. Most of the seats were taken and there were people standing in the aisle.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Mr. Cox, as he left the bus stop, the light at the intersection of MacDonald Street and 4th Avenue turned green. The evidence is that the intersection is between 46-56 metres from the bus stop; it is 56 meters from the bus stop post and 46 metres from the north end of the no parking zone sign. There is no evidence of precisely where the bus was when it was stopped at the bus stop.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Cox proceeded straight ahead in the curb lane as there was no other traffic in front of him. The next bus stop was on the north side of 4th Avenue, just across the intersection, so Mr. Cox said it was a fairly short trip between stops.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said that there were 5 or 6 cars lined up in the left north bound lane waiting to turn left onto 4th Avenue. His impression was that all of the cars had left turn signals on. The first car had pulled forward into the intersection and the other cars in the line moved forward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Cox testified that he accelerated to about 10 - 20 kilometres per hour then took his foot off the throttle and covered the brake. Just before he got to the crosswalk at the intersection, the second car in line in the left lane suddenly cut in front of him. It looked to Mr. Cox like the car, which he described as a blue BMW Mini (the "Mini"), was intending to turn right onto 4th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Cox applied his brake to slow down. He then saw a pedestrian step off the curb at the south east corner of the intersection into the north-south crosswalk crossing 4th Avenue. Mr. Cox saw the Mini's brake lights come on as the car stopped for the pedestrian. Mr. Cox therefore applied a hard brake to stop the bus in order to avoid running into the rear of the Mini.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Cox said that the events happened so quickly that he did not have a chance to call out a warning to the passengers. He said he was surprised that he did not in fact hit the Mini. His impression was that the bus stopped an inch or so away from the rear of the Mini.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 to Mr. Cox, a number of passengers fell into the aisle as a result of the sudden stop. One man flew forward and hit the fare box and was in obvious pain. There was a pile of people in the centre aisle.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Because the bus was blocking traffic on 4th Avenue, Mr. Cox pulled forward through the intersection to the next stop on MacDonald, north of 4th Avenue. He called for a transit supervisor and for an ambulance.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 examination, Mr. Cox could not recall precisely how much time elapsed between when he left the bus stop and when he first saw the Mini cut in front of him. However, he agreed that on examination for discovery, he stated that it was one to two seconds. Nor could Mr. Cox give a precise estimate of how fast the bus was moving, although he believed it was between 10 - 20 kilometers per hour. He was certain however that it was not faster than 25 kilometers per hour. He noted that because the next bus stop was close, there was no need to accelerate above that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Cox agreed that when the Mini cut in front of him, it came within the four second safety cushion that bus drivers are taught to maintain.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Cox was vigorously cross-examined on the question of whether, had he tried to stop the bus when the Mini first moved in front of him, the stop would have been much smoother. While agreeing that he would have had more time and space to stop, he did not agree that the stop would have been smoother given that the bus was going at a faster speed. In any event, he said that he was simply reacting to events that happened extremely quickly.</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rely on the expert opinion of Ian MacLeod, who was qualified to give opinion evidence in the areas of accident reconstruction and commercial driving strategy and tactics.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MacLeod provided an opinion on the sequence and timing of events leading to the Incident. His opinion was based in part on simulations performed using PC Crash Accident Simulation software.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essence of Mr. MacLeod's opinion is that when Mr. Cox saw the Mini turn in front of him, he should have slowed and stopped more quickly and more smoothly than he did. On his analysis, when the Mini first crossed in front of the bus, there was still ample space between the vehicles that would have permitted a safe stop had Mr. Cox responded properly. Mr. MacLeod comes to this opinion based on a number of key assumptions, including the initial distance of the bus from the intersection, the speed of the bus and, notably, the assumption that the Mini entered the curb lane in front of the bus before commencing its right turn onto 4th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Transit defendants rely on the expert opinion of Robin Brown, P.Eng. who was qualified to give opinion evidence on forensic engineering and specifically motor vehicle accident reconstruction.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was Mr. Brown's opinion that the Mini would have taken between 1.85 and 2.3 seconds to execute the sudden turn from the left northbound lane to where it stopped in the intersection facing east in the right northbound lane. According to Mr. Brown, the bus would have been within 15 metres of its final stopped location when the Mini commenced its turn, thus requiring the bus to brake aggressively.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key difference identified by Mr. Brown in the underlying assumptions in his report, as opposed to Mr. MacLeod's opinion, is the assumption that the Mini cut suddenly in front of the bus rather than first entering the curb lane before commencing its turn.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leading case on the duty owed by public carriers is still </w:t>
      </w:r>
      <w:r>
        <w:rPr>
          <w:rFonts w:ascii="arial" w:eastAsia="arial" w:hAnsi="arial" w:cs="arial"/>
          <w:i/>
          <w:color w:val="000000"/>
          <w:sz w:val="20"/>
          <w:lang w:val="en-US" w:eastAsia="en-US" w:bidi="ar-SA"/>
        </w:rPr>
        <w:t>Day v. Toronto Transportation Commission</w:t>
      </w:r>
      <w:r>
        <w:rPr>
          <w:rFonts w:ascii="arial" w:eastAsia="arial" w:hAnsi="arial" w:cs="arial"/>
          <w:color w:val="000000"/>
          <w:sz w:val="20"/>
          <w:lang w:val="en-US" w:eastAsia="en-US" w:bidi="ar-SA"/>
        </w:rPr>
        <w:t xml:space="preserve">, </w:t>
      </w:r>
      <w:hyperlink r:id="rId593" w:history="1">
        <w:r>
          <w:rPr>
            <w:rFonts w:ascii="arial" w:eastAsia="arial" w:hAnsi="arial" w:cs="arial"/>
            <w:i/>
            <w:color w:val="0077CC"/>
            <w:sz w:val="20"/>
            <w:u w:val="single"/>
            <w:shd w:val="clear" w:color="auto" w:fill="FFFFFF"/>
            <w:lang w:val="en-US" w:eastAsia="en-US" w:bidi="ar-SA"/>
          </w:rPr>
          <w:t>[1940] S.C.R. 433</w:t>
        </w:r>
      </w:hyperlink>
      <w:r>
        <w:rPr>
          <w:rFonts w:ascii="arial" w:eastAsia="arial" w:hAnsi="arial" w:cs="arial"/>
          <w:color w:val="000000"/>
          <w:sz w:val="20"/>
          <w:lang w:val="en-US" w:eastAsia="en-US" w:bidi="ar-SA"/>
        </w:rPr>
        <w:t>, where Hudson J. stated at 441: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Although the carrier of passengers is not an insurer, yet if an accident occurs and the passenger is injured, there is a heavy burden on the defendant carrier to establish that he had used all due, proper and reasonable care and skill to avoid or prevent injury to the passenger. The care required is of a very high degree: 4 Hals., p. 60, paras. 92 and 95. In an old case of </w:t>
      </w:r>
      <w:r>
        <w:rPr>
          <w:rFonts w:ascii="arial" w:eastAsia="arial" w:hAnsi="arial" w:cs="arial"/>
          <w:i/>
          <w:color w:val="000000"/>
          <w:sz w:val="20"/>
          <w:lang w:val="en-US" w:eastAsia="en-US" w:bidi="ar-SA"/>
        </w:rPr>
        <w:t>Jackson v. Tollett</w:t>
      </w:r>
      <w:r>
        <w:rPr>
          <w:rFonts w:ascii="arial" w:eastAsia="arial" w:hAnsi="arial" w:cs="arial"/>
          <w:color w:val="000000"/>
          <w:sz w:val="20"/>
          <w:lang w:val="en-US" w:eastAsia="en-US" w:bidi="ar-SA"/>
        </w:rPr>
        <w:t>, the rule was stated by Lord Ellenborough, at p. 38, as follows:</w:t>
      </w:r>
    </w:p>
    <w:p>
      <w:pPr>
        <w:spacing w:before="120" w:line="260" w:lineRule="atLeast"/>
        <w:ind w:left="1080"/>
        <w:rPr>
          <w:lang w:val="en-US" w:eastAsia="en-US" w:bidi="ar-SA"/>
        </w:rPr>
      </w:pPr>
      <w:r>
        <w:rPr>
          <w:rFonts w:ascii="arial" w:eastAsia="arial" w:hAnsi="arial" w:cs="arial"/>
          <w:color w:val="000000"/>
          <w:sz w:val="20"/>
          <w:lang w:val="en-US" w:eastAsia="en-US" w:bidi="ar-SA"/>
        </w:rPr>
        <w:t>Every person who contracts for the conveyance of others, is bound to use the utmost care and skill, and if, through any erroneous judgment on his part, any mischief is occasioned, he must answer for the consequences.</w:t>
      </w:r>
    </w:p>
    <w:p>
      <w:pPr>
        <w:spacing w:before="120" w:line="260" w:lineRule="atLeast"/>
        <w:ind w:left="720"/>
        <w:rPr>
          <w:lang w:val="en-US" w:eastAsia="en-US" w:bidi="ar-SA"/>
        </w:rPr>
      </w:pPr>
      <w:r>
        <w:rPr>
          <w:rFonts w:ascii="arial" w:eastAsia="arial" w:hAnsi="arial" w:cs="arial"/>
          <w:color w:val="000000"/>
          <w:sz w:val="20"/>
          <w:lang w:val="en-US" w:eastAsia="en-US" w:bidi="ar-SA"/>
        </w:rPr>
        <w:t>[Footnotes omitted.]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Dardi J. described the applicable standard of care in these terms: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[15] The principles that govern the disposition of this case are uncontroversial. The reasonable foreseeability test informs the analysis of liability. The standard of care owed to a plaintiff passenger by a defendant bus driver is the conduct or behaviour that would be expected of a reasonably prudent bus driver in the circumstances. This is an objective test that takes into consideration both the experience of the average bus driver and anything the defendant driver knew or should have known: </w:t>
      </w:r>
      <w:r>
        <w:rPr>
          <w:rFonts w:ascii="arial" w:eastAsia="arial" w:hAnsi="arial" w:cs="arial"/>
          <w:i/>
          <w:color w:val="000000"/>
          <w:sz w:val="20"/>
          <w:lang w:val="en-US" w:eastAsia="en-US" w:bidi="ar-SA"/>
        </w:rPr>
        <w:t>Wang v. Horrod</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(1998), 48 B.C.L.R. (3d) 199</w:t>
        </w:r>
      </w:hyperlink>
      <w:r>
        <w:rPr>
          <w:rFonts w:ascii="arial" w:eastAsia="arial" w:hAnsi="arial" w:cs="arial"/>
          <w:color w:val="000000"/>
          <w:sz w:val="20"/>
          <w:lang w:val="en-US" w:eastAsia="en-US" w:bidi="ar-SA"/>
        </w:rPr>
        <w:t xml:space="preserve"> at para. 39 (C.A.); </w:t>
      </w:r>
      <w:r>
        <w:rPr>
          <w:rFonts w:ascii="arial" w:eastAsia="arial" w:hAnsi="arial" w:cs="arial"/>
          <w:i/>
          <w:color w:val="000000"/>
          <w:sz w:val="20"/>
          <w:lang w:val="en-US" w:eastAsia="en-US" w:bidi="ar-SA"/>
        </w:rPr>
        <w:t>Patoma v. Clarke</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2009 BCSC 1069</w:t>
        </w:r>
      </w:hyperlink>
      <w:r>
        <w:rPr>
          <w:rFonts w:ascii="arial" w:eastAsia="arial" w:hAnsi="arial" w:cs="arial"/>
          <w:color w:val="000000"/>
          <w:sz w:val="20"/>
          <w:lang w:val="en-US" w:eastAsia="en-US" w:bidi="ar-SA"/>
        </w:rPr>
        <w:t xml:space="preserve"> at para. 6.</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[16] It is well-settled on the authorities that the standard of care imposed on a public carrier is a high one. However the principle to be derived from the authorities is that the standard to be applied to the bus driver is not one of perfection nor is a defendant bus driver effectively to be an insurer for every fall or mishap that occurs on a bus: </w:t>
      </w:r>
      <w:r>
        <w:rPr>
          <w:rFonts w:ascii="arial" w:eastAsia="arial" w:hAnsi="arial" w:cs="arial"/>
          <w:i/>
          <w:color w:val="000000"/>
          <w:sz w:val="20"/>
          <w:lang w:val="en-US" w:eastAsia="en-US" w:bidi="ar-SA"/>
        </w:rPr>
        <w:t>Patoma</w:t>
      </w:r>
      <w:r>
        <w:rPr>
          <w:rFonts w:ascii="arial" w:eastAsia="arial" w:hAnsi="arial" w:cs="arial"/>
          <w:color w:val="000000"/>
          <w:sz w:val="20"/>
          <w:lang w:val="en-US" w:eastAsia="en-US" w:bidi="ar-SA"/>
        </w:rPr>
        <w:t xml:space="preserve"> at para. 7.</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[18] The principles articulated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have been interpreted by the courts in this province as endorsing the following analytical approach - once a passenger on a public carrier has been injured in an accident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raised and it is for the public carrier to establish that the passenger's injuries were occasioned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or that it resulted from a cause for which the carrier was not responsible: </w:t>
      </w:r>
      <w:r>
        <w:rPr>
          <w:rFonts w:ascii="arial" w:eastAsia="arial" w:hAnsi="arial" w:cs="arial"/>
          <w:i/>
          <w:color w:val="000000"/>
          <w:sz w:val="20"/>
          <w:lang w:val="en-US" w:eastAsia="en-US" w:bidi="ar-SA"/>
        </w:rPr>
        <w:t>Planidin v. Dykes</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[1984] B.C.J. No. 907</w:t>
        </w:r>
      </w:hyperlink>
      <w:r>
        <w:rPr>
          <w:rFonts w:ascii="arial" w:eastAsia="arial" w:hAnsi="arial" w:cs="arial"/>
          <w:color w:val="000000"/>
          <w:sz w:val="20"/>
          <w:lang w:val="en-US" w:eastAsia="en-US" w:bidi="ar-SA"/>
        </w:rPr>
        <w:t xml:space="preserve"> (Q.L.)(S.C.); </w:t>
      </w:r>
      <w:r>
        <w:rPr>
          <w:rFonts w:ascii="arial" w:eastAsia="arial" w:hAnsi="arial" w:cs="arial"/>
          <w:i/>
          <w:color w:val="000000"/>
          <w:sz w:val="20"/>
          <w:lang w:val="en-US" w:eastAsia="en-US" w:bidi="ar-SA"/>
        </w:rPr>
        <w:t>Visanji v. Eaton and Coast Mountain Bus Co. Ltd.</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2006 BCSC 656</w:t>
        </w:r>
      </w:hyperlink>
      <w:r>
        <w:rPr>
          <w:rFonts w:ascii="arial" w:eastAsia="arial" w:hAnsi="arial" w:cs="arial"/>
          <w:color w:val="000000"/>
          <w:sz w:val="20"/>
          <w:lang w:val="en-US" w:eastAsia="en-US" w:bidi="ar-SA"/>
        </w:rPr>
        <w:t xml:space="preserve"> at para. 26.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there is little dispute about these governing principles, each case turns on its own particular facts (</w:t>
      </w:r>
      <w:r>
        <w:rPr>
          <w:rFonts w:ascii="arial" w:eastAsia="arial" w:hAnsi="arial" w:cs="arial"/>
          <w:i/>
          <w:color w:val="000000"/>
          <w:sz w:val="20"/>
          <w:lang w:val="en-US" w:eastAsia="en-US" w:bidi="ar-SA"/>
        </w:rPr>
        <w:t>Visanji</w:t>
      </w:r>
      <w:r>
        <w:rPr>
          <w:rFonts w:ascii="arial" w:eastAsia="arial" w:hAnsi="arial" w:cs="arial"/>
          <w:color w:val="000000"/>
          <w:sz w:val="20"/>
          <w:lang w:val="en-US" w:eastAsia="en-US" w:bidi="ar-SA"/>
        </w:rPr>
        <w:t xml:space="preserve"> at para. 25).</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plaintiffs' submit that they have met the initial burden of proving that they were injured while riding as passengers on a public carrier and that the burden now shifts to the Transit defendants to establish that the injuries were not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They say that the Transit defendants have failed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Specifically, the plaintiffs submit that the driver Mr. Cox failed to follow his training and to leave sufficient space between his bus and the Mini such that he would have had adequate time to brake more slowly and smoothly so as to avoid the sudden stop that resulted in the plaintiffs' injuries. They say that the evidence, taken as a whole, establishes that Mr. Cox had time to react to the Mini moving into his lane before it commenced its right turn onto 4th Avenue. However, Mr. Cox failed to anticipate the possibility that the Mini would come to a stop. When it did, it was too late for Mr. Cox to do anything other than apply a hard brake.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submit further that Mr. Cox was negligent in failing to call out a warning to the passengers before applying the hard brake.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Transit defendants submit that the Incident is solely the fault of the unidentified driver of the Mini. They say that given the sudden and unexpected movement of the Mini into the path of the bus and its sudden stop, Mr. Cox had no choice but to apply a hard brake in order to avoid a collision. They say that his actions were consistent with the standard of a reasonably prudent bus driver in all of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an alternative submission, the Transit defendants say that if Mr. Cox is found to be partially liable for the Incident, it is open to the court to find that the plaintiffs were contributorily negligent for failing to take measures to secure themselves after the initial brake. This point was not argued strenuously by the Transit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Was Mr. Cox Negligent in the Operation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issue on the evidence that the plaintiffs were injured while riding as passengers on a public carrier.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pause to note that there was minimal evidence of the nature and severity of the plaintiffs' injuries and I make no findings on those issues, which will be the subject of separate trials. What evidence there was went simply to establishing, for the purposes of the analysis set out in </w:t>
      </w:r>
      <w:r>
        <w:rPr>
          <w:rFonts w:ascii="arial" w:eastAsia="arial" w:hAnsi="arial" w:cs="arial"/>
          <w:i/>
          <w:color w:val="000000"/>
          <w:sz w:val="20"/>
          <w:lang w:val="en-US" w:eastAsia="en-US" w:bidi="ar-SA"/>
        </w:rPr>
        <w:t>Day</w:t>
      </w:r>
      <w:r>
        <w:rPr>
          <w:rFonts w:ascii="arial" w:eastAsia="arial" w:hAnsi="arial" w:cs="arial"/>
          <w:color w:val="000000"/>
          <w:sz w:val="20"/>
          <w:lang w:val="en-US" w:eastAsia="en-US" w:bidi="ar-SA"/>
        </w:rPr>
        <w:t xml:space="preserve"> and other cases, that the plaintiffs were in fact injured while riding the bus. The Transit defendants did not dispute that the plaintiffs have satisfied this aspect of the test.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issue then becomes whether the Transit defendants have established that the plaintiffs' injuries were not due to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Cox.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considering this issue, I have taken account of the expert opinion evidence provided by both Mr. Macleod and Mr. Brown. However, in assessing that evidence, I would note that this is a case in which the expert evidence was of minimal assistance to the court. That is because the determination of what happened can best be accomplished by reference to the evidence of the witnesses who were actually involved in the Incident, rather than relying on simulations and projections that in turn are based on unproven assumptions.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noted by Mr. Brown in his testimony, much of the information that normally informs an accident reconstruction analysis is lacking in this case, for example the specific starting point of the bus, its actual speed, the specific starting part of the Mini when it first moved into the path of the bus and the exact location of the two vehicles at the point of near impact. As such, the analysis and resulting opinion of both experts is largely speculative.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That said, while both experts are clearly qualified and both gave their evidence in a fair and objective manner, as befits an expert witness, on balance I prefer the opinion of Mr. Brown for the principal reason that his assumption concerning the path taken by the Mini better accords with the evidence than does Mr. MacLeod's version. There are also certain key facts absent from Mr. Macleod's analysis, most importantly the fact that there were two braking incidents.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Again, it was Mr. Cox's evidence that the Mini cut in front of him very suddenly. He braked when the Mini appeared in front of him but did not stop because it looked like the Mini was going to complete the right turn onto 4th Avenue. When the Mini then stopped suddenly for the pedestrian, Mr. Cox had to apply a hard brake.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sequencing of the braking testified to by Mr. Cox is consistent with the evidence of Ms. Pappas and Ms. Papaspyros, both of whom testified to a first brake sufficient to bring them out of their seats followed very quickly by a second more aggressive brake that threw them to the floor.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the plaintiffs' theory, Mr. Cox would have had a number of seconds in between the first brake, when he saw the Mini come into his lane, and the second brake, when the Mini stopped, during which they say he could and should have brought the bus to a smoother stop. In other words, the plaintiffs say that Mr. Cox failed to appreciate the circumstances that presented and therefore reacted improperly and in a manner that falls below the standard of a reasonably prudent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submit that this theory is consistent with much of Mr. Cox's own evidence, for example his evidence that he noticed the Mini enter his lane but that he did not stop because he believed that the Mini would complete its turn onto 4th Avenue. The plaintiffs say that Mr. Cox had time to react but that he misjudged the intention of the Mini which is what resulted in him having to apply the hard brake. In proceeding as he did, the plaintiffs say that Mr. Cox ignored his training which required him to keep a safe distance between his bus and other vehicles and to be alert for mistakes by other drivers and by pedestrians.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point to Mr. Cox's evidence that the bus was in motion for one or two seconds after the last stop before he first saw the Mini. They say that this supports their position that Mr. Cox had ample time to see the Mini and react properly by slowing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clear on the evidence that Mr. Cox was mistaken in his estimate of one to two seconds, as that time frame would have left the bus well short of the intersection when the Mini made its turn. That time estimate is also inconsistent with Mr. Cox's own evidence, where he said that the Mini cut in front of him when the bus was almost at the MacDonald Street east-west crosswalk. When viewed in light of all of the other evidence, I find this latter evidence more accurate.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Further, while there are aspects of Mr. Cox's evidence that, when looked at in isolation, might suggest that he had more time to make a conscious decision about how to react to the Mini, when his evidence is looked at in its entirety, it supports a finding that the Mini cut in front of him suddenly and that he had no time to react other than as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That finding is again supported by the evidence of Ms. Pappas and Ms. Papaspyros. It is also consistent with the positioning of the cars in the left hand lane. Mr. Cox's uncontroverted evidence was that the Mini was the second car in the left lane and that, when the light at the intersection turned green, the lead car in the left lane moved in to the intersection in order to turn left when traffic permitted. The other cars in that lane, including the Mini, moved forward as well. Thus, at a minimum, the Mini would have been in or just past the east-west crosswalk on MacDonald Street before it moved in front of the bus. That positioning is more consistent with a sudden cut or "beeline" across the curb lane than a more gradual move into the curb lane followed by a right hand turn. According to Mr. Brown, that turn by the Mini would have taken between 1.85 and 2.3 seconds giving Mr. Cox minimal time to react.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Given the suddenness of the Mini's turn into the path of the bus, the concept of a normal four second "space cushion" has no application in this case. That cushion was breached as soon as the Mini cut in front of the bus and Mr. Cox had no opportunity to increase the space between the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Taking all of the evidence into account, I find that Mr. Cox met the standard of a reasonable and prudent bus driver in the circumstances that presented and that his sudden hard brake was a necessary action in light of the Mini's sudden and unexpected turn and stop in front of the bus.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the issue of whether Mr. Cox should have issued a warning to the passengers about the impending hard brake, I accept Mr. Cox's evidence that he had no time to issue such a warning given the sudden nature of the Mini's actions. In any event, given how quickly things transpired, it is unlikely that the passengers, including Ms. Pappas and Ms. Papaspyros, would have been able to brace themselves or take any other preventative measures to avoid falling.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Given my findings above, it follows that I would not find either Ms. Pappas or Ms. Papaspyros contributorily negligent for their injuries. On the evidence, they were both seated properly in their seats and neither had any reason to expect the sudden stop nor any means of protecting themselves against a resulting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summary, I find that the Incident was caused 100% by the actions of the unidentified driver of the Mini.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claim against the Transit defendants is therefore dismissed. The Transit defendants are entitled to a single set of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R.A. SKOLROOD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Persall v. Buxton, [2012] B.C.J. No. 477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K.N. Affleck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22,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9, 2012.</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S102876</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[2012] B.C.J. No. 477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BCSC 347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38 M.V.R. (6th) 145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222 A.C.W.S. (3d) 896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2012 CarswellBC 2385</w:t>
      </w:r>
    </w:p>
    <w:p>
      <w:pPr>
        <w:spacing w:before="120" w:line="260" w:lineRule="atLeast"/>
        <w:rPr>
          <w:lang w:val="en-US" w:eastAsia="en-US" w:bidi="ar-SA"/>
        </w:rPr>
      </w:pPr>
      <w:r>
        <w:rPr>
          <w:rFonts w:ascii="arial" w:eastAsia="arial" w:hAnsi="arial" w:cs="arial"/>
          <w:color w:val="000000"/>
          <w:sz w:val="20"/>
          <w:lang w:val="en-US" w:eastAsia="en-US" w:bidi="ar-SA"/>
        </w:rPr>
        <w:t>Between Wayne Francis Persall, Plaintiff, and Peter Buxton,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8"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06" w:name="Keywords_28"/>
      <w:bookmarkEnd w:id="206"/>
      <w:r>
        <w:rPr>
          <w:rFonts w:ascii="arial" w:eastAsia="arial" w:hAnsi="arial" w:cs="arial"/>
          <w:b/>
          <w:color w:val="000000"/>
          <w:sz w:val="20"/>
          <w:lang w:val="en-US" w:eastAsia="en-US" w:bidi="ar-SA"/>
        </w:rPr>
        <w:t>Civil litigation — Civil procedure — Trials — Jury trials — Jury notice — Setting aside or striking out — Application by defendant to strike plaintiff's jury notice allowed — Plaintiff alleged he was injured in motor vehicle accident — Defendant was lawyer who advised plaintiff regarding potential action — Plaintiff settled claim against other driver, who had alleged plaintiff was contributorily negligent — Plaintiff alleged defendant was negligent in failing to recognize potential liability of City — Plaintiff claimed damages for lost opportunity to recover additional damages from City by way of settlement or trial — Task of charging jury would be very onerous.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07" w:name="Case Summary_27"/>
            <w:bookmarkEnd w:id="20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to strike the plaintiff's jury notice. The plaintiff alleged that he was injured in a motor vehicle accident. The defendant was a lawyer who advised the plaintiff regarding a potential action to recover damages. The plaintiff, represented by another lawyer, settled his claim against the other driver, who had alleged that the plaintiff was contributorily negligent, but the plaintiff's claim against the City of Surrey was struck on the basis that the City did not receive notice of the claim within the time period required by statute. The plaintiff sued the defendant, alleging that the defendant was negligent in failing to recognize the potential liability of the City. The plaintiff claimed damages for the lost opportunity to recover additional damages from the City by way of settlement or trial. The defendant submitted that a jury trial was not appropriate because of the complexity of the issues. </w:t>
            </w:r>
            <w:r>
              <w:rPr>
                <w:lang w:val="en-US" w:eastAsia="en-US" w:bidi="ar-SA"/>
              </w:rPr>
              <w:cr/>
            </w:r>
          </w:p>
          <w:p>
            <w:pPr>
              <w:spacing w:before="120" w:line="260" w:lineRule="atLeast"/>
              <w:ind w:left="240"/>
              <w:jc w:val="both"/>
              <w:rPr>
                <w:lang w:val="en-US" w:eastAsia="en-US" w:bidi="ar-SA"/>
              </w:rPr>
            </w:pPr>
            <w:bookmarkStart w:id="208" w:name="Holdings of Court_25"/>
            <w:bookmarkEnd w:id="208"/>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allegation that the plaintiff was contributorily negligent meant that, had the City been joined as a defendant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proven, the liability of the City and the other driver would have been several instead of joint. The plaintiff's counsel would have needed to consider that risk in negotiating a settlement. A jury hearing the claim against the defendant would need to understand the approach to settlement negotiations taken by reasonably competent counsel that could have lead to a better outcome for the plaintiff and to assess damages for a lost opportunity. The task of charging the jury would be very onerous. </w:t>
            </w:r>
            <w:r>
              <w:rPr>
                <w:lang w:val="en-US" w:eastAsia="en-US" w:bidi="ar-SA"/>
              </w:rPr>
              <w:cr/>
            </w:r>
          </w:p>
          <w:p>
            <w:pPr>
              <w:rPr>
                <w:lang w:val="en-US" w:eastAsia="en-US" w:bidi="ar-SA"/>
              </w:rPr>
            </w:pPr>
          </w:p>
        </w:tc>
      </w:tr>
    </w:tbl>
    <w:p>
      <w:pPr>
        <w:jc w:val="both"/>
        <w:rPr>
          <w:lang w:val="en-US" w:eastAsia="en-US" w:bidi="ar-SA"/>
        </w:rPr>
      </w:pPr>
      <w:bookmarkStart w:id="209" w:name="Legislation Cited_20"/>
      <w:bookmarkEnd w:id="20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69" style="position:absolute;z-index:2517401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Local Government Act, RSBC 1996, CHAPTER 323, s. 286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Rules, Rule 12-6</w:t>
      </w:r>
      <w:r>
        <w:rPr>
          <w:lang w:val="en-US" w:eastAsia="en-US" w:bidi="ar-SA"/>
        </w:rPr>
        <w:cr/>
      </w:r>
    </w:p>
    <w:p>
      <w:pPr>
        <w:keepNext/>
        <w:spacing w:before="240" w:line="340" w:lineRule="atLeast"/>
        <w:rPr>
          <w:lang w:val="en-US" w:eastAsia="en-US" w:bidi="ar-SA"/>
        </w:rPr>
      </w:pPr>
      <w:bookmarkStart w:id="210" w:name="Counsel_29"/>
      <w:bookmarkEnd w:id="210"/>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0" style="position:absolute;z-index:2517913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 Morishita.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J.G. Bye.</w:t>
      </w:r>
      <w:r>
        <w:rPr>
          <w:lang w:val="en-US" w:eastAsia="en-US" w:bidi="ar-SA"/>
        </w:rPr>
        <w:cr/>
      </w:r>
    </w:p>
    <w:p>
      <w:pPr>
        <w:spacing w:after="240"/>
        <w:rPr>
          <w:lang w:val="en-US" w:eastAsia="en-US" w:bidi="ar-SA"/>
        </w:rPr>
      </w:pPr>
      <w:bookmarkStart w:id="211" w:name="Judgment_29"/>
      <w:bookmarkEnd w:id="211"/>
      <w:r>
        <w:pict>
          <v:line id="_x0000_s1171" style="position:absolute;z-index:25184153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12" w:name="K.N. AFFLECK J."/>
            <w:bookmarkEnd w:id="212"/>
            <w:r>
              <w:rPr>
                <w:rFonts w:ascii="arial" w:eastAsia="arial" w:hAnsi="arial" w:cs="arial"/>
                <w:b/>
                <w:color w:val="000000"/>
                <w:sz w:val="30"/>
                <w:lang w:val="en-US" w:eastAsia="en-US" w:bidi="ar-SA"/>
              </w:rPr>
              <w:t>K.N. AFFLECK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pursuant to Rule 12-6 to strike the plaintiff's jury notice. The principal basis for the application is the issues are said to be more intricate or complex than is appropriate for a jury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alleges he was injured in an accident in September 2006 in the City of Surrey ("Surrey") when the vehicle he was driving was struck by another vehicle in an intersection. Shortly thereafter the defendant in this action, who at the material time was a lawyer practising in Surrey, began to advise the plaintiff in regard to a potential action to recover damages for his injuries. The plaintiff alleges the defendant, in breach of his duty, failed to investigate adequately the circumstances of the accident; failed to advise the plaintiff of the potential liability of Surrey for the alleged faulty design, construction and/or maintenance of the intersection at which the accident occurred, and failed to provide notice of the damage claim to Surrey within two months of the date of the accident as required by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ceased to represent the plaintiff in March 2007 when other legal representation was provided to the plaintiff for about a year. In early 2008 the plaintiff instructed Michael Slater, Q.C., to act for him in a claim for damages against the other driver, Ms. Bond, and Surrey.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March 2008, Mr. Slater delivered notice of the damage claim to Surrey. In July 2008, Mr. Slater commenced action no. M083034, </w:t>
      </w:r>
      <w:r>
        <w:rPr>
          <w:rFonts w:ascii="arial" w:eastAsia="arial" w:hAnsi="arial" w:cs="arial"/>
          <w:i/>
          <w:color w:val="000000"/>
          <w:sz w:val="20"/>
          <w:lang w:val="en-US" w:eastAsia="en-US" w:bidi="ar-SA"/>
        </w:rPr>
        <w:t>Persall v. Bond and City of Surrey</w:t>
      </w:r>
      <w:r>
        <w:rPr>
          <w:rFonts w:ascii="arial" w:eastAsia="arial" w:hAnsi="arial" w:cs="arial"/>
          <w:color w:val="000000"/>
          <w:sz w:val="20"/>
          <w:lang w:val="en-US" w:eastAsia="en-US" w:bidi="ar-SA"/>
        </w:rPr>
        <w:t xml:space="preserve"> (the "Personal Injury Action"). Surrey successfully applied to strike out the claim against it arguing that the plaintiff had failed to give timely notice as required by s. 286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 early 2010, the plaintiff settled his damage claim with Ms. Bond and in April the plaintiff sued Mr. Buxton in this action alleging his breach of duty.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heard submissions initially on September 22, 2011, on the question of whether the jury notice should be struck out. At that time I did not have the amended statement of defence of the defendant Bond in the personal injury action. On reviewing that pleading I noted that defendant had alleged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I then sent a memorandum to counsel on this application inviting them to make submissions on the implications for the application to strike the jury notice of that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 and in particular any implications arising from paragraph 10 of the statement of claim in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which reads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plaintiff claims that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the Retainer, the plaintiff has suffered loss and damage including the opportunity to recover his full damages from the City of Surrey for its tortious conduct, or, in the alternative, to recover some of his damages from the City of Surrey by way of either settlement or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provided helpful written outlines of argument following my memorandum and on March 6, 2012, I heard brief oral submissions.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deciding this application I am invited by the defendant to find the complexities of a trial within a trial as required in this particular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ought to persuade me to strike the jury notice.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2008 BCSC 1192</w:t>
        </w:r>
      </w:hyperlink>
      <w:r>
        <w:rPr>
          <w:rFonts w:ascii="arial" w:eastAsia="arial" w:hAnsi="arial" w:cs="arial"/>
          <w:color w:val="000000"/>
          <w:sz w:val="20"/>
          <w:lang w:val="en-US" w:eastAsia="en-US" w:bidi="ar-SA"/>
        </w:rPr>
        <w:t>, Griffin J., under the heading "General Principles Regarding the Right to a Jury" observed the following at paras. 12-15: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[12] There is a common law right to a jury. A party ought not to be deprived of this important right except for cogent reasons: </w:t>
      </w:r>
      <w:r>
        <w:rPr>
          <w:rFonts w:ascii="arial" w:eastAsia="arial" w:hAnsi="arial" w:cs="arial"/>
          <w:i/>
          <w:color w:val="000000"/>
          <w:sz w:val="20"/>
          <w:lang w:val="en-US" w:eastAsia="en-US" w:bidi="ar-SA"/>
        </w:rPr>
        <w:t>King v. Colonial Homes Ltd.</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[1956] S.C.R. 528</w:t>
        </w:r>
      </w:hyperlink>
      <w:r>
        <w:rPr>
          <w:rFonts w:ascii="arial" w:eastAsia="arial" w:hAnsi="arial" w:cs="arial"/>
          <w:color w:val="000000"/>
          <w:sz w:val="20"/>
          <w:lang w:val="en-US" w:eastAsia="en-US" w:bidi="ar-SA"/>
        </w:rPr>
        <w:t xml:space="preserve"> at 533.</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Craig J.A. explained the plaintiff's entitlement to a jury in civil cases (at 10):</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A plaintiff is entitled to trial by jury, except in certain types of cases specified in the Rules, and he can be deprived of this right only if a party opposing a trial by jury establishes "clearly" that one of more of the exceptions in R. 39(20) [the predecessor to Rule 39(27)] is applicable. </w:t>
      </w:r>
      <w:r>
        <w:rPr>
          <w:rFonts w:ascii="arial" w:eastAsia="arial" w:hAnsi="arial" w:cs="arial"/>
          <w:i/>
          <w:color w:val="000000"/>
          <w:sz w:val="20"/>
          <w:lang w:val="en-US" w:eastAsia="en-US" w:bidi="ar-SA"/>
        </w:rPr>
        <w:t>McDonald v. Inland Natural Gas Co.</w:t>
      </w:r>
      <w:r>
        <w:rPr>
          <w:rFonts w:ascii="arial" w:eastAsia="arial" w:hAnsi="arial" w:cs="arial"/>
          <w:color w:val="000000"/>
          <w:sz w:val="20"/>
          <w:lang w:val="en-US" w:eastAsia="en-US" w:bidi="ar-SA"/>
        </w:rPr>
        <w:t xml:space="preserve"> (1966), 57 W.W.R. 87 at 95.</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[14] In </w:t>
      </w:r>
      <w:r>
        <w:rPr>
          <w:rFonts w:ascii="arial" w:eastAsia="arial" w:hAnsi="arial" w:cs="arial"/>
          <w:i/>
          <w:color w:val="000000"/>
          <w:sz w:val="20"/>
          <w:lang w:val="en-US" w:eastAsia="en-US" w:bidi="ar-SA"/>
        </w:rPr>
        <w:t>McDonald v. Inland Natural Gas Co.</w:t>
      </w:r>
      <w:r>
        <w:rPr>
          <w:rFonts w:ascii="arial" w:eastAsia="arial" w:hAnsi="arial" w:cs="arial"/>
          <w:color w:val="000000"/>
          <w:sz w:val="20"/>
          <w:lang w:val="en-US" w:eastAsia="en-US" w:bidi="ar-SA"/>
        </w:rPr>
        <w:t xml:space="preserve"> (1966), 57 W.W.R. 87 (B.C.C.A.), Branca J.A. commented at 95 that "while the right of a trial by jury goes back far and is imbedded deeply in the history of our law, and while a litigant is not to be deprived of that right unless he is clearly within an exception created by law, where such an exception applies, that right should be refused."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[15] The onus is on the applicant seeking to set aside a jury notice to show that the party who selected trial by jury is not entitled to that mode of trial: </w:t>
      </w:r>
      <w:r>
        <w:rPr>
          <w:rFonts w:ascii="arial" w:eastAsia="arial" w:hAnsi="arial" w:cs="arial"/>
          <w:i/>
          <w:color w:val="000000"/>
          <w:sz w:val="20"/>
          <w:lang w:val="en-US" w:eastAsia="en-US" w:bidi="ar-SA"/>
        </w:rPr>
        <w:t>Creasy v. Sweny</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(1942), 57 B.C.R. 457</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[1942] 3 W.W.R. 65</w:t>
        </w:r>
      </w:hyperlink>
      <w:r>
        <w:rPr>
          <w:rFonts w:ascii="arial" w:eastAsia="arial" w:hAnsi="arial" w:cs="arial"/>
          <w:color w:val="000000"/>
          <w:sz w:val="20"/>
          <w:lang w:val="en-US" w:eastAsia="en-US" w:bidi="ar-SA"/>
        </w:rPr>
        <w:t xml:space="preserve">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Counsel for the plaintiff draws my attention to the reasons of Madam Justice Bruce in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xml:space="preserve">. Bruce J. declined to strike out a jury notice in two complex personal injury actions to be heard at the same time. I accept that a jury is capable of hearing and deciding such actions but the added complexities in the case before me of a trial within a trial, and the implications of the plaintiff's potential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personal injury action and the approach the counsel would take to negotiating a settlement, the possibility of which is alluded to in paragraph 10 of the statement of claim, lead me to the conclusion that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has several points of distinction from the application before me and does not assist in my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There are inherent complexities in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w:t>
      </w:r>
      <w:r>
        <w:rPr>
          <w:rFonts w:ascii="arial" w:eastAsia="arial" w:hAnsi="arial" w:cs="arial"/>
          <w:i/>
          <w:color w:val="000000"/>
          <w:sz w:val="20"/>
          <w:lang w:val="en-US" w:eastAsia="en-US" w:bidi="ar-SA"/>
        </w:rPr>
        <w:t>Nichols v. Warner, Scarborough, Herman &amp; Harvey</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2009 BCCA 277</w:t>
        </w:r>
      </w:hyperlink>
      <w:r>
        <w:rPr>
          <w:rFonts w:ascii="arial" w:eastAsia="arial" w:hAnsi="arial" w:cs="arial"/>
          <w:color w:val="000000"/>
          <w:sz w:val="20"/>
          <w:lang w:val="en-US" w:eastAsia="en-US" w:bidi="ar-SA"/>
        </w:rPr>
        <w:t>, the Court of Appeal commented on them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[26] In a case of this kind, the court is required to essentially conduct a trial within a trial to the extent possible: the first to determine whether the solicitor has been negligent in respect of the litigation undertaken; the second to determine, if so, what loss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caused the client. In some instances, whether there has been a loss and what it was can be readily established. In others, however, the prospect of success and recovery may not be easily shown due to uncertainties of proof and perhaps legal consequences inherent in any given case. Indeed, the mere passage of time may render the conduct of a trial within a trial virtually impossible. What the court must do in such circumstances where the prospect of recovery in the original action is inconclusive is to quantify as best it can the value of what the authorities regard a lost opportunity. The Alberta Court of Appeal summarized the approach to be taken in </w:t>
      </w:r>
      <w:r>
        <w:rPr>
          <w:rFonts w:ascii="arial" w:eastAsia="arial" w:hAnsi="arial" w:cs="arial"/>
          <w:i/>
          <w:color w:val="000000"/>
          <w:sz w:val="20"/>
          <w:lang w:val="en-US" w:eastAsia="en-US" w:bidi="ar-SA"/>
        </w:rPr>
        <w:t>Fisher v. Knibbe</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[1992] 5 W.W.R. 385</w:t>
        </w:r>
      </w:hyperlink>
      <w:r>
        <w:rPr>
          <w:rFonts w:ascii="arial" w:eastAsia="arial" w:hAnsi="arial" w:cs="arial"/>
          <w:color w:val="000000"/>
          <w:sz w:val="20"/>
          <w:lang w:val="en-US" w:eastAsia="en-US" w:bidi="ar-SA"/>
        </w:rPr>
        <w:t xml:space="preserve"> at para. 12, </w:t>
      </w:r>
      <w:hyperlink r:id="rId610" w:history="1">
        <w:r>
          <w:rPr>
            <w:rFonts w:ascii="arial" w:eastAsia="arial" w:hAnsi="arial" w:cs="arial"/>
            <w:i/>
            <w:color w:val="0077CC"/>
            <w:sz w:val="20"/>
            <w:u w:val="single"/>
            <w:shd w:val="clear" w:color="auto" w:fill="FFFFFF"/>
            <w:lang w:val="en-US" w:eastAsia="en-US" w:bidi="ar-SA"/>
          </w:rPr>
          <w:t>3 Alta. L.R. (3d) 97</w:t>
        </w:r>
      </w:hyperlink>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After conducting the "trial within a trial" to determine what damages, if any, a negligent solicitor is liable for missing a limitation period, three results are possible. First, the trial judge could find that had the case gone to trial the plaintiff would have been successful and in such case 100 per cent of the lost damages would be awarded against the solicitor. Second, the trial judge could find that the plaintiff would not have been successful therefore only nominal damages may be awarded against the solicitor. Finally, where time has passed to such an extent that a "trial within a trial" would be impossible, then the court must to the best of its ability calculate the value of the opportunity lost to the plaintiff and award damages against the solicitor on that basis.</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[27] At least in this jurisdiction, the threshold for recovery of a lost opportunity appears to be one of a "reasonable possibility" that something was in fact lost. That was the term used in </w:t>
      </w:r>
      <w:r>
        <w:rPr>
          <w:rFonts w:ascii="arial" w:eastAsia="arial" w:hAnsi="arial" w:cs="arial"/>
          <w:i/>
          <w:color w:val="000000"/>
          <w:sz w:val="20"/>
          <w:lang w:val="en-US" w:eastAsia="en-US" w:bidi="ar-SA"/>
        </w:rPr>
        <w:t>Papageorgiou v. Seyl</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(1990), 45 B.C.L.R. (2d) 319</w:t>
        </w:r>
      </w:hyperlink>
      <w:r>
        <w:rPr>
          <w:rFonts w:ascii="arial" w:eastAsia="arial" w:hAnsi="arial" w:cs="arial"/>
          <w:color w:val="000000"/>
          <w:sz w:val="20"/>
          <w:lang w:val="en-US" w:eastAsia="en-US" w:bidi="ar-SA"/>
        </w:rPr>
        <w:t xml:space="preserve"> (C.A.) at 326. In </w:t>
      </w:r>
      <w:r>
        <w:rPr>
          <w:rFonts w:ascii="arial" w:eastAsia="arial" w:hAnsi="arial" w:cs="arial"/>
          <w:i/>
          <w:color w:val="000000"/>
          <w:sz w:val="20"/>
          <w:lang w:val="en-US" w:eastAsia="en-US" w:bidi="ar-SA"/>
        </w:rPr>
        <w:t>Trinden Enterprises Ltd. v. Ramsay</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2009 BCCA 125</w:t>
        </w:r>
      </w:hyperlink>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Graybriar Industries Ltd. v. Davis &amp; Co.</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(1990), 46 B.C.L.R. (2d) 164</w:t>
        </w:r>
      </w:hyperlink>
      <w:r>
        <w:rPr>
          <w:rFonts w:ascii="arial" w:eastAsia="arial" w:hAnsi="arial" w:cs="arial"/>
          <w:color w:val="000000"/>
          <w:sz w:val="20"/>
          <w:lang w:val="en-US" w:eastAsia="en-US" w:bidi="ar-SA"/>
        </w:rPr>
        <w:t xml:space="preserve"> (S.C.), aff'd </w:t>
      </w:r>
      <w:hyperlink r:id="rId614" w:history="1">
        <w:r>
          <w:rPr>
            <w:rFonts w:ascii="arial" w:eastAsia="arial" w:hAnsi="arial" w:cs="arial"/>
            <w:i/>
            <w:color w:val="0077CC"/>
            <w:sz w:val="20"/>
            <w:u w:val="single"/>
            <w:shd w:val="clear" w:color="auto" w:fill="FFFFFF"/>
            <w:lang w:val="en-US" w:eastAsia="en-US" w:bidi="ar-SA"/>
          </w:rPr>
          <w:t>(1992), 72 B.C.L.R. (2d) 190</w:t>
        </w:r>
      </w:hyperlink>
      <w:r>
        <w:rPr>
          <w:rFonts w:ascii="arial" w:eastAsia="arial" w:hAnsi="arial" w:cs="arial"/>
          <w:color w:val="000000"/>
          <w:sz w:val="20"/>
          <w:lang w:val="en-US" w:eastAsia="en-US" w:bidi="ar-SA"/>
        </w:rPr>
        <w:t xml:space="preserve"> (C.A.), was cited. There, on a consideration of the authorities, it was said (at 193) the client is entitled to an award if the claim said to have been lost is "not merely 'fanciful'" but is established as a possibility. Once the threshold is met, it remains for the court to assess the strength of the possibility, having regard for the exigencies of the litigation.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 jury should be assumed to be capable of trying the plaintiff's personal injury action if it had gone to trial. However, the defendant argues the extra complexity arising from the need to determine whether the defendant Mr. Buxton breached a duty to the plaintiff, which breach deprived the plaintiff of the ability to join Surrey as a defendant, and which now mean a jury would need to assess damages for that lost opportunity, ought to tip the balance against trying the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with a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do not accept that a jury in this case would find its task overly complex if it was asked to decide if the failure to give notice to Surrey of the potential damage claim should be characterized as a breach of duty by the defendant's solicitor. Nevertheless, there are other difficulties with a jury trial which lead me to conclude a trial by a judge alone is more suitable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Lopushinsky v. Spraggs</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2000 BCSC 222</w:t>
        </w:r>
      </w:hyperlink>
      <w:r>
        <w:rPr>
          <w:rFonts w:ascii="arial" w:eastAsia="arial" w:hAnsi="arial" w:cs="arial"/>
          <w:color w:val="000000"/>
          <w:sz w:val="20"/>
          <w:lang w:val="en-US" w:eastAsia="en-US" w:bidi="ar-SA"/>
        </w:rPr>
        <w:t>, Sigurdson J. considered the suitability of a jury trial in a complex case as follows at para. 19: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[19] The principles pertinent to this application, I think, have been conveniently marshalled and aptly stated by Cohen J. in </w:t>
      </w:r>
      <w:r>
        <w:rPr>
          <w:rFonts w:ascii="arial" w:eastAsia="arial" w:hAnsi="arial" w:cs="arial"/>
          <w:i/>
          <w:color w:val="000000"/>
          <w:sz w:val="20"/>
          <w:lang w:val="en-US" w:eastAsia="en-US" w:bidi="ar-SA"/>
        </w:rPr>
        <w:t>Yewdale v. Insurance Corporation of British Columbia</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(1994), 1 B.C.L.R. (3d) 278</w:t>
        </w:r>
      </w:hyperlink>
      <w:r>
        <w:rPr>
          <w:rFonts w:ascii="arial" w:eastAsia="arial" w:hAnsi="arial" w:cs="arial"/>
          <w:color w:val="000000"/>
          <w:sz w:val="20"/>
          <w:lang w:val="en-US" w:eastAsia="en-US" w:bidi="ar-SA"/>
        </w:rPr>
        <w:t xml:space="preserve"> at 285 (S.C.), where he discussed the possibility that a case that requires organized and deliberate consideration of complex issues might not be suitable for trial by a jury:</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I think that the disposition of this application falls squarely within the words of McEachern C.J.S.C. (as he then was) in two decisions. First, in </w:t>
      </w:r>
      <w:r>
        <w:rPr>
          <w:rFonts w:ascii="arial" w:eastAsia="arial" w:hAnsi="arial" w:cs="arial"/>
          <w:i/>
          <w:color w:val="000000"/>
          <w:sz w:val="20"/>
          <w:lang w:val="en-US" w:eastAsia="en-US" w:bidi="ar-SA"/>
        </w:rPr>
        <w:t>Dunne v. Kokan</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[1982] B.C.J. No. 1519</w:t>
        </w:r>
      </w:hyperlink>
      <w:r>
        <w:rPr>
          <w:rFonts w:ascii="arial" w:eastAsia="arial" w:hAnsi="arial" w:cs="arial"/>
          <w:color w:val="000000"/>
          <w:sz w:val="20"/>
          <w:lang w:val="en-US" w:eastAsia="en-US" w:bidi="ar-SA"/>
        </w:rPr>
        <w:t>, September 8, 1982, Vancouver Registry Nos. C801301, C801387, a case involving medical malpractice allegations against multiple defendants, the Chief Justice said at p. 4:</w:t>
      </w:r>
    </w:p>
    <w:p>
      <w:pPr>
        <w:spacing w:before="120" w:line="260" w:lineRule="atLeast"/>
        <w:ind w:left="1440"/>
        <w:rPr>
          <w:lang w:val="en-US" w:eastAsia="en-US" w:bidi="ar-SA"/>
        </w:rPr>
      </w:pPr>
      <w:r>
        <w:rPr>
          <w:rFonts w:ascii="arial" w:eastAsia="arial" w:hAnsi="arial" w:cs="arial"/>
          <w:color w:val="000000"/>
          <w:sz w:val="20"/>
          <w:lang w:val="en-US" w:eastAsia="en-US" w:bidi="ar-SA"/>
        </w:rPr>
        <w:t xml:space="preserve">In view of the foregoing I have a discretion to order that the trial be heard by a Judge without a jury, and I so order because, in my respectful view, all parties have a better chance of a satisfactory trial by Judge alone, notwithstanding the presumed superior "wisdom" of a jury. Wisdom is not the question. </w:t>
      </w:r>
      <w:r>
        <w:rPr>
          <w:rFonts w:ascii="arial" w:eastAsia="arial" w:hAnsi="arial" w:cs="arial"/>
          <w:i/>
          <w:color w:val="000000"/>
          <w:sz w:val="20"/>
          <w:u w:val="single"/>
          <w:lang w:val="en-US" w:eastAsia="en-US" w:bidi="ar-SA"/>
        </w:rPr>
        <w:t>It is rather a question of managing facts and issues for which a trial by Judge alone is more suitable in a case such as this</w:t>
      </w:r>
      <w:r>
        <w:rPr>
          <w:rFonts w:ascii="arial" w:eastAsia="arial" w:hAnsi="arial" w:cs="arial"/>
          <w:color w:val="000000"/>
          <w:sz w:val="20"/>
          <w:lang w:val="en-US" w:eastAsia="en-US" w:bidi="ar-SA"/>
        </w:rPr>
        <w:t>.</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Secondly, in </w:t>
      </w:r>
      <w:r>
        <w:rPr>
          <w:rFonts w:ascii="arial" w:eastAsia="arial" w:hAnsi="arial" w:cs="arial"/>
          <w:i/>
          <w:color w:val="000000"/>
          <w:sz w:val="20"/>
          <w:lang w:val="en-US" w:eastAsia="en-US" w:bidi="ar-SA"/>
        </w:rPr>
        <w:t>Macdonald v. Smith</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(1983), 48 B.C.L.R. 285</w:t>
        </w:r>
      </w:hyperlink>
      <w:r>
        <w:rPr>
          <w:rFonts w:ascii="arial" w:eastAsia="arial" w:hAnsi="arial" w:cs="arial"/>
          <w:color w:val="000000"/>
          <w:sz w:val="20"/>
          <w:lang w:val="en-US" w:eastAsia="en-US" w:bidi="ar-SA"/>
        </w:rPr>
        <w:t xml:space="preserve"> (S.C.), where the issues involved occupiers' liability on the part of two sets of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four sets of defendants, breach of statutory duty against two sets of defendants, possible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assessment of damages, the Chief Justice said at p. 288:</w:t>
      </w:r>
    </w:p>
    <w:p>
      <w:pPr>
        <w:spacing w:before="120" w:line="260" w:lineRule="atLeast"/>
        <w:ind w:left="1440"/>
        <w:rPr>
          <w:lang w:val="en-US" w:eastAsia="en-US" w:bidi="ar-SA"/>
        </w:rPr>
      </w:pPr>
      <w:r>
        <w:rPr>
          <w:rFonts w:ascii="arial" w:eastAsia="arial" w:hAnsi="arial" w:cs="arial"/>
          <w:color w:val="000000"/>
          <w:sz w:val="20"/>
          <w:lang w:val="en-US" w:eastAsia="en-US" w:bidi="ar-SA"/>
        </w:rPr>
        <w:t xml:space="preserve">Briefly, </w:t>
      </w:r>
      <w:r>
        <w:rPr>
          <w:rFonts w:ascii="arial" w:eastAsia="arial" w:hAnsi="arial" w:cs="arial"/>
          <w:i/>
          <w:color w:val="000000"/>
          <w:sz w:val="20"/>
          <w:u w:val="single"/>
          <w:lang w:val="en-US" w:eastAsia="en-US" w:bidi="ar-SA"/>
        </w:rPr>
        <w:t>I think a case of this complexity cannot conveniently or suitably be tried and a proper conclusion assured to the parties when there is no opportunity for thoughtful and timely consideration and reconsideration, particularly after several days of evidence and the other proceedings which follow the completion of evidence</w:t>
      </w:r>
      <w:r>
        <w:rPr>
          <w:rFonts w:ascii="arial" w:eastAsia="arial" w:hAnsi="arial" w:cs="arial"/>
          <w:color w:val="000000"/>
          <w:sz w:val="20"/>
          <w:lang w:val="en-US" w:eastAsia="en-US" w:bidi="ar-SA"/>
        </w:rPr>
        <w:t>. There must, in a case such as this, be an opportunity for thoughtful review after preliminary conclusions have been reached and there is too much risk of a compromise verdict being accepted by the jury or a majority of the jury under pressures of time and other personal consideration.</w:t>
      </w:r>
    </w:p>
    <w:p>
      <w:pPr>
        <w:spacing w:before="120" w:line="260" w:lineRule="atLeast"/>
        <w:ind w:left="720"/>
        <w:rPr>
          <w:lang w:val="en-US" w:eastAsia="en-US" w:bidi="ar-SA"/>
        </w:rPr>
      </w:pPr>
      <w:r>
        <w:rPr>
          <w:rFonts w:ascii="arial" w:eastAsia="arial" w:hAnsi="arial" w:cs="arial"/>
          <w:color w:val="000000"/>
          <w:sz w:val="20"/>
          <w:lang w:val="en-US" w:eastAsia="en-US" w:bidi="ar-SA"/>
        </w:rPr>
        <w:t>[Emphasis added by Sigurdson J.]</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claim is for damages for loss of the opportunity to recover additional damages from Surrey, by way of settlement or trial, which he alleges he could not recover because of the breach of duty of the defendant. Paragraph 10 of the statement of claim against Mr. Buxton speaks of the lost opportunity to recover damages from Surrey "by way of either settlement or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assessing damages the plaintiff will ask this Court to look at his claim against the alleged negligent solicitor as if he had properly joined Surrey. If that had been done, the plaintiff asserts he could have been compensated by Surrey for losses that he could not obtain from the defendant Bond.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difficulty with this assertion, for the purpose of the present application, arises from Ms. Bond's allegation in the personal injury action that the plaintiff was contributorily negligent. 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was proven, the liability of the defendants, Bond and Surrey, if any, would have been several only. The plaintiff could look to the defendants to compensate him only to the extent of their respective degrees of fault. If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found, the defendants' liability would be joint and the plaintiff could look to either defendant for all of his damages. See </w:t>
      </w:r>
      <w:r>
        <w:rPr>
          <w:rFonts w:ascii="arial" w:eastAsia="arial" w:hAnsi="arial" w:cs="arial"/>
          <w:i/>
          <w:color w:val="000000"/>
          <w:sz w:val="20"/>
          <w:lang w:val="en-US" w:eastAsia="en-US" w:bidi="ar-SA"/>
        </w:rPr>
        <w:t>Leischner et al v. West Kootenay Power and Light Company et al</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(1986), 70 B.C.L.R. 145</w:t>
        </w:r>
      </w:hyperlink>
      <w:r>
        <w:rPr>
          <w:rFonts w:ascii="arial" w:eastAsia="arial" w:hAnsi="arial" w:cs="arial"/>
          <w:color w:val="000000"/>
          <w:sz w:val="20"/>
          <w:lang w:val="en-US" w:eastAsia="en-US" w:bidi="ar-SA"/>
        </w:rPr>
        <w:t xml:space="preserve"> at 172.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negotiating a settlement, in the event Surrey had been joined, the plaintiff's legal advisers would need to consider the risk there would be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therefore several liability only. I have no means of assessing the extent of that risk but if it had become a reality, the outcome could have led to the plaintiff recovering less than the full measure of his damages. If, for example, the plaintiff was found 10% at fault; Bond 50% at fault; and no fault attached to Surrey, the plaintiff would be entitled to only one half his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hearing the trial judge's instructions on paragraph 10 of the statement of claim, a jury would need to understand the approach to the negotiations to settle the Personal Injury action taken by reasonably competent legal advisers which could have led to a settlement with a better outcome for the plaintiff than the one actually achieved. Having reached a conclusion on that difficult question, the jury would need to turn its mind to assessing damages in this action keeping in mind the trial judge's instructions that the assessment of damages for a lost opportunity is to be undertaken as described by the Court of Appeal in the </w:t>
      </w:r>
      <w:r>
        <w:rPr>
          <w:rFonts w:ascii="arial" w:eastAsia="arial" w:hAnsi="arial" w:cs="arial"/>
          <w:i/>
          <w:color w:val="000000"/>
          <w:sz w:val="20"/>
          <w:lang w:val="en-US" w:eastAsia="en-US" w:bidi="ar-SA"/>
        </w:rPr>
        <w:t>Nicols v. Warner, Scarborough, Herman &amp; Harvey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Those questions would require most anxious consideration by a judge alone and would make the task of charging the jury very onerous indeed.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Skretting Canada Inc. v. Westaqua Commodity Group Ltd.</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2010 BCSC 1614</w:t>
        </w:r>
      </w:hyperlink>
      <w:r>
        <w:rPr>
          <w:rFonts w:ascii="arial" w:eastAsia="arial" w:hAnsi="arial" w:cs="arial"/>
          <w:color w:val="000000"/>
          <w:sz w:val="20"/>
          <w:lang w:val="en-US" w:eastAsia="en-US" w:bidi="ar-SA"/>
        </w:rPr>
        <w:t>, Verhoeven J. struck out a jury notice in a products liability action saying, at para. 77: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[77] In a case like this it can be difficult enough for a judge sitting alone to properly instruct himself or herself as to the law applicable to the decision to be made. A judge sitting alone is able first to determine the real and necessary issues of fact and law applicable to the case. However, a judge sitting with a jury must charge the jury on one occasion on all of the law that may be applicable, depending upon what view of the numerous issues the jury may take. In this case, there is such a multiplicity of issues that the task of a judge in charging the jury would be all but impossible. In turn, the task of the jury would be overwhelming. Moreover, since the jury gives no reasons for its decision, no matter the result there is likely to be a difficult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Those words apply with equal force to the application before me. Accordingly, the jury notice will be struck. The defendant is entitled to his costs of this application in any event of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K.N. AFFLECK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Redcorp Ventures Ltd. (Re), [2016] B.C.J. No. 214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S091670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263 A.C.W.S. (3d) 646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33 C.B.R. (6th) 239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Companies' Creditors Arrangement Act, R.S.C. 1985, c. C-36 AND IN THE MATTER OF the Canada Business Corporations Act, R.S. 1985 c. C-44 AND IN THE MATTER OF the British Columbia Business Corporations Act, S.B.C. 2002, c. 57 AND IN THE MATTER OF Redcorp Ventures Ltd. and Redfern Resources Ltd.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3"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3" w:name="Keywords_29"/>
      <w:bookmarkEnd w:id="213"/>
      <w:r>
        <w:rPr>
          <w:rFonts w:ascii="arial" w:eastAsia="arial" w:hAnsi="arial" w:cs="arial"/>
          <w:b/>
          <w:color w:val="000000"/>
          <w:sz w:val="20"/>
          <w:lang w:val="en-US" w:eastAsia="en-US" w:bidi="ar-SA"/>
        </w:rPr>
        <w:t xml:space="preserve">Bankruptcy and insolvency law — Administration of estate — Administrative officials and appointees — Receivers — Passing of accounts — Removal and discharge — Application by the Interim Receiver for approval of its report and fees, authorization to destroy all company records, releases from all liability and for discharge dismissed — Receiver was appointed in 2009 — Receiver had not rendered accounts until now — Accounts totalled $2,244,414 — Shortfall to creditors was about $110 million — No obvious inherent jurisdiction for court to exempt Receiver from liability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willful misconduct — Inappropriate to request that any future acts or omissions be released and discharged in view of Receiver's ongoing activity — Accounts presented by Receiver and counsel lacked required detail.</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4" w:name="Case Summary_28"/>
            <w:bookmarkEnd w:id="2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Interim Receiver for approval of its report and fees, authorization to destroy all company records, an order releasing the receiver from any and all liability and for a discharge of the receiver. The receiver was appointed in 2009. The shortfall to creditors was about $110 million. The Receiver indicated and those creditors who would already suffer a shortfall had agreed to the passing of accounts of the Receiver, the passing of accounts of counsel for the Receiver, and for the releases sought by the Receiver. Those accounts totalled $2,244,414. This was the first account that had been issued in the six-year period.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5" w:name="Holdings of Court_26"/>
            <w:bookmarkEnd w:id="21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combined effect of the releases sought was so broad as to attempt to protect the Receiver from any and all liability. There was no obvious inherent jurisdiction for the court to exempt even its own officer from the general operation of statutes or to excuse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willful misconduct. The court could not be bound by the corporate monetary decision taken by creditors who would have to bear the cost of an appropriate review by the Court. It was inappropriate for the Receiver to make such a request to be released and discharged from any liability it might hereafter have. It was inappropriate to request that any future acts or omissions be released and discharged in view of the ongoing activity of the Receiver. Once all outstanding matters had been completed, the Receiver could re-apply for its discharge. Because any accounts actually rendered by the Receiver were not attached, because there was no actual description available about what the Receiver had accomplished, and because very few of the relevant considerations were provided to the Court, what was presented on behalf of the Receiver of counsel did not meet the requirements. By waiting six years to deliver an account, the receiver had run the risk that what was presented by the Receiver and counsel was in a format which was unacceptable and lacking in the required detail. With respect to counsel's account, there was nothing to indicate that what was incurred for legal services was at the standard rates and charges of counsel and whether this liability for legal fees was properly made or incurred. The records of the companies should be retained in accordance with Provincial and Federal legislation.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6" w:name="Legislation Cited_21"/>
      <w:bookmarkEnd w:id="2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4"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Companies' Creditors Arrangement Act, R.S.C. 1985, c. C-36.,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7" w:name="Counsel_30"/>
      <w:bookmarkEnd w:id="2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Alvarez &amp; Marsal Canada Inc., Receiver of Redcorp Ventures Ltd. and Redfern Resources Ltd.: H.L. Williams.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Secured Noteholders Whitebox Advisors LLC, GMP Investment Management LP, Sandleman Partners LP and VR Global Partners LP: N. Renner (attendance by telephone).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8" w:name="Judgment_30"/>
      <w:bookmarkEnd w:id="218"/>
      <w:r>
        <w:pict>
          <v:line id="_x0000_s1176"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9" w:name="G.D. BURNYEAT J._0"/>
            <w:bookmarkEnd w:id="219"/>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Alvarez &amp; Marsal Canada Inc. ("Alvarez") in its capacity as a Court appointed Interim Receiver and Receiver ("Receiver") of the assets, undertakings and properties of Redcorp Ventures Ltd. ("Redcorp") and Redfern Resources Ltd. ("Redfern") applies for a number of Orders including that:</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reports of the Receiver filed in these proceedings, including the Tenth Report of the Receiver dated December 8, 2015 ("Tenth Report"), and the actions and conduct of the Receiver as particularized therein be approved;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fees and disbursements of the Receiver and its counsel as set out in the Tenth Report, be approved;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Receiver be authorized to destroy any and all records of the Companies.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the filing of a Receiver's Discharge Certificate, the Receiver shall be discharged as Receiver of the assets, undertaking and property of the Companies, provided that notwithstanding its discharge herein: (a) the Receiver shall remain Receiver for the performance of such incidental duties as may be required to complete the administration of the receivership herein; and (b) the Receiver shall continue to have the benefit of the provisions of all Orders made in this proceeding, including all approvals, protections and stays of proceedings in favour of Alvarez in its capacity as Receiver.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Alvarez be hereby released and discharged from any and all liability that it now has or may hereafter have by reason of, or in any way arising out of its acts or omissions while acting in its capacity as Receiver herein. Without limiting the generality of the foregoing, Alvarez be hereby forever released and discharged from any and all liability relating to matters that were raised, or which could have been raised, in the within receivership proceedings.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Notwithstanding any provision herein, this Order shall not affect any person to whom notice of these proceedings was not delivered as required by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xml:space="preserve"> and regulations thereto, any other applicable enactment or any other Order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Redcorp and Redfern made a filing under the </w:t>
      </w:r>
      <w:r>
        <w:rPr>
          <w:rFonts w:ascii="arial" w:eastAsia="arial" w:hAnsi="arial" w:cs="arial"/>
          <w:i/>
          <w:color w:val="000000"/>
          <w:sz w:val="20"/>
          <w:lang w:val="en-US" w:eastAsia="en-US" w:bidi="ar-SA"/>
        </w:rPr>
        <w:t>Companies' Creditors Arrangement Act</w:t>
      </w:r>
      <w:r>
        <w:rPr>
          <w:rFonts w:ascii="arial" w:eastAsia="arial" w:hAnsi="arial" w:cs="arial"/>
          <w:color w:val="000000"/>
          <w:sz w:val="20"/>
          <w:lang w:val="en-US" w:eastAsia="en-US" w:bidi="ar-SA"/>
        </w:rPr>
        <w:t xml:space="preserve">, R.S.C. 1985, c. C-36,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R.S.C. 1985, c. C-44 and the </w:t>
      </w:r>
      <w:r>
        <w:rPr>
          <w:rFonts w:ascii="arial" w:eastAsia="arial" w:hAnsi="arial" w:cs="arial"/>
          <w:i/>
          <w:color w:val="000000"/>
          <w:sz w:val="20"/>
          <w:lang w:val="en-US" w:eastAsia="en-US" w:bidi="ar-SA"/>
        </w:rPr>
        <w:t>British Columbia Business Corporations Act</w:t>
      </w:r>
      <w:r>
        <w:rPr>
          <w:rFonts w:ascii="arial" w:eastAsia="arial" w:hAnsi="arial" w:cs="arial"/>
          <w:color w:val="000000"/>
          <w:sz w:val="20"/>
          <w:lang w:val="en-US" w:eastAsia="en-US" w:bidi="ar-SA"/>
        </w:rPr>
        <w:t>, R.S.B.C. 2002, c. 57. An Order was made on March 4, 2009 in response to the filing ("Initial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May 29, 2009, Alvarez was appointed Receiver, without security, of the current and future personal assets, undertakings and properties of Redcorp and Redfern ("Appointment Order"). Under the Appointment Order, the sum of $1,000,000 (exclusive of any interest earned thereon) as secured by the Administration Charge set out in the Initial Order was to be held and administered by the Receiver. The sum of $5,000,000 (exclusive of any interest earned thereon) as secured by the Directors' Charge set out in the Initial Order was also to be held and administered by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Appointment Order contained the following provision limiting the liability of Alvarez as Receiver: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ORDERS that the Receiver shall incur no personal liability or obligation as a result of its appointment or the carrying out of the provisions of this Order, save and except for any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on its part. Nothing in this Order shall derogate from the protections afforded the Receiver by Section 14.06 of the B.I.A.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R.S.C, 1985, c. B-3</w:t>
        </w:r>
      </w:hyperlink>
      <w:r>
        <w:rPr>
          <w:rFonts w:ascii="arial" w:eastAsia="arial" w:hAnsi="arial" w:cs="arial"/>
          <w:color w:val="000000"/>
          <w:sz w:val="20"/>
          <w:lang w:val="en-US" w:eastAsia="en-US" w:bidi="ar-SA"/>
        </w:rPr>
        <w:t>] or by any other applicable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CASE AUTHORITIES AND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Approval of the "Actions and Conduct of the Receiver" and the Release and Discharge of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What is requested in (a) and (e) above amounts to insurance for the Receiver in addition to any liability insurance that may be available to Alvarez. Not only are the "actions and conduct" of the Receiver as "particularized" in all of the ten Reports of the Receiver approved but also the Receiver is to be released and discharged from "any and all liability that it now has or may hereafter have by reason of, or in any way arising out of its acts or omissions..."whether or not the "actions and conduct" are particularized in any of the ten Reports filed with the Court by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While the personal liability and obligation of the Receiver is protected in the Initial Order save and except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the effect of the release and discharge sought in (e) above goes beyond what is set out in the Initial Order and does not make it clear that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are not released or discharged. The effect of (e) is that the Receiver is to be released from personal liability or obligations arising as a result of its appointment including any liability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Pepall J. in </w:t>
      </w:r>
      <w:r>
        <w:rPr>
          <w:rFonts w:ascii="arial" w:eastAsia="arial" w:hAnsi="arial" w:cs="arial"/>
          <w:i/>
          <w:color w:val="000000"/>
          <w:sz w:val="20"/>
          <w:lang w:val="en-US" w:eastAsia="en-US" w:bidi="ar-SA"/>
        </w:rPr>
        <w:t>Ed Mirvish Enterprises Ltd. v. Stinson Hospitality Inc.</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[2009] O.J. No. 4265</w:t>
        </w:r>
      </w:hyperlink>
      <w:r>
        <w:rPr>
          <w:rFonts w:ascii="arial" w:eastAsia="arial" w:hAnsi="arial" w:cs="arial"/>
          <w:color w:val="000000"/>
          <w:sz w:val="20"/>
          <w:lang w:val="en-US" w:eastAsia="en-US" w:bidi="ar-SA"/>
        </w:rPr>
        <w:t xml:space="preserve"> (Ont. S.C.J. Commercial List) made this statement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as a matter of principle, on discharge, a receiver should not be granted a release that encompasses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willful misconduct. It may be that such conduct only comes to light after a receiver has been discharged. In such circumstances, a receiver should be liable for its actions.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combined effect of what is sought in (a) and in (e) above is so broad as to attempt to protect the Receiver from any and all liability. There is no obvious inherent jurisdiction to exempt even its own officer from the general operation of statutes or to excuse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willful misconduct. That is why the standard appointment order excludes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from the exclusion given to a receiver for any "personal liability or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position of a court appointed Receiver was set out in </w:t>
      </w:r>
      <w:r>
        <w:rPr>
          <w:rFonts w:ascii="arial" w:eastAsia="arial" w:hAnsi="arial" w:cs="arial"/>
          <w:i/>
          <w:color w:val="000000"/>
          <w:sz w:val="20"/>
          <w:lang w:val="en-US" w:eastAsia="en-US" w:bidi="ar-SA"/>
        </w:rPr>
        <w:t>Ed Mirvish, supra</w:t>
      </w:r>
      <w:r>
        <w:rPr>
          <w:rFonts w:ascii="arial" w:eastAsia="arial" w:hAnsi="arial" w:cs="arial"/>
          <w:color w:val="000000"/>
          <w:sz w:val="20"/>
          <w:lang w:val="en-US" w:eastAsia="en-US" w:bidi="ar-SA"/>
        </w:rPr>
        <w:t>, where Pepall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Court appointed receiver is an officer and instrument of the Court. Liability it incurs is for its own account. It is for this reason that, subject to certain exceptions, a receiver typically receives a first charge over the assets under receivership. This secures its fees and disbursements and any liability it may incur with the exception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willful misconduct. The receiver is fully compensated by the estate once it has realized on the assets. A receiver wishes to be discharged once it has completed the substance of its mandate. Creditors typically support the requested discharge as they wish a final distribution of the remaining funds in the estate and do not wish additional receivership expenses to be incurred which would reduce the funds available for distribution. A receiver often is concerned that if it is discharged without a full release, it may be required to spend time and money defending an unmeritorious action. Once discharged, there is no ability for the receiver to recover its costs from the estate. Absent a discharge and if there are funds in the estate, a receiver may be protected and compensated by the estate.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a trustee in bankruptcy, a receiver is unable to look for statutory assistance. Section 41(8) of the </w:t>
      </w:r>
      <w:r>
        <w:rPr>
          <w:rFonts w:ascii="arial" w:eastAsia="arial" w:hAnsi="arial" w:cs="arial"/>
          <w:i/>
          <w:color w:val="000000"/>
          <w:sz w:val="20"/>
          <w:lang w:val="en-US" w:eastAsia="en-US" w:bidi="ar-SA"/>
        </w:rPr>
        <w:t>Bankruptcy and Insolvency Act</w:t>
      </w:r>
      <w:r>
        <w:rPr>
          <w:rFonts w:ascii="arial" w:eastAsia="arial" w:hAnsi="arial" w:cs="arial"/>
          <w:color w:val="000000"/>
          <w:sz w:val="20"/>
          <w:lang w:val="en-US" w:eastAsia="en-US" w:bidi="ar-SA"/>
        </w:rPr>
        <w:t xml:space="preserve"> provides that the discharge of a trustee discharges him [or her] from all liability in respect of any act done or default made by him [or her] in the administration of the property of the bankrupt and in relation to his conduct as trustee but any discharge may be revoked by the Court on proof that it was obtained by fraud or by suppression or concealment of any material fact. A receiver's discharge is not addressed by statute. For all of these reasons, requests for full releases are made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8 and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the Receiver indicated that the shortfall to creditors is in the neighbourhood of $110 million and those creditors who will already suffer a shortfall had agreed to the passing of accounts of the Receiver, the passing of accounts of counsel for the Receiver, and for the releases sought by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am satisfied that this is not a sufficient answer to the questions raised by the applications of the Receiver. The Receiver is a Court appointed officer and the Court retains and must exercise a reasonable review of the actions taken by the Receiver and of the seriousness of any omissions relating to actions not taken by the Receiver. The Court cannot be bound by the corporate "monetary" decision taken by a creditor or by creditors who will have to bear the cost of an appropriate review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An order following the format of the "Model Discharge Order" does not automatically include such a broad release and discharge as is contemplated in (e) above. Rather, if such a broad release and discharge is to be included, that inclusion must be drawn to the attention of the Court. The B.C. Model Insolvency Order Committee provided this comment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BCMIOC was divided as to whether a general release might be appropriate. On the one hand, the Receiver has presumably reported its activities to the Court, and presumably the reported activities have been approved in prior Orders. Moreover, the Order that appointed the Receiver likely has protections in favour of the Receiver. These factors tend to indicate that a general release of the Receiver is not necessary. On the other hand, the Receiver has acted only in a representative capacity and as the Court's officer, so the Court may be of the view that it is appropriate to insulate the Receiver from liability by way of a general release. Some members of the BCMIOC felt that, absent a general release, Receivers might hold back funds and/or wish to conduct a claims bar process, which would unnecessarily add time and cost to the receivership.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Without intending to express an opinion as to whether a general release is appropriate, the BCMIOC has decided not to include the general release language in the body of the model order. Whether such language is appropriate is a matter to be considered by the presiding Judge based on the specific circumstances of the case. If this relief is being sought, stakeholders should be specifically advised and given ample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general release is ordered, the language approved by the BCMIOC is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[RECEIVER'S NAME] is hereby released and discharged from any and all liability that [RECEIVER'S NAME] now has or may hereafter have by reason of, or in any way arising out of, the acts or omissions of [RECEIVER'S NAME] while acting in its capacity as Receiver herein. Without limiting the generality of the foregoing, [RECEIVER'S NAME] is hereby forever released and discharged from any and all liability relating to matters that were raised, or which could have been raised, in the within receivership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requesting this provision, counsel could not confirm that all "stakeholders" had been "specifically advised and given ample notice". Rather, notice was only provided to "Secured Noteholders" who will suffer a shortfall as a result of the receivership. Even if all stakeholders had been notified, I cannot be satisfied that the breadth of the release sought is appropriate even though it is the wording that is set out in the Model Discharge Order. Despite the suggested wording, it could not have been contemplated by the drafters that "any and all liability relating to matters that were raised, or which could have been raised" would include a release and discharge of liability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First, it would be contrary to what was set out in the Appointment Order. Second, the Court should not countenance the release and discharge of any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of its own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Regarding the request that the Receiver be released and discharged from any liability it "may hereafter have", I am satisfied that it is inappropriate for the Receiver to make such a request. First, such a request would include a release and discharge of claims for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wilful misconduct. Second, what is contemplated is that the Receiver will be discharged upon filing a "Receiver's Discharge Certificate" so that the Court will not necessarily have the benefit of a further Report from the Receiver about future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Tenth Report of the Receiver sets out a number of matters that remain unresolved and which will require further action by the Receiver. It is inappropriate to request that any future "acts or omissions" be released and discharged in view of this ongoing activity of the Receiver. Once all outstanding matters have been completed, the Receiver can re-apply for its discharge. At that time, the Court can take into account all activities of the Receiver and whether a claims bar process has been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Once the further actions contemplated in the Tenth Report are completed by the Receiver, the Receiver will be in a position to apply for what is requested in (d) above. In this regard, the Explanatory Notes attached to the Model Discharge Order note the following regarding what is requested by the Receiver in (d) above: "Counsel should consider including this provision only if the Receiver's Report identifies any outstanding matters that should be completed before the Receiver's discharge. "As well, what is requested in (d) above does not include the necessary phrase: "...upon the Receiver filing a certificate certifying that it has completed the remaining outstanding activities described in the Report". Here, it is not clear whether all "outstanding matters that should be completed before the Receivers' discharge" are specifically set out in the Tenth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So that the Court is in a position to confirm that all creditors and interested parties are aware of the effect of any release and discharge requested by the Receiver, the Receiver is in the position to establish "claims bar process" whereby all creditors and interested parties are notified that they will lose any rights to claim against the Receiver after a suitable period of time has elapsed and no application has been made to the Court to seek leave to proceed against the Receiver. In this regard, the Initial Order provided the following protection: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no proceeding or enforcement process in any court or tribunal (each, a "Proceeding"), shall be commenced or continued against the Receiver except with the written consent of the Receiver or with leave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Receiver will be at liberty to reapply for its release and discharge.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ACCOUNTS OF THE RECEIVER AND ITS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Appointment Order provided the following regarding the accounts of the Receiver and its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any expenditure or liability which shall properly be made or incurred by the Receiver, including the fees of the Receiver and the fees and disbursements of its legal counsel, incurred at the standard rates and charges of the Receiver and its counsel, shall be allowed to it in passing its accounts and shall form a first charge on the Property (the "Receiver's Charge") in priority to all security interests, trusts, liens, charges and encumbrances, statutory of otherwise, in favour of any Person, but excluding the charge on the ERIP Monies, the Administration Charge and the Directors' 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ORDERS that the Receiver and its legal counsel shall pass their accounts from time to time, and for this purpose the accounts of the Receiver and its legal counsel are hereby referred to a judge of the Supreme Court of British Columbia and may be heard on a summary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Regarding the question of the duty of a Court appointed receiver to report to the Court and to pass its accounts, the following statements were made in </w:t>
      </w:r>
      <w:r>
        <w:rPr>
          <w:rFonts w:ascii="arial" w:eastAsia="arial" w:hAnsi="arial" w:cs="arial"/>
          <w:i/>
          <w:color w:val="000000"/>
          <w:sz w:val="20"/>
          <w:lang w:val="en-US" w:eastAsia="en-US" w:bidi="ar-SA"/>
        </w:rPr>
        <w:t>Re Confectionately Yours, Inc. et al</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(2002), 219 D.L.R. (4th) 72</w:t>
        </w:r>
      </w:hyperlink>
      <w:r>
        <w:rPr>
          <w:rFonts w:ascii="arial" w:eastAsia="arial" w:hAnsi="arial" w:cs="arial"/>
          <w:color w:val="000000"/>
          <w:sz w:val="20"/>
          <w:lang w:val="en-US" w:eastAsia="en-US" w:bidi="ar-SA"/>
        </w:rPr>
        <w:t xml:space="preserve"> (Ont. C.A.) by Borins J.A.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thorough discussion of the duty of a court-appointed receiver to report to the court and to pass its accounts is contained in F. Bennett, </w:t>
      </w:r>
      <w:r>
        <w:rPr>
          <w:rFonts w:ascii="arial" w:eastAsia="arial" w:hAnsi="arial" w:cs="arial"/>
          <w:i/>
          <w:color w:val="000000"/>
          <w:sz w:val="20"/>
          <w:lang w:val="en-US" w:eastAsia="en-US" w:bidi="ar-SA"/>
        </w:rPr>
        <w:t>Bennett on Receiverships</w:t>
      </w:r>
      <w:r>
        <w:rPr>
          <w:rFonts w:ascii="arial" w:eastAsia="arial" w:hAnsi="arial" w:cs="arial"/>
          <w:color w:val="000000"/>
          <w:sz w:val="20"/>
          <w:lang w:val="en-US" w:eastAsia="en-US" w:bidi="ar-SA"/>
        </w:rPr>
        <w:t xml:space="preserve">, 2nd ed. (Scarborough: Carswell, 1999) at 443 </w:t>
      </w:r>
      <w:r>
        <w:rPr>
          <w:rFonts w:ascii="arial" w:eastAsia="arial" w:hAnsi="arial" w:cs="arial"/>
          <w:i/>
          <w:color w:val="000000"/>
          <w:sz w:val="20"/>
          <w:lang w:val="en-US" w:eastAsia="en-US" w:bidi="ar-SA"/>
        </w:rPr>
        <w:t>et seq</w:t>
      </w:r>
      <w:r>
        <w:rPr>
          <w:rFonts w:ascii="arial" w:eastAsia="arial" w:hAnsi="arial" w:cs="arial"/>
          <w:color w:val="000000"/>
          <w:sz w:val="20"/>
          <w:lang w:val="en-US" w:eastAsia="en-US" w:bidi="ar-SA"/>
        </w:rPr>
        <w:t>. As Bennett points out at pp. 445-446: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court-appointed receiver is neither an agent of the security holder nor of the debtor; the receiver acts on its own behalf and reports to the court. The receiver is an officer of the court whose duties are set out by the appointing order... Essentially, the receiver's duty is to report to the court as to what the receiver has done with the assets from the time of the appointment to the time of discharge.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report is required because the receiver is accountable to the court that made the appointment, accountable to all interested parties, and because the receiver, as a court officer, is required to discharge its duties properly. Generally, the report contains two parts. First, the report contains a narrative description about what the receiver did during a particular period of time in the receivership. Second, the report contains financial information, such as a statement of affairs setting out the assets and liabilities of the debtor and a statement of receipts and disbursements. At p. 449 Bennett provides a list of what should be contained in a report, which does not include the remuneration requested by the receiver. As Bennett states at p. 447, the report need not be verified by affidavit.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 is distinct from the passing of accounts. Generally, a receiver completes its management and administration of a debtor's assets by passing its accounts. The court can adjust the fees and charges of the receiver just as it can in the passing of an estate trustee's accounts; the applicable standard of review is whether those fees and charges are fair and reasonable. As stated by Bennett at p. 471, where the receiver's remuneration includes the amount it paid to its solicitor, the debtor (and any other interested party) has the right to have the solicitor's accounts assessed.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accept as correct Bennett's discussion of the purpose of the passing of a receiver's accounts at pp. 459-60: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purposes of the passing of accounts is to afford the receiver judicial protection in carrying out its powers and duties, and to satisfy the court that the fees and disbursements were fair and reasonable. Another purpose is to afford the debtor, the security holder and any other interested person the opportunity to question the receiver's activities and conduct to date. On the passing of accounts, the court has the inherent jurisdiction to review and approve or disapprove of the receiver's present and past activities even though the order appointing the receiver is silent as to the court's authority. The approval given is to the extent that the reports accurately summarize the material activities. However, where the receiver has already obtained court approval to do something, the court will not inquire into that transaction upon a passing of accounts. The court will inquire into complaints about the calculations in the accounts and whether the receiver proceeded without specific authority or exceeded the authority set out in the order. The court may, in addition, consider complaints concerning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receiver and challenges to the receiver's remuneration. </w:t>
      </w:r>
      <w:r>
        <w:rPr>
          <w:rFonts w:ascii="arial" w:eastAsia="arial" w:hAnsi="arial" w:cs="arial"/>
          <w:i/>
          <w:color w:val="000000"/>
          <w:sz w:val="20"/>
          <w:lang w:val="en-US" w:eastAsia="en-US" w:bidi="ar-SA"/>
        </w:rPr>
        <w:t>The passing of accounts allows for a detailed analysis of the accounts, the manner and the circumstances in which they were incurred, and the time that the receiver took to perform its duties. If there are any triable issues, the court can direct a trial of the issues with directions.</w:t>
      </w:r>
      <w:r>
        <w:rPr>
          <w:rFonts w:ascii="arial" w:eastAsia="arial" w:hAnsi="arial" w:cs="arial"/>
          <w:color w:val="000000"/>
          <w:sz w:val="20"/>
          <w:lang w:val="en-US" w:eastAsia="en-US" w:bidi="ar-SA"/>
        </w:rPr>
        <w:t xml:space="preserv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34-36)</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Receiver's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Attached as an appendix to the Tenth Report of Receiver is a "summary of the receiver's professional fees and disbursements for the period May 26, 2009 to September 27, 2014..." Those accounts total $2,244,414.45 including out-of-pocket disbursements of $123,408.26 and applicable taxes of $153,611.29. What was attached in the appendix set out the following information relating to the 43 invoices issued by Alvarez: (a) invoice number; (b) invoice date; (c) invoice period/description; (d) total hours; (e) fees; (f) disbursements; (g) HST; and (h) invoice total. Despite the inclusion of the word "description", no description of the services was included. As well, there is no detail regarding the date when services were rendered and no breakdown of the "total charges for each of the categories of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Also attached as an appendix to the Tenth Report is a list of the seven "Staff Members" who had worked on the receivership with the following included in that appendix: (a) staff member names; (b) title of the staff member; (c) the total hours spent by the staff member; (d) the billing rate of the staff member; and (e) the amount billed. The total of hours billed is 3,705.8. The average of the rates charged is $530.90, and the total billed is $1,967,394.90. There is no indication whether the billing rates changed during the period of May 26, 2009 through September 27, 2014. As well, there is no indication of the seniority of the staff members who worked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purpose of a Receiver passing its accounts is to afford all interested parties the opportunity to question the Receiver's activities and conduct. In order to be in a position to ascertain whether the fees and disbursements of the Receiver were "properly made or incurred" and are "fair and reasonable" what was done should be set out. In </w:t>
      </w:r>
      <w:r>
        <w:rPr>
          <w:rFonts w:ascii="arial" w:eastAsia="arial" w:hAnsi="arial" w:cs="arial"/>
          <w:i/>
          <w:color w:val="000000"/>
          <w:sz w:val="20"/>
          <w:lang w:val="en-US" w:eastAsia="en-US" w:bidi="ar-SA"/>
        </w:rPr>
        <w:t>Re Bakemates International Inc.</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(2002) 36 C.B.R. (4th) 200</w:t>
        </w:r>
      </w:hyperlink>
      <w:r>
        <w:rPr>
          <w:rFonts w:ascii="arial" w:eastAsia="arial" w:hAnsi="arial" w:cs="arial"/>
          <w:color w:val="000000"/>
          <w:sz w:val="20"/>
          <w:lang w:val="en-US" w:eastAsia="en-US" w:bidi="ar-SA"/>
        </w:rPr>
        <w:t xml:space="preserve"> (Ont. C.A.), Borins J.A. on behalf of the Court, dealt with the accounts of a Court appointed receiver and manager and made the following statement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accounts must disclose in detail the name of each person who rendered services, the dates on which the services were rendered, the time expended each day, the rate charged and the total charges for each of the categories of services rendered. See, e.g., Hermanns v. Ingle </w:t>
      </w:r>
      <w:hyperlink r:id="rId631" w:history="1">
        <w:r>
          <w:rPr>
            <w:rFonts w:ascii="arial" w:eastAsia="arial" w:hAnsi="arial" w:cs="arial"/>
            <w:i/>
            <w:color w:val="0077CC"/>
            <w:sz w:val="20"/>
            <w:u w:val="single"/>
            <w:shd w:val="clear" w:color="auto" w:fill="FFFFFF"/>
            <w:lang w:val="en-US" w:eastAsia="en-US" w:bidi="ar-SA"/>
          </w:rPr>
          <w:t>(1988), 68 C.B.R. (N.S.) 15</w:t>
        </w:r>
      </w:hyperlink>
      <w:r>
        <w:rPr>
          <w:rFonts w:ascii="arial" w:eastAsia="arial" w:hAnsi="arial" w:cs="arial"/>
          <w:color w:val="000000"/>
          <w:sz w:val="20"/>
          <w:lang w:val="en-US" w:eastAsia="en-US" w:bidi="ar-SA"/>
        </w:rPr>
        <w:t xml:space="preserve"> (Ont. Ass. Off.); Toronto Dominion Bank v. Park Foods Ltd. </w:t>
      </w:r>
      <w:hyperlink r:id="rId632" w:history="1">
        <w:r>
          <w:rPr>
            <w:rFonts w:ascii="arial" w:eastAsia="arial" w:hAnsi="arial" w:cs="arial"/>
            <w:i/>
            <w:color w:val="0077CC"/>
            <w:sz w:val="20"/>
            <w:u w:val="single"/>
            <w:shd w:val="clear" w:color="auto" w:fill="FFFFFF"/>
            <w:lang w:val="en-US" w:eastAsia="en-US" w:bidi="ar-SA"/>
          </w:rPr>
          <w:t>(1986), 77 N.S.R. (2d) 202</w:t>
        </w:r>
      </w:hyperlink>
      <w:r>
        <w:rPr>
          <w:rFonts w:ascii="arial" w:eastAsia="arial" w:hAnsi="arial" w:cs="arial"/>
          <w:color w:val="000000"/>
          <w:sz w:val="20"/>
          <w:lang w:val="en-US" w:eastAsia="en-US" w:bidi="ar-SA"/>
        </w:rPr>
        <w:t xml:space="preserve"> (S.C.). The accounts should be in a form that can be easily understood by those affected by the receivership (or by the judicial officer required to assess the accounts) so that such person can determine the amount of time spent by the receiver's employees (and others that the receiver may have hired) in respect to the various discrete aspects of the receivership.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Bennett states that a receiver's accounts and a solicitor's accounts should be verified by affidavit (at pp. 462-63). I agree.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37 and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addressing the appropriate principles and factors to be considered in assessing the appropriate compensation for a receiver, Taggart J.A. on behalf of the Court in </w:t>
      </w:r>
      <w:r>
        <w:rPr>
          <w:rFonts w:ascii="arial" w:eastAsia="arial" w:hAnsi="arial" w:cs="arial"/>
          <w:i/>
          <w:color w:val="000000"/>
          <w:sz w:val="20"/>
          <w:lang w:val="en-US" w:eastAsia="en-US" w:bidi="ar-SA"/>
        </w:rPr>
        <w:t>Bank of Montreal v. Nican Trading Co.</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(1990), 43 B.C.L.R. (2d) 315</w:t>
        </w:r>
      </w:hyperlink>
      <w:r>
        <w:rPr>
          <w:rFonts w:ascii="arial" w:eastAsia="arial" w:hAnsi="arial" w:cs="arial"/>
          <w:color w:val="000000"/>
          <w:sz w:val="20"/>
          <w:lang w:val="en-US" w:eastAsia="en-US" w:bidi="ar-SA"/>
        </w:rPr>
        <w:t xml:space="preserve"> (C.A.), made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principles which guided the Registrar were those set out in the Belyea [</w:t>
      </w:r>
      <w:r>
        <w:rPr>
          <w:rFonts w:ascii="arial" w:eastAsia="arial" w:hAnsi="arial" w:cs="arial"/>
          <w:i/>
          <w:color w:val="000000"/>
          <w:sz w:val="20"/>
          <w:lang w:val="en-US" w:eastAsia="en-US" w:bidi="ar-SA"/>
        </w:rPr>
        <w:t>Belyea and Fowler v. Federal Business Development Bank</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(1983), 46 C.B.R. (N.S.) 244</w:t>
        </w:r>
      </w:hyperlink>
      <w:r>
        <w:rPr>
          <w:rFonts w:ascii="arial" w:eastAsia="arial" w:hAnsi="arial" w:cs="arial"/>
          <w:color w:val="000000"/>
          <w:sz w:val="20"/>
          <w:lang w:val="en-US" w:eastAsia="en-US" w:bidi="ar-SA"/>
        </w:rPr>
        <w:t xml:space="preserve"> (N.B.C.A.) case to which he referred. He applied the relevant considerations listing them at the end of his recommendations. They included: (a) the value of the assets; (b) complications and difficulties encountered by the Receiver; (c) degree of assistance provided by Nican; (d) time spent by the Receiver; (e) Receiver's knowledge, experience and skill; (f) diligence and thoroughness; (g) responsibilities assumed; (h) results; (i) cost of comparable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those factors the Registrar took into the account the estimates made by the Receiver as to the cost of the receivership with particular reference to the various fee estimates provided from time to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pp. 320-321)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BT-PR Realty Holdings Inc. v. Coopers &amp; Lybrand</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[1997] O.J. No. 1097</w:t>
        </w:r>
      </w:hyperlink>
      <w:r>
        <w:rPr>
          <w:rFonts w:ascii="arial" w:eastAsia="arial" w:hAnsi="arial" w:cs="arial"/>
          <w:color w:val="000000"/>
          <w:sz w:val="20"/>
          <w:lang w:val="en-US" w:eastAsia="en-US" w:bidi="ar-SA"/>
        </w:rPr>
        <w:t xml:space="preserve"> (Ont. Gen. Div. [Commercial List]), further "relevant considerations" were added including the existence of an indemnity agreement, the secured position for priority for payment, the demanding of efficiency by a debtor, and with special emphasis on the parties agreeing to a charged based on the number of hours times an hourly rate of the persons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Bakemates, supra</w:t>
      </w:r>
      <w:r>
        <w:rPr>
          <w:rFonts w:ascii="arial" w:eastAsia="arial" w:hAnsi="arial" w:cs="arial"/>
          <w:color w:val="000000"/>
          <w:sz w:val="20"/>
          <w:lang w:val="en-US" w:eastAsia="en-US" w:bidi="ar-SA"/>
        </w:rPr>
        <w:t>, Borins J.A. made the statement regarding what information should be available to the Court in the passing of accounts of a receiver.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"receiver asks the court to approve its compensation, there is an onus on the receiver to prove that the compensation for which it seeks court approval is fair and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Here, the accounts of the Receiver were not verified by Affidavit. Such an Affidavit should include what is set out in </w:t>
      </w:r>
      <w:r>
        <w:rPr>
          <w:rFonts w:ascii="arial" w:eastAsia="arial" w:hAnsi="arial" w:cs="arial"/>
          <w:i/>
          <w:color w:val="000000"/>
          <w:sz w:val="20"/>
          <w:lang w:val="en-US" w:eastAsia="en-US" w:bidi="ar-SA"/>
        </w:rPr>
        <w:t>Nican, BT-PR Realty</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As well, there is no description of what was done by each of the personnel who worked on the file and whose time is reflected in the 43 invoices which were issued. There is no information regarding the "standard rates and charges" of each of the personnel. There is no ability to ascertain whether what was charged was at the "standard rates and charges" of the Receiver. It is not possible to ascertain whether the liability for the fees of the Receiver were expenditures or liabilities which were "...properly be made or incurred..." I adopt the statement made by Borins J.A. in </w:t>
      </w:r>
      <w:r>
        <w:rPr>
          <w:rFonts w:ascii="arial" w:eastAsia="arial" w:hAnsi="arial" w:cs="arial"/>
          <w:i/>
          <w:color w:val="000000"/>
          <w:sz w:val="20"/>
          <w:lang w:val="en-US" w:eastAsia="en-US" w:bidi="ar-SA"/>
        </w:rPr>
        <w:t>Bakemates, supra</w:t>
      </w:r>
      <w:r>
        <w:rPr>
          <w:rFonts w:ascii="arial" w:eastAsia="arial" w:hAnsi="arial" w:cs="arial"/>
          <w:color w:val="000000"/>
          <w:sz w:val="20"/>
          <w:lang w:val="en-US" w:eastAsia="en-US" w:bidi="ar-SA"/>
        </w:rPr>
        <w:t xml:space="preserve"> regarding what should have been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practice that requires a court-appointed receiver to verify its statement of fees and disbursements on the passing of its accounts conforms with the general practice in the assessment of the fees and disbursements of solicitors and trustees.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Because any accounts actually rendered by the Receiver were not attached, because there was no actual description available to the Court about what the Receiver had accomplished, and because very few of the "relevant considerations" were provided to the Court, what was presented on behalf of the Receiver does not meet the requirements set out in </w:t>
      </w:r>
      <w:r>
        <w:rPr>
          <w:rFonts w:ascii="arial" w:eastAsia="arial" w:hAnsi="arial" w:cs="arial"/>
          <w:i/>
          <w:color w:val="000000"/>
          <w:sz w:val="20"/>
          <w:lang w:val="en-US" w:eastAsia="en-US" w:bidi="ar-SA"/>
        </w:rPr>
        <w:t>Nican, BT-PR Realty</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Re Confectionately Yours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all supra</w:t>
      </w:r>
      <w:r>
        <w:rPr>
          <w:rFonts w:ascii="arial" w:eastAsia="arial" w:hAnsi="arial" w:cs="arial"/>
          <w:color w:val="000000"/>
          <w:sz w:val="20"/>
          <w:lang w:val="en-US" w:eastAsia="en-US" w:bidi="ar-SA"/>
        </w:rPr>
        <w:t>. What should be presented must include copies of any invoices issued, information regarding the standard rates and charges of each of the personnel who had worked on the receivership, and an indication of seniority within the profession, a narrative description about what was done, statement of affairs setting out the assets and liabilities of the debtor, statement of receipts and disbursements, and time that the Receiver took to perform its duties. This information would allow the Court to determine the appropriateness of any standard rates and charges imposed. If there is any information in the invoices which is confidential, such information could be redacted or sealed in the records of the Court. The reference to a "summary basis" does not relate to reduced information that should be before the Court. Rather, the phrase relates to the basis to have the Court rather than the Registrar consider the materials that would ordinarily be before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cannot interpret the phrase "pass their accounts from time to time" as meaning only once in the six years since the Receiver was appointed and close to the time when the activities of the Receiver have come to an end. Where total receipts of Redcorp and Redfern amount to in excess of $39,500,000, an appropriate passing of accounts cannot be interpreted as being once in six years. The same goes for the total fees and disbursements of the Receiver of in excess of $2,200,000. It is not unreasonable to expect that the passing of accounts "from time to time" would at least every two years. In this regard, s. 99(1) of the </w:t>
      </w:r>
      <w:r>
        <w:rPr>
          <w:rFonts w:ascii="arial" w:eastAsia="arial" w:hAnsi="arial" w:cs="arial"/>
          <w:i/>
          <w:color w:val="000000"/>
          <w:sz w:val="20"/>
          <w:lang w:val="en-US" w:eastAsia="en-US" w:bidi="ar-SA"/>
        </w:rPr>
        <w:t xml:space="preserve">Trustee Act,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xml:space="preserve"> provides for an "executor, administrator, trustee under a will" to pass his or her accounts every two years unless the accounts are approved and consented to in writing by all beneficiaries, or "the court otherwise orders". While the Receiver is not an executor, administrator, or trustee, I see no reason why it would not be appropriate for a Receiver to pass his or her accounts at least every two years. If necessary, a Court application could be made to extend that period if the circumstances justify such an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If a lengthier time goes by, a Receiver will not have the benefit of any comments about the form of the accounts which can then be incorporated into later passing of accounts. By waiting six years, the Receiver has run the risk that what was presented was in a format which was unacceptable and lacking in the required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Receiver will be at liberty to re-apply for the passing of its accounts.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Accounts of Counsel for 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Attached as a further appendix to the Tenth Report is a "summary of the professional fees and disbursements for the Receiver's legal counsel" for the period of May 30, 2009 through November 9, 2015. The total fees are $1,065,788.24 including out-of-pocket disbursements of $18,545.43 and applicable taxes of $113,492.71. Also attached is a break-down of the 57 invoices rendered by counsel which include information under the following headings: (a) invoice number; (b) invoice date; (c) fees; (d) disbursements; (e) HST; and (f) invoice total. There was a breakdown of the personnel by "Staff Member" which included the following categories: students, associates, paralegals, partners, tax advisors, associate counsel, and "Word Processing". There was also a break-down under the following headings: (a) name of staff member; (b) their title; (c) their total hours; (d) their billing rate which included varying rates depending on the year that the services were rendered; and (e) amount billed attributable to each of them. There is no indication as to what services were rendered by any of those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Regarding the "fees and disbursements" of legal counsel for the Receiver, the same comments can be made relating to what was presented. First, the accounts should have been verified by Affidavit. Second, there is nothing which would allow me to conclude that what was incurred for legal services was at the "standard rates and charges" of counsel. Third, because there is no description of the services rendered, it is not possible to ascertain whether this liability for legal fees was "properly...made or incurred". Fourth, the assessment of fees should not be just a matter of calculating the number of hours spent times an hourly rate. There should be some correlation of the cost to the benefits derived by the receivership: </w:t>
      </w:r>
      <w:r>
        <w:rPr>
          <w:rFonts w:ascii="arial" w:eastAsia="arial" w:hAnsi="arial" w:cs="arial"/>
          <w:i/>
          <w:color w:val="000000"/>
          <w:sz w:val="20"/>
          <w:lang w:val="en-US" w:eastAsia="en-US" w:bidi="ar-SA"/>
        </w:rPr>
        <w:t>Bank of Nova Scotia v. Diemer</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2014 ONSC 365</w:t>
        </w:r>
      </w:hyperlink>
      <w:r>
        <w:rPr>
          <w:rFonts w:ascii="arial" w:eastAsia="arial" w:hAnsi="arial" w:cs="arial"/>
          <w:color w:val="000000"/>
          <w:sz w:val="20"/>
          <w:lang w:val="en-US" w:eastAsia="en-US" w:bidi="ar-SA"/>
        </w:rPr>
        <w:t xml:space="preserve"> at para. 20. Fifth, counsel should keep in mind Rule 14-1(31)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which provides: "A lump sum bill must contain a description of the nature of the services and of the matter involved as would, in the opinion of a Registrar, afford any lawyer sufficient information to advise a client on the reasonableness of the charge made." Sixth, the Court should not automatically approve the "usual" hourly rates for counsel. In this regard, see </w:t>
      </w:r>
      <w:r>
        <w:rPr>
          <w:rFonts w:ascii="arial" w:eastAsia="arial" w:hAnsi="arial" w:cs="arial"/>
          <w:i/>
          <w:color w:val="000000"/>
          <w:sz w:val="20"/>
          <w:lang w:val="en-US" w:eastAsia="en-US" w:bidi="ar-SA"/>
        </w:rPr>
        <w:t>Diemer, supra</w:t>
      </w:r>
      <w:r>
        <w:rPr>
          <w:rFonts w:ascii="arial" w:eastAsia="arial" w:hAnsi="arial" w:cs="arial"/>
          <w:color w:val="000000"/>
          <w:sz w:val="20"/>
          <w:lang w:val="en-US" w:eastAsia="en-US" w:bidi="ar-SA"/>
        </w:rPr>
        <w:t>, where Goodman J. made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assumption that the court will automatically approve a "usual" hourly rate for Receiver's counsel, whether it stems from the commercial list practice or from a geographical region like Toronto is a faulty one. As Spies J. opined in </w:t>
      </w:r>
      <w:r>
        <w:rPr>
          <w:rFonts w:ascii="arial" w:eastAsia="arial" w:hAnsi="arial" w:cs="arial"/>
          <w:i/>
          <w:color w:val="000000"/>
          <w:sz w:val="20"/>
          <w:lang w:val="en-US" w:eastAsia="en-US" w:bidi="ar-SA"/>
        </w:rPr>
        <w:t>Pandya v. Simpson</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[2006] O.J. No. 2312</w:t>
        </w:r>
      </w:hyperlink>
      <w:r>
        <w:rPr>
          <w:rFonts w:ascii="arial" w:eastAsia="arial" w:hAnsi="arial" w:cs="arial"/>
          <w:color w:val="000000"/>
          <w:sz w:val="20"/>
          <w:lang w:val="en-US" w:eastAsia="en-US" w:bidi="ar-SA"/>
        </w:rPr>
        <w:t>, the court, with the assistance of opposing counsel [if there is one], has to play the role of what a client would ordinarily do, namely consider whether the hourly rate is fair and reasonable in light of the nature of the work involved and the amounts in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Regarding the fees and disbursements of counsel, I adopt the statement in </w:t>
      </w:r>
      <w:r>
        <w:rPr>
          <w:rFonts w:ascii="arial" w:eastAsia="arial" w:hAnsi="arial" w:cs="arial"/>
          <w:i/>
          <w:color w:val="000000"/>
          <w:sz w:val="20"/>
          <w:lang w:val="en-US" w:eastAsia="en-US" w:bidi="ar-SA"/>
        </w:rPr>
        <w:t>Bennett On Receiverships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where the learned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must scrutinize the accounts carefully to assure that the appropriate lawyers are performing services to the receiver on the same basis and factors as the receivers. Where legal accounts have no relevance to the receivership, the court will reduce the fees. Similar factors are considered on the taxation or assessment of the legal accounts, namely: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expended;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receivership;</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responsibility assumed by the lawyers;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money involved, including reference to the debt, amount of proceeds after realization, payments to the creditors;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and skill of the lawyers involved;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achieved;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client to pay;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client's expectations as to the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What should have been presented on behalf of legal counsel would be that which would have been presented to the Registrar on the assessment of an account being rendered to a client. As it was not, the Receiver will be in a position to reapply to have the fees and disbursements of the counsel for the Receiver approved.</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Should there be a Reference to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question which arises is whether it is appropriate to refer the question of the passing of accounts of the Receiver and the passing of accounts of the counsel for the Receiver to the Registrar or whether it is appropriate to assess costs summarily as is provided in the Appointment Order. In this regard, Rule 14-1(15)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that a Court may award costs "of a proceeding" and "...in ordering those costs the court may fix the amount of costs, including the amount of disbursements". In the context of a trial and an order made for costs, Donald J.A. made these statements on behalf of the Court in </w:t>
      </w:r>
      <w:r>
        <w:rPr>
          <w:rFonts w:ascii="arial" w:eastAsia="arial" w:hAnsi="arial" w:cs="arial"/>
          <w:i/>
          <w:color w:val="000000"/>
          <w:sz w:val="20"/>
          <w:lang w:val="en-US" w:eastAsia="en-US" w:bidi="ar-SA"/>
        </w:rPr>
        <w:t>Graham v. Moore Estate</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2003 BCCA 497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remains the issue whether the Plaintiffs' costs should have been assessed before the Registrar rather than by the trial judge. It is said that Mr. Campa was denied the procedural protections of a Registrar's hearing, and he did not have an adequate opportunity to challenge items in the solicitor's bill. The Registrar's hearing would have involved more litigation in a losing cause; a problem that underlies all of Mr. Campa's process arguments.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settled that a trial judge has the authority to determine the quantity of the award although it is a power to be exercised sparingly: </w:t>
      </w:r>
      <w:r>
        <w:rPr>
          <w:rFonts w:ascii="arial" w:eastAsia="arial" w:hAnsi="arial" w:cs="arial"/>
          <w:i/>
          <w:color w:val="000000"/>
          <w:sz w:val="20"/>
          <w:lang w:val="en-US" w:eastAsia="en-US" w:bidi="ar-SA"/>
        </w:rPr>
        <w:t>Harrington was Royal Inland Hospital</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(1995) 131 D.L.R. (4th) 15</w:t>
        </w:r>
      </w:hyperlink>
      <w:r>
        <w:rPr>
          <w:rFonts w:ascii="arial" w:eastAsia="arial" w:hAnsi="arial" w:cs="arial"/>
          <w:color w:val="000000"/>
          <w:sz w:val="20"/>
          <w:lang w:val="en-US" w:eastAsia="en-US" w:bidi="ar-SA"/>
        </w:rPr>
        <w:t xml:space="preserve"> [B.C.C.A.]. As in </w:t>
      </w:r>
      <w:r>
        <w:rPr>
          <w:rFonts w:ascii="arial" w:eastAsia="arial" w:hAnsi="arial" w:cs="arial"/>
          <w:i/>
          <w:color w:val="000000"/>
          <w:sz w:val="20"/>
          <w:lang w:val="en-US" w:eastAsia="en-US" w:bidi="ar-SA"/>
        </w:rPr>
        <w:t>Harrington</w:t>
      </w:r>
      <w:r>
        <w:rPr>
          <w:rFonts w:ascii="arial" w:eastAsia="arial" w:hAnsi="arial" w:cs="arial"/>
          <w:color w:val="000000"/>
          <w:sz w:val="20"/>
          <w:lang w:val="en-US" w:eastAsia="en-US" w:bidi="ar-SA"/>
        </w:rPr>
        <w:t>, the trial judge in the present case did not want to burden the parties with the task of acquainting the Registrar with the complexities of the case when he was fully familiar with all aspects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Campa was unable to demonstrate any denial of the opportunity to address the reasonableness of the bill. (at paras. 45-47)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view of the Appointment Order and in view of the desire to provide appropriate expediency to the procedures adopted by the Court, I am satisfied that the present Rule allows a summary determination by the Court rather than a reference to the Registrar on the question of costs. Such a summary determination by the Court is contemplated by the Appointment Order. This view is confirmed in the decision in </w:t>
      </w:r>
      <w:r>
        <w:rPr>
          <w:rFonts w:ascii="arial" w:eastAsia="arial" w:hAnsi="arial" w:cs="arial"/>
          <w:i/>
          <w:color w:val="000000"/>
          <w:sz w:val="20"/>
          <w:lang w:val="en-US" w:eastAsia="en-US" w:bidi="ar-SA"/>
        </w:rPr>
        <w:t>Gichuru v. Smith</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(2014), 65 B.C.L.R. (5th) 72</w:t>
        </w:r>
      </w:hyperlink>
      <w:r>
        <w:rPr>
          <w:rFonts w:ascii="arial" w:eastAsia="arial" w:hAnsi="arial" w:cs="arial"/>
          <w:color w:val="000000"/>
          <w:sz w:val="20"/>
          <w:lang w:val="en-US" w:eastAsia="en-US" w:bidi="ar-SA"/>
        </w:rPr>
        <w:t xml:space="preserve"> (C.A.) where Harris and Goepel JJ.A. made these statements regarding the principles under which an assessment before a judge should take place: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principle governing cost assessments under the Rules is simple: parties are only entitled to their objectively reasonable legal costs as determined according to the particular costs scale that they were awarded. This principle applies equally to assessments made by the registrar under Rules 14-1(2) or 14-1(3) and assessments made by a judge under R. 14-1(15). It applies whether costs are awarded pursuant to a final judgement or interlocutory application. This principle follows from the plain and ordinary meaning of the Rules and the basic principles of natural justice, as discussed below. It reflects the requirement in Rules 14-1(2) and 14-1(3) that only those costs proper and reasonably necessary to conduct the proceeding may be allowed. Lastly, it applies with equal force regardless of the method used to assess costs; that is, whether it is done pursuant to a hearing or summarily. (at para 101)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 to fix the quantum of costs under R. 14-1(15) is a matter of judicial discretion that should be sparingly exercised. The court officer best placed to conduct an assessment is usually the registrar, whose knowledge and experience in assessing legal bills is extensive and seldom matched by that of a trial judge. An exception may arise in cases when the judge is intimately familiar with the litigation or the time and cost of a registrar's hearing cannot be justified or where the parties consent. The fact that a judge has heard the trial does not necessarily lead to the conclusion that the best use of judicial resources is for the judge to assess costs. A concern that a party who might have to pay costs will prolong the costs assessment by requiring a microscopic review of the services provided by counsel must be balanced against the right of that party to challenge the reasonableness of the proposed costs. (at para. 154)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protracted proceedings dealing with the </w:t>
      </w:r>
      <w:r>
        <w:rPr>
          <w:rFonts w:ascii="arial" w:eastAsia="arial" w:hAnsi="arial" w:cs="arial"/>
          <w:i/>
          <w:color w:val="000000"/>
          <w:sz w:val="20"/>
          <w:lang w:val="en-US" w:eastAsia="en-US" w:bidi="ar-SA"/>
        </w:rPr>
        <w:t>Companies' Creditors Arrangement Act</w:t>
      </w:r>
      <w:r>
        <w:rPr>
          <w:rFonts w:ascii="arial" w:eastAsia="arial" w:hAnsi="arial" w:cs="arial"/>
          <w:color w:val="000000"/>
          <w:sz w:val="20"/>
          <w:lang w:val="en-US" w:eastAsia="en-US" w:bidi="ar-SA"/>
        </w:rPr>
        <w:t>, R.S.C., 1985, c. C-36 proceedings or a receivership, where a judge has heard each of the applications that have come before the Court, and has received regular reports, the assigned Judge can ascertain whether the accounts should be approved summarily without a reference to the Registrar. That is the most expeditious way of determining that question and is consistent with the Appointment Order. However, this decision should be made by the assigned Judge after the form and the completeness of the materials filed in support of the application can be reviewed so that, if the materials do not meet the criteria set out above, the matter can be referred to the Registrar with directions regarding the materials that must be produced. It would also depend on the question of whether notice has been provided to all, not some, stakeholders and whether a claims bar process has been undertaken and completed.</w:t>
      </w:r>
      <w:r>
        <w:rPr>
          <w:rFonts w:ascii="arial" w:eastAsia="arial" w:hAnsi="arial" w:cs="arial"/>
          <w:sz w:val="20"/>
          <w:lang w:val="en-US" w:eastAsia="en-US" w:bidi="ar-SA"/>
        </w:rPr>
        <w:cr/>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Destruction of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application contained the following request: "The Receiver is authorized to destroy any and all records of the Company in its possession." I am satisfied that this request runs contrary to the requirements set out in Provincial and Federal legislation regarding retention of records including the requirements of the Superintendent of Bankruptcy, of the Canada Revenue Agency, and of Provincial Legislation dealing with corporations. There is also an important reason "any and all records" of Redcorp and Redfern should not be destroyed. If, in the future, a party obtains the consent of the Receiver or the approval of the Court to proceed against the Receiver, the destruction of records means that the discovery process available pursuant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would be meaningless. In the absence of the expiry of a limitation period, a claims bar process or a Court Order, the records of Redcorp and Redfern should be retained in accordance with Provincial and Federal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Receiver will be at liberty to speak to the question whether the costs of this application should be born by the creditors of Redfern Resources Ltd. and Redcorp Ventures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Skretting Canada Inc. v. Westaqua Commodity Group Ltd., [2010] B.C.J. No. 2260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S081881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1614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C.P.C. (7th) 127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3104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791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Skretting Canada Inc., Plaintiff, and Westaqua Commodity Group Ltd., Defendant, and ChemNutra Inc., Diversified Ingredients Inc., and Steve Miller and Sally Miller,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8"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0" w:name="Keywords_30"/>
      <w:bookmarkEnd w:id="220"/>
      <w:r>
        <w:rPr>
          <w:rFonts w:ascii="arial" w:eastAsia="arial" w:hAnsi="arial" w:cs="arial"/>
          <w:b/>
          <w:color w:val="000000"/>
          <w:sz w:val="20"/>
          <w:lang w:val="en-US" w:eastAsia="en-US" w:bidi="ar-SA"/>
        </w:rPr>
        <w:t>Civil litigation — Civil procedure — Trials — Jury trials — Jury notice — Setting aside or striking out — Application by defendant Westaqua Commodity Group Ltd. to have the trial be heard by a judge without a jury and to have the plaintiff pay it costs incidental to the application in any event of the cause allowed — There was such a multiplicity of issues that the task of a judge in charging the jury would be all but impossible — The issues were of an intricate or complex nature within the meaning of Rule 39(27)(a)(ii) and the jury notice ought to be set aside on that basis — British Columbia Supreme Court Rules, Rule 39(27)(a)(ii).</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Contracts — Proceedings in contract — Practice and procedure — General principles — Application by defendant Westaqua Commodity Group Ltd. to have the trial be heard by a judge without a jury and to have the plaintiff pay it costs incidental to the application in any event of the cause allowed — There was such a multiplicity of issues that the task of a judge in charging the jury would be all but impossible — The issues were of an intricate or complex nature within the meaning of Rule 39(27)(a)(ii) and the jury notice ought to be set aside on that basis — British Columbia Supreme Court Rules, Rule 39(27)(a)(ii).</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1" w:name="Case Summary_29"/>
            <w:bookmarkEnd w:id="2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Westaqua Commodity Group Ltd. to have the trial be heard by a judge without a jury and to have the plaintiff pay it costs incidental to the application in any event of the cause. The applicant argued the jury notice must/ should be set aside, as (1) the mandatory operation of Rule 39(25)(f) prohibited a jury trial where it relates to the setting aside or cancellation of a deed or written instrument; (2) the mandatory operation of Rule 39(25)(j) prohibited a jury trial where the sole or principal issue related to the construction of a contract; and (3) the court ought to exercise its discretion under Rule 39(27)(a)(ii) on the grounds that the issues were of an intricate or complex nature. The underlying action was a product liability case regarding the sale of wheat gluten originating in China. The plaintiff alleged the defendant/application sold it Chinese wheat gluten contaminated with melamine. It further alleged it used the gluten to manufacture fish feed and suffered losses as a result of selling the contaminated fish feed to customers. Westaqua denied liability and filed an amended third party notice against two American companies. In turn, one of these filed a third party notice against the other and its principals.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2" w:name="Holdings of Court_27"/>
            <w:bookmarkEnd w:id="222"/>
            <w:r>
              <w:rPr>
                <w:rFonts w:ascii="arial" w:eastAsia="arial" w:hAnsi="arial" w:cs="arial"/>
                <w:color w:val="000000"/>
                <w:sz w:val="20"/>
                <w:lang w:val="en-US" w:eastAsia="en-US" w:bidi="ar-SA"/>
              </w:rPr>
              <w:t>HELD: Application granted with costs in any event of the cause.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jury notice was set aside as per ground three. (1) The plaintiff did not seek to set aside or cancel in its entirety or have declared void ab initio the written contract for the sale of goods. It relied on what it contended was a verbal contract. It claimed that if Westaqua succeeded in establishing that the written terms were applicable, then the terms which served to limit or exclude liability would be unenforceable. In such circumstances, it could nto be said that the trial would relate to the setting aside or cancellation of a contract as found in Rule 39(25)(f) in its modern context, and accordingly, that section did not apply. It was therefore unnecessary to go on to consider whether setting aside or cancellation of the contract would be the main or central issue at the trial. (2) It was clear that the question of the construction of the contract would not be the sole issue at trial. There were many other issues. In the court's view, the construction of the contract would not be the principal issue. There was no dispute a contract was entered into, and there did not seem to be much dispute regarding the fact that the product supplied was contaminated. On the application before the court no argument was made concerning competing interpretations of the written terms. The court was unable to conclude the sole or principal issue at trial related to construction of a contract, and therefore Rule 39(25) was not applicable. (3) There were 18 significant factual, legal or mixed factual and legal issues, including: whether the written terms of the contract applied, whether they excluded or limited liability, to what extent they applied, whether the written warranty term excluded the operation of the conditions of fitness for purpose and merchantability set out in the Sale of Goods Act, etc. There was such a multiplicity of issues that the task of a judge in charging the jury would be all but impossible. Since the jury gives no reasons for its decision, no matter the result there was likely to be a difficult appeal. The issues were of an intricate or complex nature within the meaning of Rule 39(27) (a)(ii) and the jury notice ought to be set aside on that basis.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3" w:name="Legislation Cited_22"/>
      <w:bookmarkEnd w:id="2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9"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10(1)(b), Rule 39(25), Rule 39(27), Rule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CHAPTER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CHAPTER 410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4" w:name="Counsel_31"/>
      <w:bookmarkEnd w:id="2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0"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P. Hildebrand, G.D. Phillips.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 Skorah, S. Jacob.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5" w:name="Judgment_31"/>
      <w:bookmarkEnd w:id="225"/>
      <w:r>
        <w:pict>
          <v:line id="_x0000_s1181"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6" w:name="F.E. VERHOEVEN J. (orally)"/>
            <w:bookmarkEnd w:id="226"/>
            <w:r>
              <w:rPr>
                <w:rFonts w:ascii="arial" w:eastAsia="arial" w:hAnsi="arial" w:cs="arial"/>
                <w:b/>
                <w:color w:val="000000"/>
                <w:sz w:val="30"/>
                <w:lang w:val="en-US" w:eastAsia="en-US" w:bidi="ar-SA"/>
              </w:rPr>
              <w:t>F.E. VERHOEVEN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Westaqua Commodity Group Ltd. [Westaqua], applies for the following relief: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that the trial of this matter be heard by the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without a jury, pursuant to Rules 39(25) and 39(27); and</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pay Westaqua the costs incidental to this application in any event of the cause, pursuant to the provisions of Rule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Westaqua submits that the jury notice either must be or should be set aside on the following grounds: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mandatory operation of Rule 39(25)(f), which prohibits a jury trial where it relates to the setting aside or cancellation of a deed or written instrument;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mandatory operation of Rule 39(25)(j), which prohibits a jury trial where the sole or principal issue relates to the construction of a contract;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discretionary operation of Rule 39(27)(a)(ii), on the grounds that the issues are of an intricate or complex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grant Westaqua's application to set aside the jury notice on ground 'c', that is, pursuant to Rule 39(27)(a)(ii).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 Review of the Parties'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is a product liability case regarding the sale of wheat gluten originating in China. The plaintiff, Skretting Canada Inc. [Skretting], alleges that Westaqua sold to it Chinese wheat gluten contaminated with melamine. Skretting further alleges that it used the gluten to manufacture fish feed and suffered loss as a result of selling the contaminated fish feed to its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Westaqua has filed a statement of defence denying liability and has filed an amended third party notice against two American companies: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ChemNutra Inc. [ChemNutra], a Nevada-based business, the activities of which have included the importation of Chinese wheat gluten into the United States;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Diversified Ingredients Inc. [Diversified], a Missouri-based business, the activities of which have included the export of Chinese wheat gluten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turn, Diversified filed a third party notice against ChemNutra and against the principals of ChemNutra, Steve Miller and Sally Miller [the Millers].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Westaqua's statement of defence raises contractual defences which limit or exclude liability. Skretting's reply takes the position that any limitation or exclusion of liability clauses set out in the contract do not apply, and in the alternative that it would be unfair to apply such clauses.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Diversified alleges that any relevant transaction with Westaqua incorporates the laws of the State of Missouri. Westaqua denies this allegation and says that any relevant transaction is governed by contractual terms and conditions set out in a Westaqua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ChemNutra and the Millers were investigated by the criminal investigations branch of the Food and Drug Administration in the United States, and pleaded guilty to charges contained in a federal indictment related to wheat gluten contaminated with melamine.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Westaqua is a company incorporated under the laws of B.C. Skretting is a company incorporated under the laws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Skretting's statement of claim alleges that in or about July 2006 it entered into a contract to purchase wheat gluten from Westaqua. It goes on to allege that the wheat gluten was, as Westaqua knew, to be mixed with other ingredients by Skretting so as to form fish feed which Skretting would then offer for sale to fish farms and hatcheries. Skretting alleges that material purporting to be wheat gluten was thereafter delivered to Skretting by or at the direction of Westaqua, and in any event, purportedly under the contract. It alleges that the material originated in China and contained quantities of melamine. It further alleges that the presence of melamine in the material that was delivered, in the quantities in which it was present, made that material unsuitable for use in fish feed, or in the alternative, unsuitable without modification. Skretting alleges Westaqua knew or ought to have known of these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alleged in paragraph 9 of the statement of claim that the delivery of the wheat gluten material constituted a breach of contract by Westaqua. I pause to observe that Skretting does not say in its statement of claim anything about a written contract or set out in any detail what the terms of the contract that it alleges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Skretting alleges in paragraphs 10 to 12 of its statement of claim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unaware of the presence of the melamine in the material that was delivered to it, and mixed it with other ingredients to form fish feed ("the melamine-containing feed"), which it would not have done if it had known the facts.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sold some of the melamine-containing feed to its customers, almost all of which were in the United States.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discovery of melamine and certain food sold in the United States, which seemed to come from ingredients which originated in China, investigations were made and in May 2007 the United States Food and Drug Administration advised the plaintiff, correctly, of the presence of melamine in the feed that the plaintiff had made with the material delivered to the plaintiff under its contracts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statement of claim goes on to allege losses with respect to the delivery of the contaminated product and says in paragraph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the plaintiff had to, and did, offer to replace the melamine-containing feed that it sold and delivered to customers who had not yet utilized it and were therefore able to return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16 alleges that Skretting was required to retrieve melamine-containing feed and replace it with other feed at its own cost. Paragraphs 17 through 20 set out various out-of-pocket losses incurred by Skretting for transportation costs, replacement costs, regulatory expenses, and refunds or credits that were provided to customers. It is alleged those out-of-pocket losses total about US$1.4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Paragraph 21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has also experienced a reduction in the business that it would otherwise have had, when its reputation was damaged by the publicizing, to its customers, of the fact that it had sold melamine-containing feed.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Paragraph 23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the defendant knew or ought to have known that the material that it was delivering, or causing to be delivered, to the plaintiff contained melamine or some other unacceptable material, or that there was a serious risk that this might be the case. But the defendant, by delivering or causing the melamine-containing material to the plaintiff as wheat gluten under the contract, explicitly or implicitly represented that it contained no such material and that there was no reason for the plaintiff to think that it might. The plaintiff relied on that misrepresentation in paying the purchase price to the defendant and in mixing the material that was delivered to it with other ingredients so as to create the melamine-containing feed, which in turn led it to suffer all the damages to which reference has already been made in this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Skretting's claim for relief sets out claims for special damages, "general damages </w:t>
      </w:r>
      <w:r>
        <w:rPr>
          <w:rFonts w:ascii="arial" w:eastAsia="arial" w:hAnsi="arial" w:cs="arial"/>
          <w:i/>
          <w:color w:val="000000"/>
          <w:sz w:val="20"/>
          <w:u w:val="single"/>
          <w:lang w:val="en-US" w:eastAsia="en-US" w:bidi="ar-SA"/>
        </w:rPr>
        <w:t>or</w:t>
      </w:r>
      <w:r>
        <w:rPr>
          <w:rFonts w:ascii="arial" w:eastAsia="arial" w:hAnsi="arial" w:cs="arial"/>
          <w:color w:val="000000"/>
          <w:sz w:val="20"/>
          <w:lang w:val="en-US" w:eastAsia="en-US" w:bidi="ar-SA"/>
        </w:rPr>
        <w:t xml:space="preserve"> the injury to its reputation" (which might be, I am inferring, general damages </w:t>
      </w:r>
      <w:r>
        <w:rPr>
          <w:rFonts w:ascii="arial" w:eastAsia="arial" w:hAnsi="arial" w:cs="arial"/>
          <w:i/>
          <w:color w:val="000000"/>
          <w:sz w:val="20"/>
          <w:u w:val="single"/>
          <w:lang w:val="en-US" w:eastAsia="en-US" w:bidi="ar-SA"/>
        </w:rPr>
        <w:t>for</w:t>
      </w:r>
      <w:r>
        <w:rPr>
          <w:rFonts w:ascii="arial" w:eastAsia="arial" w:hAnsi="arial" w:cs="arial"/>
          <w:color w:val="000000"/>
          <w:sz w:val="20"/>
          <w:lang w:val="en-US" w:eastAsia="en-US" w:bidi="ar-SA"/>
        </w:rPr>
        <w:t xml:space="preserve"> the injury to its reputation)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has already been adverted to, Westaqua's statement of defence sets out various contractual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Skretting, as will be apparent, is claiming damages in tort as well as contract. There is no specific pleading of fraud, but there are allegations in the statement of claim that Westaqua had actual knowledge of the fact that the wheat gluten contained melamine, so it seems to me there is a possibility of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During the course of argument, Skretting's counsel advised that Skretting will likely be amending its statement of claim to add claims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in relation to breach of the implied conditions of fitness for purpose and of merchantability as set out in that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Westaqua, in its statement of defence, at paragraph 3, says that it agrees that it entered into a contract with Skretting, whereby Westaqua supplied the wheat gluten meal to Skretting. It alleges various contractual provisions set out in a written contract. Specifically, paragraph 4 of the statement of defence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 contained the following provisions: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"Buyer waives all claims unless made in writing and delivered to Seller within 10 days after receipt of products."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"Waiver of Claim");</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shall not be liable in any respect for failure or delay in the performance of the contract if hindered or prevented directly or indirectly by ... causes reasonably beyond the Seller's control.", and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sole and exclusive liability of the Seller and the sole and exclusive remedy of the Buyer for any breach of any provision of this contract by the Seller are limited exclusively to replacement of the affected commodities, or, at the option of the Seller, payment of the fair market value of the affected products at the time of the breach. The Seller shall not be liable under any circumstances for any incidental, consequential or other damages. Buyer assumes all risk and liability for results obtained by the use of the product covered by this contract, whether used singly or in combination with other products."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"Limitation of Liability"); and</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Seller warrants that the products sold hereunder shall conform to the description of the front side thereof. The Seller makes no other warranty of any kind, express or implied, including without limitation no warranty of merchantability, or fitness for a particular purpose. There are no oral agreements or warranties collateral to or affecting this contract."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[Collectively, the "Written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Westaqua says in paragraph 6 that it has carried on business in accordance with reasonable standards of practice and procedure, and in accordance with accepted industry standards, and with reasonable care, skill, diligence, and without fault or neglect.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Paragraph 8 of the statement of defence says that if the wheat gluten material was deficient, then the deficiencies were caused wholly or in part by the acts, omissions,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combination thereof of Skretting. That same paragraph goes on to outline various allegations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fault on the part of Skretting, including failing to properly transport the wheat gluten material; failing to properly handle the material; instructing Westaqua to supply wheat gluten meal from a less expensive source based in China, which led to Westaqua supplying Skretting the wheat gluten in question; failing to perform reasonable or any due diligence in selecting suppliers; failing to adhere to safe and prudent manufacturing procedures; failing to adhere to a safe and prudent quality assurance program; and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paragraph 9, Westaqua states that it relies on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Paragraph 10 of the statement of defence says that Skretting had the ability or capacity to subject the wheat gluten to testing and analysis to confirm its suitability, which Skretting failed to perform adequately or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Westaqua places further reliance on the written contract towards the end of its statement of defence. There is also an allegation, among other things, of failure to mitigate by Skretting.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I mentioned, Skretting has filed a reply to Westaqua's statement of defence. The reply is very brief; it is one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answer to paragraphs 4 and 12 of the "Statement of Defence of the defendant Westaqua", Skretting says that if any of the clauses that Westaqua mentions did form part of the contract (which Skretting says is not the case), and if they would - except for their unfairness - give Westaqua a defence (which Skretting also says is not the case), it would be unfair for Westaqua to use them to escape liability in this case and therefore they do not give Westaqua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That single paragraph raises three issues. First, what are the terms of the contract? Westaqua claims that the Written Terms are part of the contract between the parties. I gather that there is also a reliance on past practices between the parties and perhaps custom in the trade. The second issue concerns the construction of the contract; that is, whether the Written Terms, if applicable, raise the contractual defences that Westaqua says they do. Third, if the Written Terms apply and serve to defeat or reduce liability on their correct interpretation, would they be enforceable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relation to the third issue, I was advised that since the filing of the reply the Supreme Court of Canada released its decision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[2010] 1 S.C.R.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cited to SCC]. I was advised that Skretting would be amending its reply to plead unenforceability of the contractual defences relied on by Westaqua upon the ground of unconscionability, or in the alternative upon what is called in that decision the "unruly horse" of public policy. Of course, I do not have the proposed amended reply in hand so I cannot be entirely sure as to its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the majority decision, written by Mr. Justice Cromwell, held that the claims of the plaintiff were not excluded by the terms of the contract, properly interpreted in context. The dissenting judgment, written by Mr. Justice Binnie, held that the exclusion of liability clause applied. The dissent provides a review of the law relating to the setting aside of otherwise applicable contractual terms that limit or exclude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Skretting advises that it expects to rely upon the law set out in the dissent. I was referred to paragraph 118 of Mr. Justice Binnie's reasons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cases where the exercise of what Professor Waddams calls the "ultimate power" to refuse to enforce a contract may be justified, even in the commercial context. Freedom of contract, like any freedom, may be abused. Take the case of the milk supplier who adulterates its baby formula with a toxic compound to increase its profitability at the cost of sick or dead babies. In China, such people were shot. In Canada, should the courts give effect to a contractual clause excluding civil liability in such a situation? I do not think so. Then there are the people, also fortunately resident elsewhere, who recklessly sold toxic cooking oil to unsuspecting consumers, creating a public health crisis of enormous magnitude. Should the courts enforce an exclusion clause to eliminate contractual liability for the resulting losses in such circumstances? The answer is no, but the contract breaker's conduct need not rise to the level of criminality or fraud to justify a finding of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Justice Binnie summarizes the law of contracts in relation to unconscionability and public policy at paragraphs 121 to 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The present state of the law, in summary, requires a series of enquiries to be addressed when a plaintiff seeks to escape the effect of an exclusion clause or other contractual terms to which it had previously agreed.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[122] The first issue, of course, is whether as a matter of interpretation the exclusion clause even </w:t>
      </w:r>
      <w:r>
        <w:rPr>
          <w:rFonts w:ascii="arial" w:eastAsia="arial" w:hAnsi="arial" w:cs="arial"/>
          <w:i/>
          <w:color w:val="000000"/>
          <w:sz w:val="20"/>
          <w:lang w:val="en-US" w:eastAsia="en-US" w:bidi="ar-SA"/>
        </w:rPr>
        <w:t>applies</w:t>
      </w:r>
      <w:r>
        <w:rPr>
          <w:rFonts w:ascii="arial" w:eastAsia="arial" w:hAnsi="arial" w:cs="arial"/>
          <w:color w:val="000000"/>
          <w:sz w:val="20"/>
          <w:lang w:val="en-US" w:eastAsia="en-US" w:bidi="ar-SA"/>
        </w:rPr>
        <w:t xml:space="preserve"> to the circumstances established in evidence [original emphasis]. This will depend on the Court's assessment of the intention of the parties as expressed in the contract. If the exclusion clause does not apply, there is obviously no need to proceed further with this analysis. If the exclusion clause applies, the second issue is whether the exclusion clause was unconscionable at the time the contract was made, "as might arise from situations of unequal bargaining power between the parties"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at p. 462). This second issue has to do with contract formation, not breach.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If the exclusion clause is held to be valid and applicable, the Court may undertake a third enquiry, namely, whether the Court should nevertheless refuse to enforce the valid exclusion clause because of the existence of an overriding public policy, proof of which lies on the party seeking to avoid enforcement of the clause, that outweighs the very strong public interest in the enforcement of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Thus, there are potentially three issues in this respect: the interpretation of the Written Terms, the matter of unconscionability, and the possible application of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Westaqua has filed a third party claim, as I mentioned at the outset, against Diversified (the company with which it contracted) and ChemNutra (the company that sourced the product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Turning to the amended third party notice of Westaqua, Westaqua alleges that it entered into a contract dated July 20, 2006 with Diversified. It refers to certain quality levels stipulated in the contract. Westaqua alleges that it was an implied term of the contract that the wheat gluten would be free from defects and deficiencies. It alleges that the material that purported to be wheat gluten was supplied by ChemNutra to Diversified and thereafter to Westaqua. It alleges at paragraph 5 of the amended third party notice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that the Product is found to be defective, such defect was caused or contributed to by the fault, breach of duty, breach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ChemNutra or Diversified or both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And then eight particular instances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ChemNutra or Diversified or both are set out:</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store the Product;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transport the Product;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Product complied with all specifications, industry standards, and statutory requirements;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Product was free from defects and deficiencies;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all necessary examinations, tests and inspections were performed to ensure that the Product complied with the Contract;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Westaqua of any defects and deficiencies in the Product;</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perform reasonable or any due diligence in selecting suppliers;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adhere to a safe and prudent quality assurance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its statement of defence to the amended third party notice of Westaqua, ChemNutra alleges at paragraph 6 that if Skretting suffered any loss as alleged, then the fault lies with Skretting or others for whom ChemNutra is not responsible in law. ChemNutra also pleads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its statement of defence, Diversified agrees that there is a written contract between it and Westaqua dated July 20, 2006. It alleges contractual defences (the enforceability of a limitation of liability term), and refers to a choice of law clause in the contract that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that this contract is made in the County of St. Louis, State of Missouri, and all matters relating to this contract shall be governed by the laws of the State of Missouri.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number of other particular claims are made, including allegations against Westaqua of various faults and neglect.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Diversified has also filed a third party notice against ChemNutra and the Millers, which largely follows its previous pleadings. Paragraphs 5 and 6 are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Steve and Sally Smith, and each of them, represented and warranted to Diversified and its agents that the Product would be free from defects and deficiencies, fit for its intended purpose and of merchantable quality, and failed to disclose any information to suggest or indicate otherwise. Those representations and warranties induced Diversified to purchase the Product from ChemNutra.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Product is found to be defective: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Steve and Sally Smith, and each of them, knew or ought to have known of such defects or deficiencies in the Product yet continued to hold out and represent to Diversified and its agents to the contrary;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Steve and Sally Smith, and each of them, acted fraudulently, recklessly, maliciously, negligently and/or for a collateral purpose in making misrepresentations to Diversified, namely for the purpose of enriching themselves, contrary to the best interests of ChemNutra and to the detriment of Diversified, without observing the duty of good faith and fair dealing and duty of care owed by them to Diversified in presenting information and specifications concerning the Product and its composition, which in turn caused Diversified to suffer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Diversified took no position on Westaqua's application to set aside the jury notice; it filed no response. ChemNutra and the Millers consented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No trial date has been set in the matter. Counsel suggested that a ten-day trial would be expected without a jury. And, it was suggested, during the course of argument, that perhaps trial would be 15 days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issues on the application before me are whether to set aside the jury notice on any of the three grounds relied upon by Westaqua, which I outlined at the commencement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&amp;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Westaqua refers me to </w:t>
      </w:r>
      <w:r>
        <w:rPr>
          <w:rFonts w:ascii="arial" w:eastAsia="arial" w:hAnsi="arial" w:cs="arial"/>
          <w:i/>
          <w:color w:val="000000"/>
          <w:sz w:val="20"/>
          <w:lang w:val="en-US" w:eastAsia="en-US" w:bidi="ar-SA"/>
        </w:rPr>
        <w:t>MacPherson v. Czaban</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2002 BCCA 518</w:t>
        </w:r>
      </w:hyperlink>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218 D.L.R. (4th) 363</w:t>
        </w:r>
      </w:hyperlink>
      <w:r>
        <w:rPr>
          <w:rFonts w:ascii="arial" w:eastAsia="arial" w:hAnsi="arial" w:cs="arial"/>
          <w:color w:val="000000"/>
          <w:sz w:val="20"/>
          <w:lang w:val="en-US" w:eastAsia="en-US" w:bidi="ar-SA"/>
        </w:rPr>
        <w:t>, at paragraph 17 of BCCA, for the general proposition that a jury trial is a presumptive right and it is only where the judge is satisfied that the issues cannot be tried fairly by a jury that the jury notice should be struck. The onus of persuasion is on the applicant. The onus is not easily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was also referred to a fairly recent decision by Madam Justice Griffin, </w:t>
      </w:r>
      <w:r>
        <w:rPr>
          <w:rFonts w:ascii="arial" w:eastAsia="arial" w:hAnsi="arial" w:cs="arial"/>
          <w:i/>
          <w:color w:val="000000"/>
          <w:sz w:val="20"/>
          <w:lang w:val="en-US" w:eastAsia="en-US" w:bidi="ar-SA"/>
        </w:rPr>
        <w:t>Han v. Cho</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2008 BCSC 1192</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297 D.L.R. (4th) 621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 xml:space="preserve"> cited to BCSC]. The relevant cases and principles are gathered at paragraphs 12 to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There is a common law right to a jury. A party ought not to be deprived of this important right except for cogent reasons: </w:t>
      </w:r>
      <w:r>
        <w:rPr>
          <w:rFonts w:ascii="arial" w:eastAsia="arial" w:hAnsi="arial" w:cs="arial"/>
          <w:b/>
          <w:i/>
          <w:color w:val="000000"/>
          <w:sz w:val="20"/>
          <w:lang w:val="en-US" w:eastAsia="en-US" w:bidi="ar-SA"/>
        </w:rPr>
        <w:t>King v. Colonial Homes Ltd.</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[1956] S.C.R. 528</w:t>
        </w:r>
      </w:hyperlink>
      <w:r>
        <w:rPr>
          <w:rFonts w:ascii="arial" w:eastAsia="arial" w:hAnsi="arial" w:cs="arial"/>
          <w:color w:val="000000"/>
          <w:sz w:val="20"/>
          <w:lang w:val="en-US" w:eastAsia="en-US" w:bidi="ar-SA"/>
        </w:rPr>
        <w:t xml:space="preserve"> at 533.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In </w:t>
      </w:r>
      <w:r>
        <w:rPr>
          <w:rFonts w:ascii="arial" w:eastAsia="arial" w:hAnsi="arial" w:cs="arial"/>
          <w:b/>
          <w:i/>
          <w:color w:val="000000"/>
          <w:sz w:val="20"/>
          <w:lang w:val="en-US" w:eastAsia="en-US" w:bidi="ar-SA"/>
        </w:rPr>
        <w:t>Nichols v. Gray</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(C.A.), Craig J.A. explained the plaintiff's entitlement to a jury in civil cases (at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is entitled to trial by jury, except in certain types of cases specified in the Rules, and he can be deprived of this right only if a party opposing a trial by jury establishes "clearly" that one of more of the exceptions in R. 39(20) [the predecessor to Rule 39(27)] is applicable. </w:t>
      </w:r>
      <w:r>
        <w:rPr>
          <w:rFonts w:ascii="arial" w:eastAsia="arial" w:hAnsi="arial" w:cs="arial"/>
          <w:i/>
          <w:color w:val="000000"/>
          <w:sz w:val="20"/>
          <w:lang w:val="en-US" w:eastAsia="en-US" w:bidi="ar-SA"/>
        </w:rPr>
        <w:t>McDonald v. Inland Natural Gas Co</w:t>
      </w:r>
      <w:r>
        <w:rPr>
          <w:rFonts w:ascii="arial" w:eastAsia="arial" w:hAnsi="arial" w:cs="arial"/>
          <w:color w:val="000000"/>
          <w:sz w:val="20"/>
          <w:lang w:val="en-US" w:eastAsia="en-US" w:bidi="ar-SA"/>
        </w:rPr>
        <w:t xml:space="preserve"> (1966), 57 W.W.R. 87 at 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w:t>
      </w:r>
      <w:r>
        <w:rPr>
          <w:rFonts w:ascii="arial" w:eastAsia="arial" w:hAnsi="arial" w:cs="arial"/>
          <w:b/>
          <w:i/>
          <w:color w:val="000000"/>
          <w:sz w:val="20"/>
          <w:lang w:val="en-US" w:eastAsia="en-US" w:bidi="ar-SA"/>
        </w:rPr>
        <w:t>McDonald v. Inland Natural Gas Co.</w:t>
      </w:r>
      <w:r>
        <w:rPr>
          <w:rFonts w:ascii="arial" w:eastAsia="arial" w:hAnsi="arial" w:cs="arial"/>
          <w:color w:val="000000"/>
          <w:sz w:val="20"/>
          <w:lang w:val="en-US" w:eastAsia="en-US" w:bidi="ar-SA"/>
        </w:rPr>
        <w:t xml:space="preserve"> (1966), 57 W.W.R. 87 (B.C.C.A.), Branca J.A. commented at 95 that "while the right of a trial by jury goes back far and is imbedded deeply in the history of our law, and while a litigant is not to be deprived of that right unless he is clearly within an exception created by law, where such an exception applies, that right should be refused."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onus is on the applicant seeking to set aside a jury notice to show that the party who selected trial by jury is not entitled to that mode of trial: </w:t>
      </w:r>
      <w:r>
        <w:rPr>
          <w:rFonts w:ascii="arial" w:eastAsia="arial" w:hAnsi="arial" w:cs="arial"/>
          <w:b/>
          <w:i/>
          <w:color w:val="000000"/>
          <w:sz w:val="20"/>
          <w:lang w:val="en-US" w:eastAsia="en-US" w:bidi="ar-SA"/>
        </w:rPr>
        <w:t>Creasy v. Sweny</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(1942), 57 B.C.R. 457</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[1942] 3 W.W.R. 65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Westaqua also referred me to the decision in </w:t>
      </w:r>
      <w:r>
        <w:rPr>
          <w:rFonts w:ascii="arial" w:eastAsia="arial" w:hAnsi="arial" w:cs="arial"/>
          <w:i/>
          <w:color w:val="000000"/>
          <w:sz w:val="20"/>
          <w:lang w:val="en-US" w:eastAsia="en-US" w:bidi="ar-SA"/>
        </w:rPr>
        <w:t>Kotai v. Queen of the North (Ship)</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2008 BCSC 1398</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[2008] B.C.J. No. 1973</w:t>
        </w:r>
      </w:hyperlink>
      <w:r>
        <w:rPr>
          <w:rFonts w:ascii="arial" w:eastAsia="arial" w:hAnsi="arial" w:cs="arial"/>
          <w:color w:val="000000"/>
          <w:sz w:val="20"/>
          <w:lang w:val="en-US" w:eastAsia="en-US" w:bidi="ar-SA"/>
        </w:rPr>
        <w:t>. At paragraphs 63 and 64 of BCSC, Mr. Justice Joyce states that an applicant faces a heavy onus to satisfy the court that the plaintiff should be deprived of his or her substantive right to have his or her case heard by a jury, and that if the case falls within Rule 39(25), the court has no discretion and must strike the jury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To the contrary on the question of discretion under, specifically, the combination of Rules 39(25)(j) and 10(1)(b) is the decision of Mr. Justice McEwan in </w:t>
      </w:r>
      <w:r>
        <w:rPr>
          <w:rFonts w:ascii="arial" w:eastAsia="arial" w:hAnsi="arial" w:cs="arial"/>
          <w:i/>
          <w:color w:val="000000"/>
          <w:sz w:val="20"/>
          <w:lang w:val="en-US" w:eastAsia="en-US" w:bidi="ar-SA"/>
        </w:rPr>
        <w:t>Rehmat v. Transamerica Life Canada</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2009 BCSC 495</w:t>
        </w:r>
      </w:hyperlink>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[2009] B.C.J. No. 738</w:t>
        </w:r>
      </w:hyperlink>
      <w:r>
        <w:rPr>
          <w:rFonts w:ascii="arial" w:eastAsia="arial" w:hAnsi="arial" w:cs="arial"/>
          <w:color w:val="000000"/>
          <w:sz w:val="20"/>
          <w:lang w:val="en-US" w:eastAsia="en-US" w:bidi="ar-SA"/>
        </w:rPr>
        <w:t>, at paragraph 8 of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of this type of application involves an exercise of discretion. The pleadings, on their face, put the interpretation of the contract in issue. The theoretical spectrum in determining whether "the sole or principal question at issue" is the "construction of an enactment, will, deed and/or written contract or other document" in relation to insurance claims, ranges from cases where the facts are generally uncontested and the meaning of the contract in relation to those facts must be assessed as a matter of construction on interpretation, and those where the meaning of the contract is not controversial but the question is whether facts bring the claim within or without the agreed meaning of the contract. The point at which one predominates the other can be difficult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any case, there was common ground between the parties before me that Rule 39(27)(a), which is also relied on by Westaqua, unequivocally involves the exercise of the court's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1 - Does Rule 39(25)(f)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first issue is whether the trial is expected to relate to "the rectification, setting aside or cancellation of a deed or other written instrument" within the meaning of Rule 39(25)(f).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common ground that a contract comes within the meaning of "deed or other written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Skretting argues that the phrase "relates to" in Rule 39(25) means that the main or central question at issue at trial will be one of the enumerated matters; and, I am directed to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 xml:space="preserve"> at paragraphs 16 to 19, citing in particular </w:t>
      </w:r>
      <w:r>
        <w:rPr>
          <w:rFonts w:ascii="arial" w:eastAsia="arial" w:hAnsi="arial" w:cs="arial"/>
          <w:i/>
          <w:color w:val="000000"/>
          <w:sz w:val="20"/>
          <w:lang w:val="en-US" w:eastAsia="en-US" w:bidi="ar-SA"/>
        </w:rPr>
        <w:t>Whiteway v. Nyack</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[1980] B.C.J. No. 993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Skretting also argues that the words "setting aside" and "cancellation" have their roots in the law of equity. As noted by Griffin J. in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 xml:space="preserve"> at paragraphs 21 to 33, the historical roots of Rule 39(25) can be traced to the English </w:t>
      </w:r>
      <w:r>
        <w:rPr>
          <w:rFonts w:ascii="arial" w:eastAsia="arial" w:hAnsi="arial" w:cs="arial"/>
          <w:i/>
          <w:color w:val="000000"/>
          <w:sz w:val="20"/>
          <w:lang w:val="en-US" w:eastAsia="en-US" w:bidi="ar-SA"/>
        </w:rPr>
        <w:t>Supreme Court Judicature Act, 1873</w:t>
      </w:r>
      <w:r>
        <w:rPr>
          <w:rFonts w:ascii="arial" w:eastAsia="arial" w:hAnsi="arial" w:cs="arial"/>
          <w:color w:val="000000"/>
          <w:sz w:val="20"/>
          <w:lang w:val="en-US" w:eastAsia="en-US" w:bidi="ar-SA"/>
        </w:rPr>
        <w:t>, 36 &amp; 37 Vict. c. 66 (U.K.), by which the English courts of equity, in other words the Court of Chancery, and the courts of common law were fused. At that time, the equitable remedies of 'setting aside' or 'cancellation' were reserved for the new Chancery Division of the court and were to be decided without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Skretting argues that it does not seek "setting aside" or "cancellation" as those remedies would be known to a court of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Westaqua argues that "cancellation" in equity included contracts set aside or cancelled on grounds of public policy. On this point, I was referred to Joseph Story, </w:t>
      </w:r>
      <w:r>
        <w:rPr>
          <w:rFonts w:ascii="arial" w:eastAsia="arial" w:hAnsi="arial" w:cs="arial"/>
          <w:i/>
          <w:color w:val="000000"/>
          <w:sz w:val="20"/>
          <w:lang w:val="en-US" w:eastAsia="en-US" w:bidi="ar-SA"/>
        </w:rPr>
        <w:t>Commentaries on Equity Jurisprudence, as Administered in England and America</w:t>
      </w:r>
      <w:r>
        <w:rPr>
          <w:rFonts w:ascii="arial" w:eastAsia="arial" w:hAnsi="arial" w:cs="arial"/>
          <w:color w:val="000000"/>
          <w:sz w:val="20"/>
          <w:lang w:val="en-US" w:eastAsia="en-US" w:bidi="ar-SA"/>
        </w:rPr>
        <w:t>, 13th ed. by Melville M. Bigelow (Boston: Little, Brown, and Company, 1886), Volume 2, p. 6-7:</w:t>
      </w:r>
      <w:r>
        <w:rPr>
          <w:rFonts w:ascii="arial" w:eastAsia="arial" w:hAnsi="arial" w:cs="arial"/>
          <w:sz w:val="20"/>
          <w:lang w:val="en-US" w:eastAsia="en-US" w:bidi="ar-SA"/>
        </w:rPr>
        <w:cr/>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attempting to go over the different classes of cases of fraud (which have been already enumerated), it may be stated that Courts of Equity will generally set aside, cancel, and direct to be delivered up agreements and other instruments, however solemn in their form or operation, where they are voidable and not merely void, under the following circumstances: First, where there is actual fraud in the party defendant, in which the party plaintiff has not participated. Secondly, where there is a constructive fraud against public policy, and the party plaintiff has not participated therein. Thirdly, where there is a fraud against public policy, and the party plaintiff has participated therein, but public policy would be defeated by allowing it to stand. And lastly, where there is a constructive fraud by both parties, but they are not in pari delicto.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Westaqua argues that the remedy of setting aside or cancellation of the written contract is what Skretting apparently seeks or will seek in answer to Westaqua's arguments on the contractual defences, given Skretting's reliance on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view, the words "setting aside" or "cancellation" should be given a contemporary meaning in accordance with the general modern principles of statutory interpretation, and in accordance with the object of the rules of court set out in Rule 1(5), that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While reference to the historical roots of the terms "setting aside" or "cancellation" is of interest and may aid in interpretation, their meaning should not depend upon our present day assessment of how they might have been understood in equity jurisprudence more than 100 years ago. No such fossilized definition is mandated by the rules of court. The meaning of practically all words in a language changes over time. The law itself including the law of equity is constantly evolving as illustrated by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decision, the very case Skretting says it will rely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Here, Skretting does not seek to set aside or cancel in its entirety or have declared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the written contract for the sale of goods. It relies on what it contends was a verbal contract. Skretting says that if Westaqua succeeds in establishing that the Written Terms are applicable, then the terms which serve to limit or exclude liability would be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my view, in such circumstances, it cannot be said that the trial will relate to the setting aside or cancellation of a contract as I would interpret those terms as found in Rule 39(25)(f) in its modern context, and accordingly, Rule 39(25)(f)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therefore unnecessary to go on to consider whether setting aside or cancellation of the contract would be the main or central issue at the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2 - Does Rule 39(25)(j)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second issue is whether the trial will relate to a matter referred to in Rule 10(1)(b), that is, whether "the sole or principal question at issue is alleged to be one of construction of an ... oral or written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Westaqua argues that there are varying authorities on the question of whether issues of interpretation of the contract must be the sole or principal issue at the trial. I was referred to </w:t>
      </w:r>
      <w:r>
        <w:rPr>
          <w:rFonts w:ascii="arial" w:eastAsia="arial" w:hAnsi="arial" w:cs="arial"/>
          <w:i/>
          <w:color w:val="000000"/>
          <w:sz w:val="20"/>
          <w:lang w:val="en-US" w:eastAsia="en-US" w:bidi="ar-SA"/>
        </w:rPr>
        <w:t>Peters v. Co-Operators Life Insurance Co.,</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2007 BCSC 1103</w:t>
        </w:r>
      </w:hyperlink>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74 B.C.L.R. (4th) 161</w:t>
        </w:r>
      </w:hyperlink>
      <w:r>
        <w:rPr>
          <w:rFonts w:ascii="arial" w:eastAsia="arial" w:hAnsi="arial" w:cs="arial"/>
          <w:color w:val="000000"/>
          <w:sz w:val="20"/>
          <w:lang w:val="en-US" w:eastAsia="en-US" w:bidi="ar-SA"/>
        </w:rPr>
        <w:t>, at paragraph 24 of BCSC, in which Mr. Justice Frankel held that if the case involves an issue of interpretation of the contract, then a jury trial is not available and it does not matter how central that question is to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On the other hand, </w:t>
      </w:r>
      <w:r>
        <w:rPr>
          <w:rFonts w:ascii="arial" w:eastAsia="arial" w:hAnsi="arial" w:cs="arial"/>
          <w:i/>
          <w:color w:val="000000"/>
          <w:sz w:val="20"/>
          <w:lang w:val="en-US" w:eastAsia="en-US" w:bidi="ar-SA"/>
        </w:rPr>
        <w:t>Parmar v. Blenz the Canadian Coffee Company Ltd.</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2008 BCSC 1338</w:t>
        </w:r>
      </w:hyperlink>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[2008] B.C.J. No. 1891</w:t>
        </w:r>
      </w:hyperlink>
      <w:r>
        <w:rPr>
          <w:rFonts w:ascii="arial" w:eastAsia="arial" w:hAnsi="arial" w:cs="arial"/>
          <w:color w:val="000000"/>
          <w:sz w:val="20"/>
          <w:lang w:val="en-US" w:eastAsia="en-US" w:bidi="ar-SA"/>
        </w:rPr>
        <w:t>, Madam Justice Gropper denied the defendant's application to set aside the jury notice. In the course of doing so, she reviewed the case law and concluded as follows, at paragraph 29 of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that regard, I refer to the test in the decisions of </w:t>
      </w:r>
      <w:r>
        <w:rPr>
          <w:rFonts w:ascii="arial" w:eastAsia="arial" w:hAnsi="arial" w:cs="arial"/>
          <w:b/>
          <w:i/>
          <w:color w:val="000000"/>
          <w:sz w:val="20"/>
          <w:lang w:val="en-US" w:eastAsia="en-US" w:bidi="ar-SA"/>
        </w:rPr>
        <w:t>Manley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Penner</w:t>
      </w:r>
      <w:r>
        <w:rPr>
          <w:rFonts w:ascii="arial" w:eastAsia="arial" w:hAnsi="arial" w:cs="arial"/>
          <w:color w:val="000000"/>
          <w:sz w:val="20"/>
          <w:lang w:val="en-US" w:eastAsia="en-US" w:bidi="ar-SA"/>
        </w:rPr>
        <w:t xml:space="preserve">: is the construction of the contract the sole or principal issue? Those cases, in my view, accord with the wording of Rule 39(25) and Rule 10(1)(b) and are consistent with the jurisprudence. I agree with the plaintiffs that the test adopted in </w:t>
      </w:r>
      <w:r>
        <w:rPr>
          <w:rFonts w:ascii="arial" w:eastAsia="arial" w:hAnsi="arial" w:cs="arial"/>
          <w:b/>
          <w:i/>
          <w:color w:val="000000"/>
          <w:sz w:val="20"/>
          <w:lang w:val="en-US" w:eastAsia="en-US" w:bidi="ar-SA"/>
        </w:rPr>
        <w:t>Peters</w:t>
      </w:r>
      <w:r>
        <w:rPr>
          <w:rFonts w:ascii="arial" w:eastAsia="arial" w:hAnsi="arial" w:cs="arial"/>
          <w:color w:val="000000"/>
          <w:sz w:val="20"/>
          <w:lang w:val="en-US" w:eastAsia="en-US" w:bidi="ar-SA"/>
        </w:rPr>
        <w:t xml:space="preserve"> is too strict. If the conclusion in </w:t>
      </w:r>
      <w:r>
        <w:rPr>
          <w:rFonts w:ascii="arial" w:eastAsia="arial" w:hAnsi="arial" w:cs="arial"/>
          <w:b/>
          <w:i/>
          <w:color w:val="000000"/>
          <w:sz w:val="20"/>
          <w:lang w:val="en-US" w:eastAsia="en-US" w:bidi="ar-SA"/>
        </w:rPr>
        <w:t>Peters</w:t>
      </w:r>
      <w:r>
        <w:rPr>
          <w:rFonts w:ascii="arial" w:eastAsia="arial" w:hAnsi="arial" w:cs="arial"/>
          <w:color w:val="000000"/>
          <w:sz w:val="20"/>
          <w:lang w:val="en-US" w:eastAsia="en-US" w:bidi="ar-SA"/>
        </w:rPr>
        <w:t xml:space="preserve"> was the test to be applied, clearly a jury trial would not be available in this case; however, as per </w:t>
      </w:r>
      <w:r>
        <w:rPr>
          <w:rFonts w:ascii="arial" w:eastAsia="arial" w:hAnsi="arial" w:cs="arial"/>
          <w:b/>
          <w:i/>
          <w:color w:val="000000"/>
          <w:sz w:val="20"/>
          <w:lang w:val="en-US" w:eastAsia="en-US" w:bidi="ar-SA"/>
        </w:rPr>
        <w:t>Manley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Penner</w:t>
      </w:r>
      <w:r>
        <w:rPr>
          <w:rFonts w:ascii="arial" w:eastAsia="arial" w:hAnsi="arial" w:cs="arial"/>
          <w:color w:val="000000"/>
          <w:sz w:val="20"/>
          <w:lang w:val="en-US" w:eastAsia="en-US" w:bidi="ar-SA"/>
        </w:rPr>
        <w:t>, the test is that construction of the contract must be the main or central question in the litigation. This interpretation represents the state of the law today and accords with the words of Rule 39(25) and Rule 10(1)(b).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Westaqua noted that an application for leave to appeal Madam Justice Gropper's decision was allowed (indexed at </w:t>
      </w:r>
      <w:hyperlink r:id="rId654" w:history="1">
        <w:r>
          <w:rPr>
            <w:rFonts w:ascii="arial" w:eastAsia="arial" w:hAnsi="arial" w:cs="arial"/>
            <w:i/>
            <w:color w:val="0077CC"/>
            <w:sz w:val="20"/>
            <w:u w:val="single"/>
            <w:shd w:val="clear" w:color="auto" w:fill="FFFFFF"/>
            <w:lang w:val="en-US" w:eastAsia="en-US" w:bidi="ar-SA"/>
          </w:rPr>
          <w:t>2008 BCCA 534</w:t>
        </w:r>
      </w:hyperlink>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263 B.C.A.C. 106</w:t>
        </w:r>
      </w:hyperlink>
      <w:r>
        <w:rPr>
          <w:rFonts w:ascii="arial" w:eastAsia="arial" w:hAnsi="arial" w:cs="arial"/>
          <w:color w:val="000000"/>
          <w:sz w:val="20"/>
          <w:lang w:val="en-US" w:eastAsia="en-US" w:bidi="ar-SA"/>
        </w:rPr>
        <w:t>); but it appears that the appeal did not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Han</w:t>
      </w:r>
      <w:r>
        <w:rPr>
          <w:rFonts w:ascii="arial" w:eastAsia="arial" w:hAnsi="arial" w:cs="arial"/>
          <w:color w:val="000000"/>
          <w:sz w:val="20"/>
          <w:lang w:val="en-US" w:eastAsia="en-US" w:bidi="ar-SA"/>
        </w:rPr>
        <w:t>, at paragraph 37, Madam Justice Griffin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review of the case law interpreting Rule 39(25), the historical origins of the Rule, and principles of statutory interpretation leads to the conclusion that whether a trial "relates to" a matter pursuant to the Rule means something more than "touches on or is in any way concerned with" one of the excluded matters. The Rule must be read as meaning that one of the excluded matters is the main or central focus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clear that the question of the construction of the contract will be not be the sole issue at trial. There are many other issues as I will set out in more detail later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Will it be the principal issue? That is difficult to assess. But in my view construction of the contract will not be the principal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no dispute that a contract was entered into between Skretting and Westaqua. There does not seem to be much dispute regarding the fact that the product supplied was contaminated. There is a significant and important issue, which may ultimately turn out to be the sole or principal issue at trial, as to whether the Written Terms apply. If so, then the contract terms may require interpretation. The reply of Skretting so contends. But on the application before me no argument was made concerning competing interpretations of the Written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Accordingly, I am unable to conclude that the sole or principal issue at trial relates to construction of a contract, and therefore I conclude that Rule 39(25)(j) is not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3 - Does Rule 39(27)(a)(ii)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third issue is whether the jury notice should be set aside on the grounds that "the issues are of an intricate or complex character" pursuant to Rule 39(27)(a)(ii).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Andersen v. Porter</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2000 BCSC 1000</w:t>
        </w:r>
      </w:hyperlink>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[2000] B.C.J. No. 1362</w:t>
        </w:r>
      </w:hyperlink>
      <w:r>
        <w:rPr>
          <w:rFonts w:ascii="arial" w:eastAsia="arial" w:hAnsi="arial" w:cs="arial"/>
          <w:color w:val="000000"/>
          <w:sz w:val="20"/>
          <w:lang w:val="en-US" w:eastAsia="en-US" w:bidi="ar-SA"/>
        </w:rPr>
        <w:t>, at paragraph 14 of BCSC, Mr. Justice R. D. Wilson of this Court referred to a non-exhaustive list of factors which are indicative of issues of an intricate or complex character in the context of determining suitability for a jury trial.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Absent a universal referent for "intricate or complex", prior decisions have identified a constellation of factors, quantitative and qualitative, which may assume the character "intricate or complex". See </w:t>
      </w:r>
      <w:r>
        <w:rPr>
          <w:rFonts w:ascii="arial" w:eastAsia="arial" w:hAnsi="arial" w:cs="arial"/>
          <w:b/>
          <w:i/>
          <w:color w:val="000000"/>
          <w:sz w:val="20"/>
          <w:lang w:val="en-US" w:eastAsia="en-US" w:bidi="ar-SA"/>
        </w:rPr>
        <w:t>World Wide Treasure Adventures Ltd. v. Ralph</w:t>
      </w:r>
      <w:r>
        <w:rPr>
          <w:rFonts w:ascii="arial" w:eastAsia="arial" w:hAnsi="arial" w:cs="arial"/>
          <w:color w:val="000000"/>
          <w:sz w:val="20"/>
          <w:lang w:val="en-US" w:eastAsia="en-US" w:bidi="ar-SA"/>
        </w:rPr>
        <w:t>. Examples of those factors include: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Multiplicity of parties.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Duration of trial.</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Volume of expert testimony.</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Multiplicity of standards of care.</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unfamiliar medical terms.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of fault.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future loss.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Novel applications of the law.</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Deliberation time.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Preservation of the civil jury system. [case references following each of the above factors have been deleted]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also refer to the decision of Mr. Justice Murphy in </w:t>
      </w:r>
      <w:r>
        <w:rPr>
          <w:rFonts w:ascii="arial" w:eastAsia="arial" w:hAnsi="arial" w:cs="arial"/>
          <w:i/>
          <w:color w:val="000000"/>
          <w:sz w:val="20"/>
          <w:lang w:val="en-US" w:eastAsia="en-US" w:bidi="ar-SA"/>
        </w:rPr>
        <w:t>Marshall v. Longpre</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1991 CanLII 419</w:t>
        </w:r>
      </w:hyperlink>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[1991] B.C.J. No. 2629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cited to CanLII]. He referred to a prior decision of Mr. Justice Craig on the Court of Appeal, </w:t>
      </w:r>
      <w:r>
        <w:rPr>
          <w:rFonts w:ascii="arial" w:eastAsia="arial" w:hAnsi="arial" w:cs="arial"/>
          <w:i/>
          <w:color w:val="000000"/>
          <w:sz w:val="20"/>
          <w:lang w:val="en-US" w:eastAsia="en-US" w:bidi="ar-SA"/>
        </w:rPr>
        <w:t>Nichols v. Gray</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(1978), 9 B.C.L.R. 5</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[1978] B.C.J. No. 818</w:t>
        </w:r>
      </w:hyperlink>
      <w:r>
        <w:rPr>
          <w:rFonts w:ascii="arial" w:eastAsia="arial" w:hAnsi="arial" w:cs="arial"/>
          <w:color w:val="000000"/>
          <w:sz w:val="20"/>
          <w:lang w:val="en-US" w:eastAsia="en-US" w:bidi="ar-SA"/>
        </w:rPr>
        <w:t xml:space="preserve"> (C.A.). On page 18, Mr. Justice Murphy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Mr. Justice Craig gave no reasons as to why he was of the opinion that the issues in that case were of an intricate and complex character if the respondents intended to proceed to trial on the basis that there was a breach of contract and a breach of warranty,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part of the appellant, I assume that he was stating the obvious i.e. that instructing a jury in the difference between the legal concepts and the difference in awarding damages are in themselves issues of an intricate and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he went on to say on page 21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I conclude, as did the late Mr. Justice Craig, that as this is a claim for breach of contract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the issues arising from the circumstances of this case are of an intricate and complex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Skretting argues in response that the issues are not so intricate and complex that the case would be unsuitable for a modern jury, which must be presumed to be intelligent and educated. Skretting argues that many cases of significant factual and legal complexity are tried by a judge and jury, such as cases of medical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 non-exhaustive list of significant factual, legal or mixed factual and legal issues apparently presented by this case are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terms of the contract; i.e., do the Written Terms apply?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each of the four Written Terms relied upon by Westaqua, on their proper construction and on the facts, do they exclude or limit liability?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exclusion or limitation of liability clause applies, to what extent does it apply?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written warranty term exclude the operation of the conditions of fitness for purpose and merchantability set out in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regards the third party claims, what are the effects of the </w:t>
      </w:r>
      <w:r>
        <w:rPr>
          <w:rFonts w:ascii="arial" w:eastAsia="arial" w:hAnsi="arial" w:cs="arial"/>
          <w:i/>
          <w:color w:val="000000"/>
          <w:sz w:val="20"/>
          <w:lang w:val="en-US" w:eastAsia="en-US" w:bidi="ar-SA"/>
        </w:rPr>
        <w:t>International 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236</w:t>
      </w: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Written Terms are otherwise applicable, are they enforceable in whole or in part? Should they be set aside or their effect ameliorated on grounds of unconscionability or public policy?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Westaqua guilty of negligent misrepresentation or fraud?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Westaqua is liable in tort, do the exclusion or limitation of liability clauses apply?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Skretting; if so, on what basis?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contractual or tortious liability of the third parties to Westaqua and to each other?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applicable to the claims in contract?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applicable to the third party claims?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Diversified entitled to rely on the limitation of liability clause that it alleges in its contract with Westaqua?</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law is applicable to the contract between Westaqua and Diversified? If it is the law of Missouri, what is that law? How does Missouri law, if proven in evidence, affect the outcome of the case?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Skretting succeeds in establishing liability in contract, or in tort, and if the Written Terms are not applicable, what are its damages?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Westaqua liable for damages in contract, in tort or in both contract and tort for Skretting's "loss of reputation"?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Skretting is entitled to damages, how are such damages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 case like this it can be difficult enough for a judge sitting alone to properly instruct himself or herself as to the law applicable to the decision to be made. A judge sitting alone is able first to determine the real and necessary issues of fact and law applicable to the case. However, a judge sitting with a jury must charge the jury on one occasion on all of the law that may be applicable, depending upon what view of the numerous issues the jury may take. In this case, there is such a multiplicity of issues that the task of a judge in charging the jury would be all but impossible. In turn, the task of the jury would be overwhelming. Moreover, since the jury gives no reasons for its decision, no matter the result there is likely to be a difficult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this regard, I refer to the comments of Master Bolton in </w:t>
      </w:r>
      <w:r>
        <w:rPr>
          <w:rFonts w:ascii="arial" w:eastAsia="arial" w:hAnsi="arial" w:cs="arial"/>
          <w:i/>
          <w:color w:val="000000"/>
          <w:sz w:val="20"/>
          <w:lang w:val="en-US" w:eastAsia="en-US" w:bidi="ar-SA"/>
        </w:rPr>
        <w:t>Oakleigh Properties Ltd. v. Kebet Holdings Ltd.</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[1993] B.C.J. No. 247</w:t>
        </w:r>
      </w:hyperlink>
      <w:r>
        <w:rPr>
          <w:rFonts w:ascii="arial" w:eastAsia="arial" w:hAnsi="arial" w:cs="arial"/>
          <w:color w:val="000000"/>
          <w:sz w:val="20"/>
          <w:lang w:val="en-US" w:eastAsia="en-US" w:bidi="ar-SA"/>
        </w:rPr>
        <w:t>, 1993 CarswellBC 2973 [</w:t>
      </w:r>
      <w:r>
        <w:rPr>
          <w:rFonts w:ascii="arial" w:eastAsia="arial" w:hAnsi="arial" w:cs="arial"/>
          <w:i/>
          <w:color w:val="000000"/>
          <w:sz w:val="20"/>
          <w:lang w:val="en-US" w:eastAsia="en-US" w:bidi="ar-SA"/>
        </w:rPr>
        <w:t>Oakleigh</w:t>
      </w:r>
      <w:r>
        <w:rPr>
          <w:rFonts w:ascii="arial" w:eastAsia="arial" w:hAnsi="arial" w:cs="arial"/>
          <w:color w:val="000000"/>
          <w:sz w:val="20"/>
          <w:lang w:val="en-US" w:eastAsia="en-US" w:bidi="ar-SA"/>
        </w:rPr>
        <w:t xml:space="preserve"> cited to QuickLaw]. He says at paragraph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allege in their statement of claim that they entered into an agreement to lease premises in Richmond from the defendants for a term of 10 years. They allege that the defendants repudiated the agreement. They further plead that the defendants owed them "a fiduciary duty, as well as a general duty of care", and that the breaches of the lease are also breaches of "their fiduciary duty and general duty of care", and claim general damages "for breach of contract,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well as special and punitive or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Master Bolton goes on to say at paragraph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question of the existence of a contract, there are issues with regard to the existence of a duty of care and more questions as to the existence of a fiduciary duty. These are essentially questions of law, although, of course, they rely ultimately on proof of a factual basis for the legal theory. Questions of a breach of the alleged duty of care and fiduciary duty should present a jury with no more difficulty than questions of breach of contract, but when it comes to the assessment of damages, the trial judge may well have to instruct the jury on the almost metaphysical distinctions between damages in contract and in tort. The jury will also have to be instructed on the issues of estoppel, waiver and acquiescence. The room for misunderstanding and confusion here is almost limitless; to give one fairly simple example, counsel were at odds before me on whether the pleadings here allege that a contract was created by estoppel, and whether any contract can be created by estoppel or whether estoppel only prevents a party from raising certain defences to the existence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At paragraph 11, he then refers to the decision of Mr. Justice Murphy in </w:t>
      </w:r>
      <w:r>
        <w:rPr>
          <w:rFonts w:ascii="arial" w:eastAsia="arial" w:hAnsi="arial" w:cs="arial"/>
          <w:i/>
          <w:color w:val="000000"/>
          <w:sz w:val="20"/>
          <w:lang w:val="en-US" w:eastAsia="en-US" w:bidi="ar-SA"/>
        </w:rPr>
        <w:t>Marshall</w:t>
      </w:r>
      <w:r>
        <w:rPr>
          <w:rFonts w:ascii="arial" w:eastAsia="arial" w:hAnsi="arial" w:cs="arial"/>
          <w:color w:val="000000"/>
          <w:sz w:val="20"/>
          <w:lang w:val="en-US" w:eastAsia="en-US" w:bidi="ar-SA"/>
        </w:rPr>
        <w:t xml:space="preserve"> to which I have already 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paragraph 15, Master Bolton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has pointed to certain decisions where jury notices have been allowed to stand in cases which he contends are similar to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He goes on to refer to one such case which was referred to me as well, </w:t>
      </w:r>
      <w:r>
        <w:rPr>
          <w:rFonts w:ascii="arial" w:eastAsia="arial" w:hAnsi="arial" w:cs="arial"/>
          <w:i/>
          <w:color w:val="000000"/>
          <w:sz w:val="20"/>
          <w:lang w:val="en-US" w:eastAsia="en-US" w:bidi="ar-SA"/>
        </w:rPr>
        <w:t>57134 Manitoba v. Palmer et al.</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(1984), 53 B.C.L.R. 250</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[1984] B.C.J. No. 1510</w:t>
        </w:r>
      </w:hyperlink>
      <w:r>
        <w:rPr>
          <w:rFonts w:ascii="arial" w:eastAsia="arial" w:hAnsi="arial" w:cs="arial"/>
          <w:color w:val="000000"/>
          <w:sz w:val="20"/>
          <w:lang w:val="en-US" w:eastAsia="en-US" w:bidi="ar-SA"/>
        </w:rPr>
        <w:t xml:space="preserve"> (C.A.), wherein the Court of the Appeal upheld the plaintiff's right to a jury trial even though damages were claimed in tort, breach of contract and breach of fiduciary duty. At paragraph 15, Master Bolton distinguishes </w:t>
      </w:r>
      <w:r>
        <w:rPr>
          <w:rFonts w:ascii="arial" w:eastAsia="arial" w:hAnsi="arial" w:cs="arial"/>
          <w:i/>
          <w:color w:val="000000"/>
          <w:sz w:val="20"/>
          <w:lang w:val="en-US" w:eastAsia="en-US" w:bidi="ar-SA"/>
        </w:rPr>
        <w:t>57134 Manitoba v. Palmer et al.</w:t>
      </w:r>
      <w:r>
        <w:rPr>
          <w:rFonts w:ascii="arial" w:eastAsia="arial" w:hAnsi="arial" w:cs="arial"/>
          <w:color w:val="000000"/>
          <w:sz w:val="20"/>
          <w:lang w:val="en-US" w:eastAsia="en-US" w:bidi="ar-SA"/>
        </w:rPr>
        <w:t xml:space="preserve"> by stating that "In that case, however, the causes of action were quite separate".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 find the reasoning of Master Bolton to be applicable to the case before me. The case before me appears to involve issues which are significantly more complex and more factually and legally interconnected than the case of </w:t>
      </w:r>
      <w:r>
        <w:rPr>
          <w:rFonts w:ascii="arial" w:eastAsia="arial" w:hAnsi="arial" w:cs="arial"/>
          <w:i/>
          <w:color w:val="000000"/>
          <w:sz w:val="20"/>
          <w:lang w:val="en-US" w:eastAsia="en-US" w:bidi="ar-SA"/>
        </w:rPr>
        <w:t>Oakleigh</w:t>
      </w:r>
      <w:r>
        <w:rPr>
          <w:rFonts w:ascii="arial" w:eastAsia="arial" w:hAnsi="arial" w:cs="arial"/>
          <w:color w:val="000000"/>
          <w:sz w:val="20"/>
          <w:lang w:val="en-US" w:eastAsia="en-US" w:bidi="ar-SA"/>
        </w:rPr>
        <w:t xml:space="preserve"> which involved only two main contending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conclude that the issues in this case are of an intricate or complex nature within the meaning of Rule 39(27)(a)(ii), and that the jury notice should be set aside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conclusion, the jury notice is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As to costs, Westaqua has been successful on the application. Westaqua shall receive costs in any event of the cause. The costs are not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Waterway Houseboats Ltd. v. British Columbia, [2016] B.C.J. No. 1070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12, 2016.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May 25, 2016.</w:t>
      </w:r>
    </w:p>
    <w:p>
      <w:pPr>
        <w:spacing w:before="120" w:line="260" w:lineRule="atLeast"/>
        <w:jc w:val="center"/>
        <w:rPr>
          <w:lang w:val="en-US" w:eastAsia="en-US" w:bidi="ar-SA"/>
        </w:rPr>
      </w:pPr>
      <w:r>
        <w:rPr>
          <w:rFonts w:ascii="arial" w:eastAsia="arial" w:hAnsi="arial" w:cs="arial"/>
          <w:color w:val="000000"/>
          <w:sz w:val="20"/>
          <w:lang w:val="en-US" w:eastAsia="en-US" w:bidi="ar-SA"/>
        </w:rPr>
        <w:t>Docket: Kelowna</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103630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B.C.J. No. 1070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BCSC 928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29 C.C.L.T. (4th) 110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266 A.C.W.S. (3d) 837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CarswellBC 1399</w:t>
      </w:r>
    </w:p>
    <w:p>
      <w:pPr>
        <w:spacing w:before="120" w:line="260" w:lineRule="atLeast"/>
        <w:rPr>
          <w:lang w:val="en-US" w:eastAsia="en-US" w:bidi="ar-SA"/>
        </w:rPr>
      </w:pPr>
      <w:r>
        <w:rPr>
          <w:rFonts w:ascii="arial" w:eastAsia="arial" w:hAnsi="arial" w:cs="arial"/>
          <w:color w:val="000000"/>
          <w:sz w:val="20"/>
          <w:lang w:val="en-US" w:eastAsia="en-US" w:bidi="ar-SA"/>
        </w:rPr>
        <w:t>Between Waterway Houseboats Ltd., Vinco Holdings Ltd., Waterway Houseboat Charters Ltd., Waterway Vacations Shuswap #76 Limited Partnership by its General Partner Waterway Partnership Equities Inc., Waterway Vacations Shuswap #80 Limited Partnership by its General Partner Waterway Partnership Equities Inc., Waterway Vacations Shuswap #84 Limited Partnership by its General Partner Waterway Partnership Equities Inc., Waterway Vacations Shuswap #85 Limited Partnership by its General Partner Waterway Partnership Equities Inc., Waterway Vacations Shuswap #86 Limited Partnership by its General Partner Waterway Partnership Equities Inc., Waterway Vacations Shuswap #69 Limited Partnership by its General Partner Waterway Partnership Equities Inc., Waterway Vacations Shuswap #75 Limited Partnership by its General Partner Waterway Partnership Equities Inc., Waterway Vacations Shuswap #79 Limited Partnership by its General Partner Waterway Partnership Equities Inc., Waterway Vacations Shuswap #82 Limited Partnership by its General Partner Waterway Partnership Equities Inc., Waterway Vacations Shuswap #58 Limited Partnership by its General Partner Waterway Partnership Equities Inc., Waterway Vacations Shuswap #61 Limited Partnership by its General Partner Waterway Partnership Equities Inc., Waterway Vacations Shuswap #63 Limited Partnership by its General Partner Waterway Partnership Equities Inc., Waterway Vacations Shuswap #59 Limited Partnership by its General Partner Waterway Partnership Equities Inc., Waterway Vacations Shuswap #68 Limited Partnership by its General Partner Waterway Partnership Equities Inc., Waterway Vacations Shuswap #70 Limited Partnership by its General Partner Waterway Partnership Equities Inc., Waterway Vacations Shuswap #72 Limited Partnership by its General Partner Waterway Partnership Equities Inc., Waterway Vacations Shuswap #77 Limited Partnership by its General Partner Waterway Partnership Equities Inc., Waterway Vacations Shuswap #81 Limited Partnership by its General Partner Waterway Partnership Equities Inc., Waterway Vacations Shuswap #78 Limited Partnership by its General Partner Waterway Partnership Equities Inc., Waterway Vacations Shuswap #65 Limited Partnership by its General Partner Waterway Partnership Equities Inc., Waterway Vacations Shuswap #62 Limited Partnership by its General Partner Waterway Partnership Equities Inc., Waterway Vacations Shuswap #67 Limited Partnership by its General Partner Waterway Partnership Equities Inc., Waterway Vacations Shuswap #66 Limited Partnership by its General Partner Waterway Partnership Equities Inc., Waterway Vacations Shuswap #55 Limited Partnership by its General Partner Waterway Partnership Equities Inc., Waterway Vacations Shuswap #57 Limited Partnership by its General Partner Waterway Partnership Equities Inc., Waterway Vacations Shuswap #73 Limited Partnership by its General Partner Waterway Partnership Equities Inc., Waterway Vacations Shuswap #74 Limited Partnership by its General Partner Waterway Partnership Equities Inc., Waterway Vacations Shuswap #54 Limited Partnership by its General Partner Waterway Partnership Equities Inc., Waterway Vacations Shuswap #53 Limited Partnership by its General Partner Waterway Partnership Equities Inc., Waterway Vacations Shuswap #52 Limited Partnership by its General Partner Waterway Partnership Equities Inc., Waterway Vacations Shuswap Limited Partnership #18 by its General Partner Waterway Partnership Equities Inc., by its General Partner Waterway Partnership Equities Inc., Waterway Vacations Shuswap Limited Partnership #24 by its General Partner Waterway Partnership Equities Inc., Waterway Vacations Shuswap #51 Limited Partnership by its General Partner Waterway Partnership Equities Inc., Waterway Vacations Shuswap Limited Partnership #6 by its General Partner Waterway Partnership Equities Inc., Waterway Vacations Shuswap Limited Partnership #12 by its General Partner Waterway Partnership Equities Inc., Waterway Vacations Shuswap Limited Partnership #19 by its General Partner Waterway Partnership Equities Inc., Waterway Vacations Shuswap Limited Partnership #16 by its General Partner Waterway Partnership Equities Inc., Waterway Vacations Shuswap Limited Partnership #41 by its General Partner Waterway Partnership Equities Inc., Waterway Vacations Shuswap Limited Partnership #17 by its General Partner Waterway Partnership Equities Inc., Waterway Vacations Shuswap Limited Partnership #43 by its General Partner Waterway Partnership Equities Inc., Waterway Vacations Shuswap Limited Partnership #22 by its General Partner Waterway Partnership Equities Inc., Waterway Vacations Shuswap Limited Partnership #29 by its General Partner Waterway Partnership Equities Inc., Waterway Vacations Shuswap Limited Partnership #28 by its General Partner Waterway Partnership Equities Inc., Waterway Vacations Shuswap Limited Partnership #30 by its General Partner Waterway Partnership Equities Inc., Jeff S. Benson Professional Corporation, Northstar Avlease Ltd., Russel Wise, Carolyn Wise, Sundance Boating Corp., Margo Preston Dwayne Lawson, Willis Enterprises Inc., Bruce Anderson, Carol Anderson, 0835021 B.C. Ltd., Jerry Charest, Happy Holiday Ventures, Leo Skerry, Frances Skerry, Grant Morstad, Maureen Morstad and Reynold Hert, Plaintiffs, and Her Majesty the Queen in Right of the Province of British Columbia, The District of Sicamous, Bryan McLaughlin and Constance McLaughlin,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3"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7" w:name="Keywords_31"/>
      <w:bookmarkEnd w:id="227"/>
      <w:r>
        <w:rPr>
          <w:rFonts w:ascii="arial" w:eastAsia="arial" w:hAnsi="arial" w:cs="arial"/>
          <w:b/>
          <w:color w:val="000000"/>
          <w:sz w:val="20"/>
          <w:lang w:val="en-US" w:eastAsia="en-US" w:bidi="ar-SA"/>
        </w:rPr>
        <w:t xml:space="preserve">Civil litigation — Civil procedure — Pleadings — Amendment of — Statement of claim — Application by plaintiffs for leave to amend their pleadings allowed — Sicamous creek escaping its banks, and flowed into adjacent property — Plaintiffs commenced action for damages — If various allegations of close business relationship between parties would, if proven tend to support conclusion that they were in relationship akin to joint venture — For this reasons, proposed amendments relating to claims for relational contractual economic loss were allowed — Plaintiffs' claims arising out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could not be said to be doomed to failure — Supreme Court Civil Rules, Rule 6-1(1).</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8" w:name="Case Summary_30"/>
            <w:bookmarkEnd w:id="22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plaintiffs for leave to amend their pleadings. The Sicamous creek escaping its banks, and flowed into adjacent property. The plaintiffs commenced an action for damages. As the pleadings currently stood, the plaintiffs alleged that remediation work to the creek's bed and sides and to the bridge itself was negligently directed by the District. The proposed pleadings sought recovery by some of the plaintiffs for economic loss absent physical damage to their property. These plaintiffs sought to get around the conventional bar to such a claim by asserting that they were in a relationship akin to a joint venture with those plaintiffs who did suffer physical loss and as such they could advance their claims under the principle of relational contractual economic loss. The District of Sicamous (the "District") opposed the application. It claimed that relational contractual loss was limited to actual joint ventures and that the proposed amendments did not allege facts that could underwrite a joint venture between the two types of plaintiffs. The District further argued that the amendments should not be permitted because to do so would prejudice their position at trial. The District further argued that the amendments raised claims for negligent misrepresentation that were not recognized by law. </w:t>
            </w:r>
            <w:r>
              <w:rPr>
                <w:lang w:val="en-US" w:eastAsia="en-US" w:bidi="ar-SA"/>
              </w:rPr>
              <w:cr/>
            </w:r>
          </w:p>
          <w:p>
            <w:pPr>
              <w:spacing w:before="120" w:line="260" w:lineRule="atLeast"/>
              <w:ind w:left="240"/>
              <w:jc w:val="both"/>
              <w:rPr>
                <w:lang w:val="en-US" w:eastAsia="en-US" w:bidi="ar-SA"/>
              </w:rPr>
            </w:pPr>
            <w:bookmarkStart w:id="229" w:name="Holdings of Court_28"/>
            <w:bookmarkEnd w:id="229"/>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If the various allegations of a close business relationship between the parties would, if proven, tend to support a conclusion that they were in a relationship akin to a joint venture. For this reasons, the proposed amendments relating to the claims for relational contractual economic loss were allowed. The District's evidence that it will actually suffer prejudice if the design amendment was allowed was not convincing. The plaintiffs' claims arising out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not be said to be doomed to failure. There was a case here to be tried. </w:t>
            </w:r>
            <w:r>
              <w:rPr>
                <w:lang w:val="en-US" w:eastAsia="en-US" w:bidi="ar-SA"/>
              </w:rPr>
              <w:cr/>
            </w:r>
          </w:p>
          <w:p>
            <w:pPr>
              <w:rPr>
                <w:lang w:val="en-US" w:eastAsia="en-US" w:bidi="ar-SA"/>
              </w:rPr>
            </w:pPr>
          </w:p>
        </w:tc>
      </w:tr>
    </w:tbl>
    <w:p>
      <w:pPr>
        <w:jc w:val="both"/>
        <w:rPr>
          <w:lang w:val="en-US" w:eastAsia="en-US" w:bidi="ar-SA"/>
        </w:rPr>
      </w:pPr>
      <w:bookmarkStart w:id="230" w:name="Legislation Cited_23"/>
      <w:bookmarkEnd w:id="23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84"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Supreme Court Civil Rules, Rule 6-1(1)</w:t>
      </w:r>
      <w:r>
        <w:rPr>
          <w:lang w:val="en-US" w:eastAsia="en-US" w:bidi="ar-SA"/>
        </w:rPr>
        <w:cr/>
      </w:r>
    </w:p>
    <w:p>
      <w:pPr>
        <w:keepNext/>
        <w:spacing w:before="240" w:line="340" w:lineRule="atLeast"/>
        <w:rPr>
          <w:lang w:val="en-US" w:eastAsia="en-US" w:bidi="ar-SA"/>
        </w:rPr>
      </w:pPr>
      <w:bookmarkStart w:id="231" w:name="Counsel_32"/>
      <w:bookmarkEnd w:id="23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5" style="position:absolute;z-index:2517944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J. Robinson.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The District of Sicamous: S. Brearley.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 other appearances.</w:t>
      </w:r>
      <w:r>
        <w:rPr>
          <w:lang w:val="en-US" w:eastAsia="en-US" w:bidi="ar-SA"/>
        </w:rPr>
        <w:cr/>
      </w:r>
    </w:p>
    <w:p>
      <w:pPr>
        <w:spacing w:after="240"/>
        <w:rPr>
          <w:lang w:val="en-US" w:eastAsia="en-US" w:bidi="ar-SA"/>
        </w:rPr>
      </w:pPr>
      <w:bookmarkStart w:id="232" w:name="Judgment_32"/>
      <w:bookmarkEnd w:id="232"/>
      <w:r>
        <w:pict>
          <v:line id="_x0000_s1186" style="position:absolute;z-index:25184460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3" w:name="P. ROGERS J."/>
            <w:bookmarkEnd w:id="233"/>
            <w:r>
              <w:rPr>
                <w:rFonts w:ascii="arial" w:eastAsia="arial" w:hAnsi="arial" w:cs="arial"/>
                <w:b/>
                <w:color w:val="000000"/>
                <w:sz w:val="30"/>
                <w:lang w:val="en-US" w:eastAsia="en-US" w:bidi="ar-SA"/>
              </w:rPr>
              <w:t>P. ROGERS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follow the plaintiffs' application for leave to amend their pleadings. The proposed pleadings seek recovery by some of the plaintiffs for economic loss absent physical damage to their property. These plaintiffs seek to get around the conventional bar to such a claim by asserting that they were in a relationship akin to a joint venture with those plaintiffs who did suffer physical loss and as such they may advance their claims under the principle of relational contractual economic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District of Sicamous opposes the application. It says that relational contractual loss is limited to actual joint ventures and that the proposed amendments do not allege facts that could underwrite a joint venture between the two types of plaintiffs. The District goes on to argue that the amendments should not be permitted because to do so would prejudice their position going into the currently scheduled 20 day trial in seven months' time. Finally, the District argues that the amendments raise claims for negligent misrepresentation that are not recognized by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I will allow the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June 2012, the Sicamous Creek escaped its banks and flowed into property owned by Vinco Holdings Ltd. (Vinco). Vinco leased the land to Waterway Houseboats Ltd. (Waterway). Waterway operated a marina and houseboat rental business at the property. Numerous individuals had invested in houseboats and had entered into limited partnerships with Waterway Houseboat Charters Ltd. (Charters). The flood caused damage to Vinco's property and to Waterway's leasehold. The damage to that property interfered with Charters' business and reduced or eliminated its business of renting the limited partnerships' houseboats.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According to the pleadings as they now stand, Vinco and Waterway suffered direct physical harm to their property. They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for recovery of damages and loss of business consequent to the flood.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limited partnerships that owned the various houseboats do not allege that they suffered direct physical harm to their vessels. However, the damage to the marina resulted in those boats not being rented out. The limited partnerships wish to advance claims for their economic losses but they have a problem: claims for pure economic loss may not be made except in certain very limited circumstances. By the proposed amendments, these plaintiffs seek to fit themselves into the exception afforded to members of a joint venture. This claim for relational economic loss comprises the first element of the contested amendments.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second element of contest concerns the plaintiffs' amendments that would, if allowed, plead that the District of Sicamous designed alterations to Sicamous Creek that it knew or ought to have known would result in the flood. The background to that proposed pleading is that in or around 1997, debris on Sicamous Creek piled up against a bridge across the creek. The stream backed up and flooded into Vinco's property. The bridge was owned by the defendants Mr. and Mrs. McLaughlin.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the pleadings now stand, the plaintiffs allege that remediation work to the creek's bed and sides and to the bridge itself was negligently 'directed' by the District of Sicamous. Paraphrasing rather broadly, the proposed amendments would change that pleading from 'directed' to '</w:t>
      </w:r>
      <w:r>
        <w:rPr>
          <w:rFonts w:ascii="arial" w:eastAsia="arial" w:hAnsi="arial" w:cs="arial"/>
          <w:color w:val="000000"/>
          <w:sz w:val="20"/>
          <w:u w:val="single"/>
          <w:lang w:val="en-US" w:eastAsia="en-US" w:bidi="ar-SA"/>
        </w:rPr>
        <w:t>designed</w:t>
      </w:r>
      <w:r>
        <w:rPr>
          <w:rFonts w:ascii="arial" w:eastAsia="arial" w:hAnsi="arial" w:cs="arial"/>
          <w:color w:val="000000"/>
          <w:sz w:val="20"/>
          <w:lang w:val="en-US" w:eastAsia="en-US" w:bidi="ar-SA"/>
        </w:rPr>
        <w:t xml:space="preserve"> and directed' (my emphasis). The allegation that the District designed all or a part of the remediation project is new to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third element of the contested amendments concerns the plaintiffs' allegation that the District's participation in the formulation and implementation of the remediation work was such that it effectively negated the McLaughlins' ability to make decisions or otherwise influence the project. Again, paraphrasing broadly, these amendments assert that the District stepped into the process for and on behalf of the McLaughlins. The plaintiffs would like to allege that the District was negligent in its dealings with the Province on certain elements of the remediation project. One particular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according to the plaintiffs, asserting that raising the height of the replacement bridge by only two feet would be sufficient. The plaintiffs would like to claim for their loss arising out of the District's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stipulating that chance.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may be important to note that this third amendment does not directly assert a claim against the District for negligently misstating a fact to the Province. This amendment asserts, instead, that the District's position as a regulatory and municipal authority placed the McLaughlins in a position of "reduced autonomy". The plaintiffs would like to argue that the District was too big for the McLaughlins to ignore - they had no choice but to go along with whatever the District suggested or demanded by way of the remediation project. The plaintiffs would like the trial judge to have the opportunity to find that the District's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participation in the project caused the project to be carried out in an inadequate fashion, thus giving rise to the harm that the plaintiffs suffered in the 2012 flood. So, while the proposed amendments do not set up a negligent misrepresentation claim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they do describe a new sort of sub-species of that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notice of trial has been issued in this matter. The Province and the McLaughlins take no position on the proposed amendments but the District does not consent to them. The plaintiffs must, therefore, obtain leave of the court to make the amendments they seek: Supreme Court Civil Rules 6-1(1).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general principal is that a party should be permitted to try the case he, she, or it wishes to bring against the respondents. Amendments should be permitted so that the real issues may be brought before the court. The court may, however, refuse to allow an amendment that would cause prejudice to the opposite party or the amendment would be useless: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21 B.C.L.R. (3d) 145</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Prejudice is not something to be assumed or inferred in the absence of evidence: </w:t>
      </w:r>
      <w:r>
        <w:rPr>
          <w:rFonts w:ascii="arial" w:eastAsia="arial" w:hAnsi="arial" w:cs="arial"/>
          <w:i/>
          <w:color w:val="000000"/>
          <w:sz w:val="20"/>
          <w:lang w:val="en-US" w:eastAsia="en-US" w:bidi="ar-SA"/>
        </w:rPr>
        <w:t>Petersen v. 446690 BC Ltd.</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2014 BCSC 1531</w:t>
        </w:r>
      </w:hyperlink>
      <w:r>
        <w:rPr>
          <w:rFonts w:ascii="arial" w:eastAsia="arial" w:hAnsi="arial" w:cs="arial"/>
          <w:color w:val="000000"/>
          <w:sz w:val="20"/>
          <w:lang w:val="en-US" w:eastAsia="en-US" w:bidi="ar-SA"/>
        </w:rPr>
        <w:t xml:space="preserve"> at paragraph 37.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 useless pleading is one that does not disclose a cause of action or defence: </w:t>
      </w:r>
      <w:r>
        <w:rPr>
          <w:rFonts w:ascii="arial" w:eastAsia="arial" w:hAnsi="arial" w:cs="arial"/>
          <w:i/>
          <w:color w:val="000000"/>
          <w:sz w:val="20"/>
          <w:lang w:val="en-US" w:eastAsia="en-US" w:bidi="ar-SA"/>
        </w:rPr>
        <w:t>Petersen</w:t>
      </w:r>
      <w:r>
        <w:rPr>
          <w:rFonts w:ascii="arial" w:eastAsia="arial" w:hAnsi="arial" w:cs="arial"/>
          <w:color w:val="000000"/>
          <w:sz w:val="20"/>
          <w:lang w:val="en-US" w:eastAsia="en-US" w:bidi="ar-SA"/>
        </w:rPr>
        <w:t xml:space="preserve"> supra.</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noted, the limited partnership plaintiffs do not allege that they suffered physical damage to their houseboats. They do allege loss of revenue consequent to the damage to the marina. Their claims are lost unless they can fit themselves into one of the categories of plaintiff that may claim for pure economic loss in the absence of physical damage. These plaintiffs would like to present their claim for pure economic loss to the court by way of their having a relationship with Vinco and Waterway that is 'akin to a joint venture'.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These plaintiffs say that authority for an exception arising out of a relationship akin to joint venture lies in the Supreme Court of Canada's decision in </w:t>
      </w:r>
      <w:r>
        <w:rPr>
          <w:rFonts w:ascii="arial" w:eastAsia="arial" w:hAnsi="arial" w:cs="arial"/>
          <w:i/>
          <w:color w:val="000000"/>
          <w:sz w:val="20"/>
          <w:lang w:val="en-US" w:eastAsia="en-US" w:bidi="ar-SA"/>
        </w:rPr>
        <w:t>Canadian National Railway Co. v. Norsk Pacific Steamship Co.</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There, the CNR sought damages for pure economic loss arising out of Norsk's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putting a particular railway bridge out of service. No contract existed between Norsk and the CNR and no property of CNR's was physically damaged in the incident. Conventionally, then, the CNR would have been barred from claiming against Norsk for its loss. However, the Supreme Court of Canada decided for the CNR and allowed the claim. Writing for the majority, McLaughlin J. discussed the need for the court to protect against indeterminate liability while at the same time giving effect to the pragmatic nature of the proximity test that governs the scope of all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She observed that participants in a joint venture may advance claims for pure economic loss. That was La Forest J.'s position for the minority. After acknowledging La Forest J.'s preference for rigid categorization based upon formal contractual terms evidencing a joint venture, McLaughlin J. said that she preferred a more flexible approach. She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 prefer a more flexible test which permits the trial judge to consider all factors relevant to their relationship. The terms of the contract are an important consideration in determining whether economic loss is recoverable. But the contract may tell only part of the story between the parties. If the evidence establishes that having regard to the entire relationship between the owner of the damaged property and the plaintiff, the plaintiff must be regarded as standing in the relation of joint or common venturer (or a concept akin thereto) with the property owner with the result that in justice his rights against third parties should be the same as the owner's, then I would not interfere. Here as elsewhere in the law of tort, the question is where the balance between certainty and flexibility should be struck. It is my conviction, based on the development of the law relating to recovery of economic loss thus far, that the balance must be struck this side of rigid categorization which denies the possibility of recovery in new cases which may not meet the categorical test.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District argues that McLaughlin J.'s approach has 'died on the vine' and is no longer the guiding principle. The District says that in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[1997] S.C.J. No. 111</w:t>
        </w:r>
      </w:hyperlink>
      <w:r>
        <w:rPr>
          <w:rFonts w:ascii="arial" w:eastAsia="arial" w:hAnsi="arial" w:cs="arial"/>
          <w:color w:val="000000"/>
          <w:sz w:val="20"/>
          <w:lang w:val="en-US" w:eastAsia="en-US" w:bidi="ar-SA"/>
        </w:rPr>
        <w:t xml:space="preserve">, the Supreme Court of Canada applied only the rigid La Forest test in assessing whether the plaintiff was in a joint venture with the defendant. It goes on to argue that in </w:t>
      </w:r>
      <w:r>
        <w:rPr>
          <w:rFonts w:ascii="arial" w:eastAsia="arial" w:hAnsi="arial" w:cs="arial"/>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the Supreme Court again indicated that the rigid contract based test is the only path to finding that a joint venture exists between the plaintiffs.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District says that if a joint venture can only be found on contractual terms then the proposed amendments are useless and should not be allowed. That is because they do not assert the necessary contractual terms.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Fortunately for me, I am not being asked on this application to rule on whether McLaughlin J.'s flexible approach as she described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no longer has a role to play in Canadian law. It does appear that the decisions that came after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tend to give that flexible approach less ink than La Forest's rigid approach. Does that mean, as the District argues, that the majority's decision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has been overruled? I think not. There is room for discussion on the point. Trial courts are where such discussions start. It would be wrong for me on this application to foreclose the plaintiffs' opportunity to test those waters by denying leave to make the needful amendments to their pleadings.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Turning to the practical aspect of the proposed amendments, I am satisfied that if the various allegations of a close business relationship between Waterway and the limited partnerships would, if proven, tend to support a conclusion that they were in a relationship akin to a joint venture. If the majority's flexible approach in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still lives, then there is a reasonable chance that the limited partnership's claims for pure economic loss will be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For these reasons, I would allow the proposed amendments relating to the claims for relational contractual economic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District's complaint concerning the new allegation that it designed as well as directed the remediation work is that the allegation comes so close to the trial date that it will have great difficulty gathering the lay and expert evidence it will need to defend itself. The District says that it will take time to locate, retain, and instruct an expert on creek remediation and bridge construction and it will take time for the expert to write his or her report. The District asserts that there is not enough time between now and the trial in November 2016 to get all of that work done. The District says that it will be prejudiced if the amendment is allowed.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difficulty with the District's position on this point is that it adduced no evidence that it will have difficulty locating, retaining, and instructing an expert. The affidavit of the District's counsel simply asserts those propositions - it provides no evidence that counsel has actually picked up the telephone or sent out correspondence to communicate with potential experts. There is no evidence that such experts have refused the job. There is no evidence that having accepted the District's retainer, an expert has complained that there is not enough time to prepare a report. I am not persuaded by the District's evidence that it will actually suffer prejudice if the design amendment is allowed.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Practically speaking, I accept that there is a reasonable chance that allowing the amendment to allege that the District designed the remediation work will result in a trial adjournment. However, looking at the case as it stands on the present pleadings I think that there is at least an even chance that the trial will not go ahead in November anyway. Allowing the amendment will not, I think, do great violence to the progress of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final element of the proposed amendments goes to the plaintiffs' assertion that the District's meddling in the creek and bridge remediation project caused the project to be completed in a faulty way. To repeat what I said earlier and put very simply, the proposed pleading says that having decided to participate in the project the District owed a duty of care to the McLaughlins and to the plaintiffs to carry out that participation in a non-negligent fashion. The amendments give rise to two potential theories of liability on the District: firstly, that the plaintiffs were within the scope of parties that would be affected by the District's input into the remediation - i.e.: the plaintiff's interests were sufficiently proximate to the project that a duty of care arose between them and the District; and secondly, that the District's status as a governing body overbore the McLaughlin's autonomy such that the District's decisions were in effect forced upon the McLaughlins.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District complains that the first theory of liability cannot be sustained on the pleadings. The District points out that the proposed pleadings assert that the District made negligent recommendations to the Province which the Province then followed, thus giving rise to the flood and consequent damage. Those allegations are the bones of a classic claim for negligent misrepresentation. The District says that the amendments would be useless because nowhere in the pleadings do the plaintiffs allege that they relied on the District's representations. Reliance is, of course, a necessary element of the tort of negligent misrepresentation.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District's objection to the second theory of liability raised by the proposed amendments is that they do not describe a claim known to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plaintiff's response to these complaints is that, just as a more flexible test for relational contractual economic loss exists as per the </w:t>
      </w:r>
      <w:r>
        <w:rPr>
          <w:rFonts w:ascii="arial" w:eastAsia="arial" w:hAnsi="arial" w:cs="arial"/>
          <w:i/>
          <w:color w:val="000000"/>
          <w:sz w:val="20"/>
          <w:lang w:val="en-US" w:eastAsia="en-US" w:bidi="ar-SA"/>
        </w:rPr>
        <w:t>Norsk</w:t>
      </w:r>
      <w:r>
        <w:rPr>
          <w:rFonts w:ascii="arial" w:eastAsia="arial" w:hAnsi="arial" w:cs="arial"/>
          <w:color w:val="000000"/>
          <w:sz w:val="20"/>
          <w:lang w:val="en-US" w:eastAsia="en-US" w:bidi="ar-SA"/>
        </w:rPr>
        <w:t xml:space="preserve"> decision, so too should a more flexible approach be adopted for claims arising out of negligent misrepresentation. The plaintiffs cite this passage in the text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at pages 515-516:</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One new category or perhaps a novel analogous category that is emerging is the case where the defendant's negligent communication to a third party, not the plaintiff, damages a plaintiff's economic interests. These are not misrepresentations or services cases because there is no undertaking to, or reliance by, the plaintiff. Proximity will be the key to this new category of duty - what relationships are significant and close enough to warrant this obligation?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At its base, the plaintiffs' argument is that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static. It can grow or contract as social circumstances require. Were that not the case no court would ever have need to employ the analysis set out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(1977), [1978] A.C. 728, nor would the court have to consider the tests for the scope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as set out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am persuaded, but just barely, by the plaintiffs' arguments on this leg of the application. I agree that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static. The court must be sensitive to the interest society has in keeping the law current. I agree that the plaintiffs' claims arising out of the third set of contested amendments are, well, novel, but I cannot say that they are doomed to failure. There is a case here to be tried. It is not for me to deny the plaintiffs the opportunity to put these issues before the court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will give leave to the plaintiffs to amend their pleadings in the form they seek.</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costs of this application will be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 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Weeks v. Baloniak, [2003] B.C.J. No. 2596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20 - 24,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7, 2003.</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S066793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2596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1684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127 A.C.W.S. (3d) 1029</w:t>
      </w:r>
    </w:p>
    <w:p>
      <w:pPr>
        <w:spacing w:before="120" w:line="260" w:lineRule="atLeast"/>
        <w:rPr>
          <w:lang w:val="en-US" w:eastAsia="en-US" w:bidi="ar-SA"/>
        </w:rPr>
      </w:pPr>
      <w:r>
        <w:rPr>
          <w:rFonts w:ascii="arial" w:eastAsia="arial" w:hAnsi="arial" w:cs="arial"/>
          <w:color w:val="000000"/>
          <w:sz w:val="20"/>
          <w:lang w:val="en-US" w:eastAsia="en-US" w:bidi="ar-SA"/>
        </w:rPr>
        <w:t>Between Barbara Joanne Weeks, plaintiff, and Krzysztof Baloniak and Dorota Baloniak,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(103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8" style="position:absolute;z-index:25169305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4" w:name="Keywords_32"/>
      <w:bookmarkEnd w:id="234"/>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Animals — Duty of possessor of domestic animals — Duty to control — Dangerousness, knowledge of, liability of owner.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5" w:name="Case Summary_31"/>
            <w:bookmarkEnd w:id="23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Weeks against the Baloniaks for damages for personal injuries. Weeks, a mail carrier, claimed that the Baloniaks' dog was not chained when she went to deliver the mail on March 6, 2001. She claimed that the dog attacked and bit her. Weeks filled out a report about the incident at the postal office. Two other mail carriers testified that they had noticed the dog barking and straining on its leash when they delivered mail to the address, and they recounted several incidents during which they feared that they would be bitten. Weeks argued that the defendants had failed to properly train their dog. The Baloniaks denied that their dog bit Weeks, and also denied that the dog had ever bitten anyone. Weeks argued that the doctrine of scienter should be applied on the evidence, as the dog was known to have a propensity to bite. </w:t>
            </w:r>
            <w:r>
              <w:rPr>
                <w:lang w:val="en-US" w:eastAsia="en-US" w:bidi="ar-SA"/>
              </w:rPr>
              <w:cr/>
            </w:r>
          </w:p>
          <w:p>
            <w:pPr>
              <w:spacing w:before="120" w:line="260" w:lineRule="atLeast"/>
              <w:ind w:left="240"/>
              <w:jc w:val="both"/>
              <w:rPr>
                <w:lang w:val="en-US" w:eastAsia="en-US" w:bidi="ar-SA"/>
              </w:rPr>
            </w:pPr>
            <w:bookmarkStart w:id="236" w:name="Holdings of Court_29"/>
            <w:bookmarkEnd w:id="236"/>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Weeks had established that she was bitten by the Baloniaks' dog. She had also established that the dog had evinced a propensity to bite on previous occasions. However, she had not proven that the Baloniaks were aware of this propensity, and this was a necessary element in scienter. Likewise,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Baloniaks had not been established. </w:t>
            </w:r>
            <w:r>
              <w:rPr>
                <w:lang w:val="en-US" w:eastAsia="en-US" w:bidi="ar-SA"/>
              </w:rPr>
              <w:cr/>
            </w:r>
          </w:p>
          <w:p>
            <w:pPr>
              <w:rPr>
                <w:lang w:val="en-US" w:eastAsia="en-US" w:bidi="ar-SA"/>
              </w:rPr>
            </w:pPr>
          </w:p>
        </w:tc>
      </w:tr>
    </w:tbl>
    <w:p>
      <w:pPr>
        <w:jc w:val="both"/>
        <w:rPr>
          <w:lang w:val="en-US" w:eastAsia="en-US" w:bidi="ar-SA"/>
        </w:rPr>
      </w:pPr>
      <w:bookmarkStart w:id="237" w:name="Legislation Cited_24"/>
      <w:bookmarkEnd w:id="23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89" style="position:absolute;z-index:2517442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Occupiers' Liability Act, R.S.B.C. 1996, c. C. 337.</w:t>
      </w:r>
      <w:r>
        <w:rPr>
          <w:lang w:val="en-US" w:eastAsia="en-US" w:bidi="ar-SA"/>
        </w:rPr>
        <w:cr/>
      </w:r>
    </w:p>
    <w:p>
      <w:pPr>
        <w:keepNext/>
        <w:spacing w:before="240" w:line="340" w:lineRule="atLeast"/>
        <w:rPr>
          <w:lang w:val="en-US" w:eastAsia="en-US" w:bidi="ar-SA"/>
        </w:rPr>
      </w:pPr>
      <w:bookmarkStart w:id="238" w:name="Counsel_33"/>
      <w:bookmarkEnd w:id="23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0" style="position:absolute;z-index:25179545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 Harding, for the plaintiff. Krzysztof Baloniak and Dorota Baloniak, in person.</w:t>
      </w:r>
      <w:r>
        <w:rPr>
          <w:lang w:val="en-US" w:eastAsia="en-US" w:bidi="ar-SA"/>
        </w:rPr>
        <w:cr/>
      </w:r>
    </w:p>
    <w:p>
      <w:pPr>
        <w:spacing w:after="240"/>
        <w:rPr>
          <w:lang w:val="en-US" w:eastAsia="en-US" w:bidi="ar-SA"/>
        </w:rPr>
      </w:pPr>
      <w:bookmarkStart w:id="239" w:name="Judgment_33"/>
      <w:bookmarkEnd w:id="239"/>
      <w:r>
        <w:pict>
          <v:line id="_x0000_s1191" style="position:absolute;z-index:25184563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40" w:name="TRUSCOTT J."/>
            <w:bookmarkEnd w:id="240"/>
            <w:r>
              <w:rPr>
                <w:rFonts w:ascii="arial" w:eastAsia="arial" w:hAnsi="arial" w:cs="arial"/>
                <w:b/>
                <w:color w:val="000000"/>
                <w:sz w:val="30"/>
                <w:lang w:val="en-US" w:eastAsia="en-US" w:bidi="ar-SA"/>
              </w:rPr>
              <w:t>TRUSCOTT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claims against the defendants Baloniak for damages for personal injuries sustained by their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train, secure and control their dog, Alf, which it is alleged to have bitten the plaintiff on March 6,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Alternatively, the plaintiff claims against the Baloniaks under the legal doctrine of scienter.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Although the plaintiff also claimed under the Occupiers Liability Act, </w:t>
      </w:r>
      <w:r>
        <w:rPr>
          <w:rFonts w:ascii="arial" w:eastAsia="arial" w:hAnsi="arial" w:cs="arial"/>
          <w:i/>
          <w:color w:val="000000"/>
          <w:sz w:val="20"/>
          <w:lang w:val="en-US" w:eastAsia="en-US" w:bidi="ar-SA"/>
        </w:rPr>
        <w:t>R.S.B.C. 1996 Ch. 337</w:t>
      </w:r>
      <w:r>
        <w:rPr>
          <w:rFonts w:ascii="arial" w:eastAsia="arial" w:hAnsi="arial" w:cs="arial"/>
          <w:color w:val="000000"/>
          <w:sz w:val="20"/>
          <w:lang w:val="en-US" w:eastAsia="en-US" w:bidi="ar-SA"/>
        </w:rPr>
        <w:t xml:space="preserve">, plaintiff's counsel submitted that the same principles apply under that act as under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he only submitted under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Accordingly, I will not deal with the Occupiers Liability Act separately.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Baloniaks deny that their dog bit the plaintiff at all, or if it did, it was with provocation by the plaintiff. They deny that their dog ever had bitten anyone beforehand or had any propensity to attack people beforehand. If it did have such a propensity they deny that they knew of any previous attacks or any such propensity. They also deny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their part in the training and handling of their dog.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a mail carrier. On March 6, 2001, she was delivering mail to the Baloniak's residence in Surrey when she alleges that their dog escaped his chain that attached him to some part of the house, and attacked her and bit her seriously.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Baloniaks rented this property from the City of Surrey, which originally was also a defendant, but against whom a consent dismissal order was entered on May 2, 2002. Accordingly hereafter when I refer to the defendants I am referring only to the Baloniaks.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evidence was that the dog, when outside, was tied up to a location at approximately the mid point of the south wall of the house, to a wooden post near or against the house. He was tied up with a metal chain that was attached to this post with a large metal construction staple placed through a link in the chain and hammered into the post.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chain was of such a length as to allow the dog to range around the southwest corner of the house to the edge of the front yard and similarly around the southeast corner of the house to the edge of the back yard.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dog was a cross breed, the evidence being that he was a combination of German Shepard, Husky and Labrador Retriever.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evidence of the plaintiff was that the dog was always barking at her and straining at the leash at the southwest corner of the house in the front yard when she proceeded up the sidewalk in the middle of the front yard to the front door to deliver the mail. Her evidence was that the dog was able to create a bare depression in the grass at the end of his chain shown in Photograph #6.3 of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she started this route in November, 2000, the plaintiff said that on the first delivery she did not know that the dog was present but when she walked up the front sidewalk to the front steps he jumped around the southwest corner of the house on his chain, barking and straining at the leash and lunging.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Thereafter, every day she delivered mail this dog would lunge around the corner and try to get to her, all the time barking. According to her evidence the length of the chain allowed the dog to advance to approximately 15 feet away from the front steps shown in the photographs of Exhibit 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evidence was that on occasion the Baloniaks were on the porch at the back or east side of the house when she delivered the mail and they never responded to the dog barking. She never said anything to them about the dog and they never said anything to her about the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6, 2001, at approximately 9:30 a.m. the plaintiff said she approached the front door of the Baloniak's house, on the sidewalk, as she usually did, and proceeded up the front steps to place their mail in the receptacle.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said she checked the dog as she proceeded to the front door and saw that it was on its chain lunging. However, when she walked down the front steps to return to the front street, 140th Street, the dog charged her from behind, off his chain, and bit her from behind, without making a sound. She said she did nothing whatsoever to provoke the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screamed and turned to face the dog, as she had been trained to do, swinging her mail bag at the dog and keeping it between her and the dog. The dog continued to try to bite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Baloniak opened the front door when the plaintiff screamed and called to the dog but the dog did not respond. He continued to try to bite the plaintiff, barking wildly. Mrs. Baloniak came down the front steps and grabbed the dog's collar and took him into the house, still barking and attempting to pull away from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evidence was that the dog's chain had broken with about one foot or so still attached to the dog's collar.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telephoned her supervisor from the front steps of the Baloniaks, as she was required to do when bitten by a dog. The supervisor, Linda Hinksman, arrived about 15 or 20 minutes later in a postal truck and took the plaintiff back to the postal depot.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Linda Hinksman, gave evidence for the plaintiff. She confirmed that she picked up the plaintiff at the Baloniak's place on March 6, 2001, and brought her back to the postal depot.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told her that she had been bitten by a dog and Ms. Hinksman had the plaintiff fill out an accident form at the postal depot.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Her evidence was that she checked at the postal depot for other reports on this address but she found no reports and no other complaints on file for this address or this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cross-examination she said that the plaintiff had never filed a complaint about the dog before and had said nothing to her about the dog before, and she confirmed that no one else had filed complaints about the dog before as there were no previous complaints reported on file.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Her evidence was that the files are supposed to remain at the depot forever.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Two other mail carriers gave evidence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Harold Burwash has been a mail carrier since 1983 and for approximately three years leading up to year 2000 he delivered mail to the defendants' house. He encountered their dog every day and according to his evidence the dog was always barking and straining at the leash.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had two particular encounters with the dog. On the first occasion the dog broke off his lead and rushed towards Mr. Burwash, barking, growling and barring his teeth with his ears back, in a threatening manner. Mr. Burwash yelled at the dog and held out the mail bag between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said in his evidence that he could not recall the dog trying to bite him on that occasion but he was in the dog's face yelling at him to back off and kicking at the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reported this incident to his supervisor, Gary Gratrix, verbally, and filled out a written report giving that to his supervisor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explained the procedure when there is a dog attack. The mail delivery is suspended by the carrier and the mail is given to the supervisor who is responsible for contacting the customer. The supervisor usually requires either a verbal or a written assurance from the customer that the animal will be locked up away from where the mail is delivered when it is resumed. A file is kept on the dog that records the action taken.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Burwash's evidence was that mail delivery was cut off to the Baloniaks as a result of this incident for not more than one week. He said he spoke to someone at the house, a man, about the dog, but he could not identify either of the Baloniaks as the person he spoke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could not recall when this incident occurred and when he cut the mail delivery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Burwash changed routes in the year 2000 and a big part of his reason was the daily hassle that he went through with this dog and its aggressive nature.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second incident Mr. Burwash referred to was when he approached the Baloniak's house from the back or east side and he did not see the dog tied up at the back of the house until he walked right into the dog, stepping on him. Both the dog and he were startled and the dog growled and barked and Mr. Burwash yelled and beat a hasty retreat.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did not report this incident to his supervisor because he felt partially responsible for it since he had walked into the dog's area and stepped on the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Vernon Frazee has been a relief mail carrier for 21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August, 2000, he was the relief carrier for a couple of weeks in the Baloniak's neighbourhood.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One day, two days before the end of his work in that area, he was coming down the front steps of the Baloniak's house after having delivered the mail when he discovered the dog off its leash, right behind him. He ran to his truck with the dog barking and right behind him all the 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His evidence was that he was not going to stop to see if the dog was going to bite him or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reported this incident to his supervisor, Gary, whose last name he could not remember, and he filled out a dog report and gave it to his supervisor. He also cut off mail delivery to the Baloniak's house for the final two days of his work. According to him it was up to the supervisor to put a note on the file warning about this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Frazee further explained that the supervisor sometimes phones the owners but if the supervisor cannot make contact with them, he will send a letter to the owners explaining the problem and the owners have to send back a written letter stating that their dog will be kept on a chain at all times, before they can get their mail delivery restarted.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According to Mr. Frazee the owners cannot get their mail delivery restarted after a dog incident without promising that the dog will be restrained.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Mrs. Baloniak gave evidence for the defence. Her evidence was that when she heard the plaintiff screaming on March 6, 2001, she opened the front door and saw the plaintiff standing, not on the front sidewalk immediately in front of the front steps, but in the southwest corner of the front yard on the grass. Her dog Alf was close to the front steps, a few feet away from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confirmed that when she called her dog the first time he did not respond but kept barking and she had to go down the steps and grab his collar and pull him inside.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Her evidence was that the dog had its short leash attached to its collar, marked as Exhibit 10, which was always attached to the collar, but he was not attached to his longer chain. She did not see the chain and never checked for it afterwards.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was her evidence that when she came out of the house her dog's head, tail and ears were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gave evidence that the family got the dog when he was approximately one year old in 1994-1995. As previously stated he was a German Shepard/Husky/Lab Retriever cross breed. Her evidence was that Alf was not aggressive at all nor disobedient. While he did bark he was not vicious and he had never bitten anyone before the plaintiff. In addition, the Baloniaks had never received any complaints about the dog from anyone before the plaintiff, including neighbours and anyone from Canada Post.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said that sometimes when the dog got loose, and he often did, he would go to the porch of a neighbour, Mrs. Redekopp, who would give him water and bring him back and chain him up again. She also said that sometimes children from a nearby elementary school would come and play with the dog and unchain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She could never recall Alf breaking the chain that was attached to the wooden pole on the south side of the house. The chain itself was marked as Exhibit 16 and has a snap at one end that she explained clipped to the dog's collar with a plain link at the other end that was hammered into the pole on the south side of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Her evidence was that the chain marked Exhibit 16 was the full length of the chain attaching the dog to the pole and it was not broken. The length of the chain allowed Alf to reach the bare area in the grass shown in Exhibit 1, Photograph #6.3.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could never recall Alf breaking his chain. Her husband was responsible for checking the connection to the pole and she was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never thought about locking the snap on the chain that clipped to the collar because the dog only got loose once or twice a month and he was not dangerous anyway when loose.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did agree that sometimes Alf would pull on his chain when people came to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Two neighbours of the Baloniaks gave evidence for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Anna Redekopp is 85 years old and she lives next door to the Baloniaks. Her evidence was that the dog Alf was a lovely, friendly dog that played with children. She explained that sometimes she found him at her place and she would give him fresh water and take him back home. He sometimes barked before she saw him at her place but not too loudly, but when she opened the window he stopped. The dog never touched or bit her. In cross-examination she agreed she is a little deaf. When asked how Alf got loose to come to her house she said that the snap on the chain was opening up. She was shown Exhibit 16 but said she had never seen that chain before. She agreed that Alf would bark at strangers if someone came to her house while Alf was there, but explained that when she called him off he stopped.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Ronald Wutke is also a neighbour who lives next door. He is 75 years old and used to train dogs. His evidence was that he would walk down the alley and wave at Alf and sometimes Alf would bark back. According to him Alf was a small, friendly, gentle dog although all dogs are gentle to him. No neighbours complained about the dog from his knowledge and the dog was not vicious or aggressive. From his evidence it appears that he had some dispute with the plaintiff, or at least the postal service, concerning his own mail delivery as his own service was cut off sometime in the year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cross-examination Mr. Wutke had some difficulty describing Alf and he did not even know Alf's name. He could not identify photographs of Alf in Exhibit 17.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Baloniak's daughter, Karolyna, age 17, also gave evidence. She described the dog as a good, friendly dog who never barked at her and who was obedient and not aggressive with her, her friends, or visitors. He did not chew or dig around the outside of the house, according to her evidence, and he did not chase people or other dogs. He came when called.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cross-examination she identified the bare patch on the lawn in Photograph 6.3 of Exhibit 1, as a spot where Alf would end up when pulling on his chain. She confirmed that sometimes Alf got loose. According to her, sometimes Mrs. Redekopp would let him loose and sometimes her own friends would do that. She was not concerned, however, because he was not aggressive. He only wandered away one time when the SPCA picked him up and brought him home. No one had ever complained about the dog when she was present and mail delivery was never cut off to the house that she knew of. The dog did bark at people walking by but only if they yelled at him. She felt safe and protected by the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Finally, an acquaintance of the Baloniaks, Sylvester Zwiercan, gave evidence. Mr. Zwiercan has a Masters Degree in Economics and is office manager of his wife's dental practice. He described Alf as quiet, very friendly and non-aggressive. He has known the Baloniaks since 1993 or 1994 and sees them five to seven times a year. When he arrived at the Baloniak's house before March 6, 2001, he would walk by the dog sleeping on the driveway and the dog was mostly friendly, very docile, with no aggression.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cross-examination he said that Alf was quite big, maybe three feet tall. He agreed he had heard Alf barking but he never saw Alf pulling at his chain. On examination of Exhibit 16 he thought Alf's chain was bigger than the exhibit. He said he expected that the dog would perform his function of protecting the house, such as barking, and attacking strangers if they attacked the children.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Submissions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submits that the conditions for a finding of liability under the doctrine of scienter have been satisfied on the evidence. The dog Alf belonged to the Baloniaks, it had a propensity to bite and the Baloniaks knew of this propensity.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the plaintiff's submission, when a dog viciously barks and lunges on its chain and often gets loose, that is enough to prove a propensity to bite, relying upon Woods v. Standish </w:t>
      </w:r>
      <w:hyperlink r:id="rId679" w:history="1">
        <w:r>
          <w:rPr>
            <w:rFonts w:ascii="arial" w:eastAsia="arial" w:hAnsi="arial" w:cs="arial"/>
            <w:i/>
            <w:color w:val="0077CC"/>
            <w:sz w:val="20"/>
            <w:u w:val="single"/>
            <w:shd w:val="clear" w:color="auto" w:fill="FFFFFF"/>
            <w:lang w:val="en-US" w:eastAsia="en-US" w:bidi="ar-SA"/>
          </w:rPr>
          <w:t>[1991] B.C.J. No. 1004</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evidence of Mr. Burwash and Mr. Frazee was that the dog had actually attacked both of them before. They said that as a matter of post office policy the only way a customer could get mail delivery renewed after it was suspended or cut off was by the customer promising in writing to restrain the dog. As these witnesses had indicated that they cut off the mail delivery to the Baloniaks, the plaintiff's submission is that the Baloniaks must have received notice of that and must have promised to restrain their dog before mail delivery resumed.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Accordingly, it is submitted that the Baloniaks must have known of their dog's propensity and liability under the doctrine of scienter is established, regardless of how the dog got loose.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submitted that the defendants knew or ought to have known of the dog's propensity to bite and they had not taken reasonable care to keep him chained up by, for example, locking the snap mechanism on the chain onto the collar so that he could not get loose or be let loose by anyone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submits that as Mr. Baloniak did not give evidence an adverse inference should be drawn against him that his evidence would have been harmful to the Baloniaks in terms of what he knew or ought to have known about the dog's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Mrs. Redekopp was sincere and honest, in the submission of the plaintiff, but confused. Mr. Wutke was also confused but it was submitted he was biased against the plaintiff as a mail carrier. Mr. Zwiercan had agreed that the dog barked and he expected that it was performing his function of protecting the house such as barking and attacking strangers if they attacked the children. Accordingly, it is submitted that he confirmed the dog was aggressive and would attack people.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On the plaintiff's submission the daughter Karolyna's evidence that she felt safe and protected by the dog lead to the inference that she felt this way because he was a protective dog guarding his territory.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submission is that Mrs. Baloniak lacked credibility because she suggested that the plaintiff's injuries were not as serious as they were made out to be by the plaintiff and she confirmed that she was unable to control the dog on March 6, 2001, by simply calling him and had to pull the dog back into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There were two BEWARE OF DOG signs on the Baloniak's house and the plaintiff's submission is that an inference should be drawn that the Baloniaks knew people should be aware of the dog because of its propensity to attack people.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Baloniaks' submission is that their dog had no history of, or propensity to attack and the doctrine of scienter does not apply for that reason. In any event the Baloniaks' submission is that they had no awareness of any propensity.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They also submit that the plaintiff knowingly put herself at risk and may even have provoked the dog and the doctrine of volenti non fit injuria should apply.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answer to the submission on the BEWARE OF DOG signs the Baloniaks submit that those signs were simply there for information purposes.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doctrine of scienter is extensively discussed and clarified in the decision of the Court of Appeal in Janota-Bzowska v. Lewis </w:t>
      </w:r>
      <w:hyperlink r:id="rId680" w:history="1">
        <w:r>
          <w:rPr>
            <w:rFonts w:ascii="arial" w:eastAsia="arial" w:hAnsi="arial" w:cs="arial"/>
            <w:i/>
            <w:color w:val="0077CC"/>
            <w:sz w:val="20"/>
            <w:u w:val="single"/>
            <w:shd w:val="clear" w:color="auto" w:fill="FFFFFF"/>
            <w:lang w:val="en-US" w:eastAsia="en-US" w:bidi="ar-SA"/>
          </w:rPr>
          <w:t>[1997] B.C.J. No. 2053</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Dogs are animals which as a kind are ordinarily harmless although individual dogs may harbour a vicious or dangerous disposition. Liability to an owner only attaches if the plaintiff proves that a particular dog was dangerous and the owners knew of their dog's propensity to cause the type of harm that was occasioned.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 person keeping an animal of this kind when the person knows the dog has a propensity to do a particular kind of mischief is under an absolute duty to prevent it from doing that kind of mischief and is therefore liable, without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for any damage caused by the dog acting in accordance with that known propensity.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On the other hand,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 requires that the owner ought to know of the propensity and only requires reasonable care to be taken by the owner to prevent the damage caused by the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 dog may not have actually caused the specific type of harm sued for on a prior occasion, for the doctrine of scienter to apply. It is enough if the owner knew that the dog had a propensity or manifested a trait to do that kind of harm.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has proven that the Baloniaks were the owners of the dog Alf. I am completely satisfied that the plaintiff was bitten by the dog Alf on March 6, 2001, as she described in her evidence. There is no evidence of provocation. The dog was off its chain at the time and running free, although it is unclear how he escaped from his chain that day. The Baloniaks knew that the dog escaped his chain from time to time so they were aware of that possibility.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am also satisfied that the dog had manifested a propensity to bite prior to this occasion. I accept the evidence of Messrs. Burwash and Frazee as to the circumstances of their encounters with the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Burwash described the dog as rushing towards him, barking, growling, barring his teeth, ears back and threatening. He did make a comment during the course of his evidence that he did not remember this particular dog trying to bite him on that instance, but I am satisfied from the whole of his evidence that he was telling me that the dog looked like it was going to bite him but he was successful in warding the dog off.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Frazee's evidence was that the dog was barking and running right behind him as he ran back to his truck and he was not going to stop to see if the dog was going to bite or not. This evidence is not as strong as Mr. Burwash's evidence because Mr. Frazee could not say whether the dog was showing any signs of a propensity to bite, unlike Mr. Burwash's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Nevertheless, the dog's actions were threatening of physical harm and on the whole of the evidence of these two witnesses I am satisfied the dog had manifested a propensity to bite, at least to bite mail carriers.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issue of whether the Baloniaks as owners had actual knowledge of this propensity is a bigger obstacle for the plaintiff, however.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of Messrs. Burwash and Frazee was that they cut off the mail delivery to the Baloniaks following their incidents, in the case of Mr. Burwash for up to five days and in the case of Mr. Frazee for two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However, any communication with the Baloniaks to advise that their mail was cut off was left to the supervisor who was responsible for either writing them or phoning them and who was to get a letter of undertaking by return from the Baloniaks that the dog would be secured when the mail was delivered. This undertaking was to be given before the mail delivery could be resumed.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Messrs. Burwash and Frazee both said that they filled out reports of their encounters with the dog and gave them to their supervisor. Accepting this evidence there should have been a file on this address or on this dog and contained in that file should have been these reports from Messrs. Burwash and Frazee and perhaps a letter from the supervisor to the Baloniaks telling them that their mail delivery was cut off until they gave assurances about their dog, and a letter back from the Baloniaks giving that assurance, all before mail delivery was resumed.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plaintiff's supervisor, Linda Hinksman, did not find any file on this address or this dog recording any complaints for this address or this dog although she specifically looked for any file on March 6,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can only conclude that the reports of Messrs. Burwash and Frazee never made it to any file, or the file was destroyed. There is no direct evidence that there was any communication from Canada Post to the Baloniaks about their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Plaintiff's counsel submits that as the Baloniak's mail delivery was cut off and by policy they could not get it reinstated without giving an undertaking to restrain their dog, it should be concluded by the court that they did have actual knowledge about the dog's propensity to bite.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However, to accept this submission I would have to initially conclude that the Baloniaks knew their mail delivery was cut off. Mrs. Baloniak and her daughter denied any such knowledge. The lengths of times the mail delivery was cut off were five days and two days. I am not prepared to conclude that the Baloniaks ever knew their mail delivery was cut off for these limited periods. Even if they did know, I am also not prepared to conclude that they knew it was because of their dog. I am not prepared to assume any communication between Canada Post and the Baloniaks about their dog without some direct evidence from Canada Post of such a communication or some irresistible inference, of which there is none. On this essential condition within the doctrine of scienter I find that the plaintiff has failed to satisfy her onus of proving that the defendants had actual knowledge of the propensity of their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This same lack of evidence satisfies me that the plaintiff has failed to make out her case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only evidence of actual notice to the Baloniaks of the propensity of their dog would come from the two incidents concerning Messrs. Burwash and Frazee and I have already concluded that no actual notice has been proven.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Barking and growling and straining at the leash is not enough to prove a propensity to bite, in my view. In Woods v. Standish on which the plaintiff relies, Hardinge J. distinguished a propensity to actually attack from barking or snarling. Further, in Lewis v. Robinson </w:t>
      </w:r>
      <w:hyperlink r:id="rId681" w:history="1">
        <w:r>
          <w:rPr>
            <w:rFonts w:ascii="arial" w:eastAsia="arial" w:hAnsi="arial" w:cs="arial"/>
            <w:i/>
            <w:color w:val="0077CC"/>
            <w:sz w:val="20"/>
            <w:u w:val="single"/>
            <w:shd w:val="clear" w:color="auto" w:fill="FFFFFF"/>
            <w:lang w:val="en-US" w:eastAsia="en-US" w:bidi="ar-SA"/>
          </w:rPr>
          <w:t>[2002] B.C.J. No. 906</w:t>
        </w:r>
      </w:hyperlink>
      <w:r>
        <w:rPr>
          <w:rFonts w:ascii="arial" w:eastAsia="arial" w:hAnsi="arial" w:cs="arial"/>
          <w:color w:val="000000"/>
          <w:sz w:val="20"/>
          <w:lang w:val="en-US" w:eastAsia="en-US" w:bidi="ar-SA"/>
        </w:rPr>
        <w:t>, Hall, J.A., writing for the Court of Appeal referred to a dog given to barking and appearing on occasion to tug at his leash as not suggesting the manifestation of a vicious temperament.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No witness other than Messrs. Burwash and Frazee gave evidence of any vicious temperament of the dog or of any propensity to bite. All other witnesses described him as friendly and non-aggressive.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BEWARE OF DOG signs by themselves also do not infer any knowledge in the Baloniaks that their dog had a vicious temperament and a propensity to bite, in my view. Often, BEWARE OF DOG signs are posted by owners to ward off intruders when their dog has no aggressive nature whatsoever or even when there is no dog present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My conclusion is that there is no evidence that the Baloniaks knew or ought to have known of their dog's propensity to bite.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am not prepared to draw any adverse inference from the fact that Mr. Baloniak did not give evidence as there was no direct evidence, in my view, produced by the plaintiff of any knowledge of the Baloniaks of the dog's propensity or any reason to know of that propensity. I am not prepared to infer that Mr. Baloniak would have supplied the only evidence for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am also not prepared to infer from Mr. Zwiercan's evidence of his expectation that Alf was performing his function of protecting the house including attacking strangers if they attacked the children, that he had any actual knowledge of Alf's propensity to attack people. I have the same conclusion with respect to any inference concerning the daughter's evidence that she felt safe and protected by the dog.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principle of volenti non fit injuria has no application in the circumstances of this case but in any event the plaintiff's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these circumstances I do not intend to go on and consider the issue of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defendants will have their costs against the plaintiff at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TRUSCOTT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2"/>
          <w:headerReference w:type="default" r:id="rId683"/>
          <w:footerReference w:type="even" r:id="rId684"/>
          <w:footerReference w:type="default" r:id="rId685"/>
          <w:headerReference w:type="first" r:id="rId686"/>
          <w:footerReference w:type="first" r:id="rId6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8" w:history="1">
        <w:r>
          <w:rPr>
            <w:rFonts w:ascii="arial" w:eastAsia="arial" w:hAnsi="arial" w:cs="arial"/>
            <w:b/>
            <w:bCs/>
            <w:i/>
            <w:color w:val="0077CC"/>
            <w:kern w:val="32"/>
            <w:sz w:val="28"/>
            <w:szCs w:val="32"/>
            <w:u w:val="single"/>
            <w:shd w:val="clear" w:color="auto" w:fill="FFFFFF"/>
            <w:lang w:val="en-US" w:eastAsia="en-US" w:bidi="ar-SA"/>
          </w:rPr>
          <w:t>Wilson v. Potter, [2005] B.C.J. No. 1280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Powell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Stromberg-Stein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May 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June 10,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Powell River Registry No. S1646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807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594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Thomas Wilson, plaintiff, and Juliet Angela Potter,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3"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1" w:name="Keywords_33"/>
      <w:bookmarkEnd w:id="24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Pedestrians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2" w:name="Case Summary_32"/>
            <w:bookmarkEnd w:id="2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Wilson, against the defendant, Potter, for damages sustained as a result of Wilson being struck by Potter's car. Wilson was crossing a highway in the evening when he was struck by Potter's car. Potter did not see Wilson until the car hit him. It was twilight and it was raining and Potter was not distracted and watching the road, but admitted to traveling slightly above the speed limit.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3" w:name="Holdings of Court_30"/>
            <w:bookmarkEnd w:id="24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Potter was negligent. Wilson was contributorily negligent to the extent of 40 per cent liability. It was common knowledge that there was a lot of pedestrian traffic in this area and that there was an alcohol and drug problem in the community such that motorists had to drive slowly and prudently. Potter had lived in the area for quite some time and had driven her same car the same route many times. Wilson was a retired logger who had crossed the road many times before in various stages of sobriety. He had been drinking that evening and the court found on expert evidence that he was drunk. Wilson was more than halfway across the road when he was struck. Potter failed to keep a proper lookout and that was the primary cause of the accident. Wilson failed to take reasonable care for his own safety by not crossing at an intersection while intoxicated and by wearing dark clothing. He should have been able to see the approaching Potter vehicle and recognize the risk.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4" w:name="Legislation Cited_25"/>
      <w:bookmarkEnd w:id="2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4"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89" w:history="1">
        <w:r>
          <w:rPr>
            <w:rFonts w:ascii="arial" w:eastAsia="arial" w:hAnsi="arial" w:cs="arial"/>
            <w:i/>
            <w:color w:val="0077CC"/>
            <w:sz w:val="20"/>
            <w:u w:val="single"/>
            <w:shd w:val="clear" w:color="auto" w:fill="FFFFFF"/>
            <w:lang w:val="en-US" w:eastAsia="en-US" w:bidi="ar-SA"/>
          </w:rPr>
          <w:t>R.S.B.C 1996, c. 318 s. 181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5" w:name="Counsel_34"/>
      <w:bookmarkEnd w:id="2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5"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Ostensen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(via teleconference): J.E. Whiteley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6" w:name="Judgment_34"/>
      <w:bookmarkEnd w:id="246"/>
      <w:r>
        <w:pict>
          <v:line id="_x0000_s1196" style="position:absolute;z-index:2518466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7" w:name="STROMBERG-STEIN J. (orally)"/>
            <w:bookmarkEnd w:id="247"/>
            <w:r>
              <w:rPr>
                <w:rFonts w:ascii="arial" w:eastAsia="arial" w:hAnsi="arial" w:cs="arial"/>
                <w:b/>
                <w:color w:val="000000"/>
                <w:sz w:val="30"/>
                <w:lang w:val="en-US" w:eastAsia="en-US" w:bidi="ar-SA"/>
              </w:rPr>
              <w:t>STROMBERG-STEIN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 am prepared to give judgment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Sliammon Reserve is intersected by Highway 101, which runs north and south through the community. On April 17, 2003, at approximately 8:45 in the evening, Joseph Wilson, the plaintiff, was crossing Highway 101 to get to his house on the other side. His crossing was just north of the Sliammon Road intersection with Highway 101. As he was crossing, he was hit by Juliet Potter's northbound car. The point of impact was in Ms. Potter's lane of travel near the centre dividing line. Mr. Wilson has no memory of the accident. Ms. Potter did not see Mr. Wilson until the instant her car hit him. Damage to the Potter car was a dent in the hood and a broken windshield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are liability, specifically whether the defendant driver Ms. Potter was negligent, whether the plaintiff pedestrian Mr. Wilson was contributorily negligent, and if so, how should liability be apportioned?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conclude that the defendant driver, Ms. Potter, was negligent. I conclude that the plaintiff pedestrian, Mr. Wilson, was contributorily negligent. I would apportion liability to Ms. Potter at 60 percent and to Mr. Wilson at 40 percent. These are my reasons why.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Highway 101 passes through the Sliammon Reserve north of Powell River. It is a two-lane highway divided by double yellow solid lines. South of the intersection of Sliammon Road is a bridge. From the bridge the highway makes a slight turn left and then straightens, climbing to a crest at the intersection of Sliammon Road. There are no sidewalks, no marked crosswalks, and the shoulders are dirt or gravel. There are two light standards, one at the intersection and one just north of the intersection. There is a lot of pedestrian traffic in the area and a lot of pedestrian traffic is expected: young people, old people, and intoxicated people. It is common knowledge that there is an alcohol and drug problem in the community and that intoxicated persons walk on the roads. It is common knowledge that persons driving through ought to be concerned and take precautions by slowing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the highway was wet but the water was not pooling. Ms. Potter said that it was "misty", "showery", "blustery", "kind of rain", but not constant. She described the weather conditions as "very different or unusual". Ms. Potter described visibility as twilight or dusk; it as dark, not pitch black. She remembers a very strange light. She recalled that the streetlights were on. Ms. Potter described visibility as "not good", "bad", and "poor". She was using her windshield wipers. Her headlights were on and in good working condition. She was wearing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Potter had her teenage daughter with her in the car. They were talking. The radio was not on. There were no distractions. There was no vehicular or pedestrian traffic on the road that she saw. There were no oncoming headlights. Ms. Potter was in fact thinking about how quiet it was that night. She said she was really looking out. The road was straight. There were no obstructions of her line of vision to the Sliammon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Just north of the Sliammon Road intersection, from nowhere, Ms. Potter said she had a person on her car. She did not see him at all and had no advance warning. She did not know the direction of travel of the person. She did not brake before impact because she did not see that person. There is no explanation for why Ms. Potter failed to see the plaintiff if she was keeping a good lookout although the plaintiff was wearing a black or dark jacket and dark 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her examination for discovery Ms. Potter said her speed at the point of impact was at least 35 kph. Here at trial she said her speed was not more than 35 kph. At this particular location the posted speed is 30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Potter is familiar with Highway 101 generally and with this specific location particularly. She is 59 years old. She has lived in the area since 1973. She has been employed in Powell River since 1979 and has commuted to and from her Malaspina home at least 12 times a week. She estimates she has made more than 5,000 trips past this accident location. She has driven the same car, a 1990 Toyota Corolla, for six years, and she is familiar with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was aware of the decrease in speed from the highway speed of 60 kph to a speed of 30 kph through the Sliammon Reserve. She knew that through the Sliammon Reserve people of all ages and level of sobriety were expected to be walking on the highway and crossing the highway. She expected to encounter pedestrians, including intoxicated ones. She knew there were no sidewalks, no marked crosswalks, and a lot of activity. She was familiar with the street lighting and familiar with the Sliammon Road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Sixty-year-old Mr. Wilson has a grade 6 education. He is unemployed and a retired logger. He has lived all his life on the Sliammon Reserve. For the past 30 years he has lived on the north side of Highway 101. He has crossed Highway 101 thousands of times. Whether sober or drinking, his practice has always been to look both ways before crossing, and wait for cars to go by first. While he cannot say what he did on this particular night, it was his habit, it was automatic, common sense, and he must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April 2003 Mr. Wilson was in good health although he required glasses for distance and his hearing was failing. That night he was wearing his 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the day he visited a friend and shared part of a two-litre bottle of wine. He left his friend's house and walked the half mile towards his own home, stopping along the way for a sip and then again for a swig of wine. He was feeling the effects of alcohol but maintains he was not drunk.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walked up the left side of Sliammon Road to Highway 101 intending to cross to his house on the other side. He has no memory of crossing the road, or of getting hit, or even if it was dark or light outside. He remembers headlights but nothing about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Mr. Wilson was intoxicated; I accept the evidence of the expert Mr. Wong on that point. I conclude that Mr. Wilson did not cross the highway at the Sliammon Road intersection. Rather, as stated in his evidence, and as accords more readily with the evidence of Ms. Potter and the debris at the scene, he crossed roughly across from his own home. I conclude that Mr. Wilson did not cross Highway 101 at an unmarked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was expert evidence from Kurt Ising and Jonathan Gough. I find it of little assistance. Mr. Ising gave opinion evidence about vehicle speed analysis of the Potter vehicle. From his calculations, based on a number of unproven assumptions, the speed of the Potter vehicle could be as high as 68 kph or as low as 41 kph, or even 33 kph. Mr. Gough gave opinion evidence about visibility conditions at the accident scene and the opportunity of the defendant to avoid collision. The experts' opinions in this case are affected by the lack of available data. There was no proper investigation of this accident. No measurements were taken. No scale drawings were available. No photographs were taken. It is impossible to reconstruct the accident in this case because of conflicting evidence about such crucial and essential elements as point of impact, location of debris on the highway, and the path of the plaintiff across the highway, to name just a few matters. It is trite to say that an expert's opinion is only as valid as the proof of the assumptions the opinion is based upon, and here I find that there is little or no proof of the experts'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Without expert evidence, Ms. Potter, admitted a speed of at least 35 kph in a 30 kph zone. Visibility and lighting were admittedly poor. It does not take expert evidence to conclude that Ms. Potter was faced with real difficulty detecting and avoiding pedestrians and observing and reacting to the presence of a darkly clad pedestrian in particular. That is all the more reason for her to have slowed down and adjusted her speed for the driving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carefully considered counsels' authorities. I do not intend to refer to them in these oral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this case Mr. Wilson was more than halfway across the highway. There is no evidence that he suddenly darted or lurched into the path of Ms. Potter's car. While he was not crossing at the intersection of Sliammon Road, and while he was not in an unmarked crosswalk, he was in the path of Ms. Potter's vehicle. He was there to be seen but Ms. Potter did not see him. Ms. Potter failed to keep a proper lookout and that, in my view, is the primary cause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180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provides that a pedestrian crossing a highway not in a crosswalk must yield the right of way to a vehicle. Notwithstanding, s. 181 of the Motor Vehicle Act places a duty of care on the driver to avoid a pedestrian. The driver must:</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application relevant to this case is subsection (a), which requires a driver to "exercise due care to avoid colliding with a pedestrian who is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am mindful of the comments at para. 10 of Embury v. Vanderryst, </w:t>
      </w:r>
      <w:hyperlink r:id="rId690" w:history="1">
        <w:r>
          <w:rPr>
            <w:rFonts w:ascii="arial" w:eastAsia="arial" w:hAnsi="arial" w:cs="arial"/>
            <w:i/>
            <w:color w:val="0077CC"/>
            <w:sz w:val="20"/>
            <w:u w:val="single"/>
            <w:shd w:val="clear" w:color="auto" w:fill="FFFFFF"/>
            <w:lang w:val="en-US" w:eastAsia="en-US" w:bidi="ar-SA"/>
          </w:rPr>
          <w:t>[1997] B.C.J. No. 1427</w:t>
        </w:r>
      </w:hyperlink>
      <w:r>
        <w:rPr>
          <w:rFonts w:ascii="arial" w:eastAsia="arial" w:hAnsi="arial" w:cs="arial"/>
          <w:color w:val="000000"/>
          <w:sz w:val="20"/>
          <w:lang w:val="en-US" w:eastAsia="en-US" w:bidi="ar-SA"/>
        </w:rPr>
        <w:t xml:space="preserve"> (S.C.), which Ms. Whiteley has set out in her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where as here, a pedestrian, who does not have the right of way, ventures onto a street, he and the driver of an approaching vehicle both bear obligations to avoid an accident. Each has a duty to exercise care, and the question of fault where an accident occurs in consequence of a breach of their duties is to be resolved on the evidence as a whole . . . . But, to establish liability, an injured pedestrian must establish a breach of duty on the part of the driver based on the evidence, and the mere fact that the driver has not seen the pedestrian before striking him is not, without more, sufficient to establish an inadequate lookout attributable to the driver ...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also am mindful of the following comments from Fardon v. Harcourt-Rivington, [1932] All E.R. Rep. 81 at 83, 84 (H.L.), which were quoted with approval in Currie v. Fitt, </w:t>
      </w:r>
      <w:hyperlink r:id="rId391" w:history="1">
        <w:r>
          <w:rPr>
            <w:rFonts w:ascii="arial" w:eastAsia="arial" w:hAnsi="arial" w:cs="arial"/>
            <w:i/>
            <w:color w:val="0077CC"/>
            <w:sz w:val="20"/>
            <w:u w:val="single"/>
            <w:shd w:val="clear" w:color="auto" w:fill="FFFFFF"/>
            <w:lang w:val="en-US" w:eastAsia="en-US" w:bidi="ar-SA"/>
          </w:rPr>
          <w:t>[1996] B.C.J. No. 2882</w:t>
        </w:r>
      </w:hyperlink>
      <w:r>
        <w:rPr>
          <w:rFonts w:ascii="arial" w:eastAsia="arial" w:hAnsi="arial" w:cs="arial"/>
          <w:color w:val="000000"/>
          <w:sz w:val="20"/>
          <w:lang w:val="en-US" w:eastAsia="en-US" w:bidi="ar-SA"/>
        </w:rPr>
        <w:t xml:space="preserve"> (S.C.)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root of this liability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what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depends on the facts with which you have to deal. If the possibility of the danger emerging is reasonably apparent, then to take no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if the possibility of danger emerging is only a mere possibility which would never occur to the mind of a reasonable man, then there is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having taken extraordinary precautions.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fulfil this duty, the user of the road is not bound to guard against every conceivable eventuality, but only such eventualities as a reasonable man ought to foresee as being within the ordinary range of human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there is a breach of a duty on the part of Ms. Potter based on her not seeing Mr. Wilson, particularly in the circumstances where Ms. Potter had special knowledge of an alcohol and drug problem in the community. Ms. Potter agreed that she would take extra precautions, including a lower speed, to avoid or give a wide berth to pedestrians, sober or intoxicated. Ms. Potter was well aware of the obvious risk posed by pedestrians on the highway and of the need to look out for pedestrians in this location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Potter knew that the speed limit was 30 kph through the Sliammon Reserve. She acknowledged that speed limit is the maximum permissible and agreed that at times it prudent to drive below the speed limit having regard to road conditions, visibility, and the presence of pedestrians using the road. Ms. Potter acknowledged that extra caution was warranted through the Sliammon Reserve as evidenced by the 30 kph speed, particularly given the reduction in speed from the 60 kph speed limit on the rest of the highway. Ms. Potter agreed that on this particular night her speed was greater than the posted 30 kph speed, despite poor visibility, despite the expectation pedestrians would be out and about, and despite the fact that she might have difficulty seeing a pedestrian. The only precaution Ms. Potter acknowledged taking on this blustery night was going slowly. However, "slowly" was in fact at least 5 kph above the posted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Potter indicated that she was not thinking about the prospect of a pedestrian on the road that night, although she has driven through this location and has seen pedestrians at dark. She acknowledged that pedestrians can reasonably be expected to be on the road after dark and that people can be expected to cross the highway. Ms. Potter did not see the plaintiff in her lane of travel near the centre line north of the Sliammon Road intersection. I conclude that she failed to keep an adequate lookout in the circumstances, as the presence of a pedestrian, including an intoxicated pedestrian, was an eventuality that a reasonable person ought to have foreseen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also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Wilson because he failed to take reasonable care for his own safety. He was not crossing the highway at the intersection of Sliammon Road. Rather, he crossed north of the intersection in a location across from his house. He was intoxicated. There is expert evidence that his blood alcohol level would be approximately 282 milligram percent. This would place him in an advanced state of intoxication and would affect his physical, mental, and sensory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should have been able to see Ms. Potter's approaching vehicle and appreciate the danger or risk that it posed. By being intoxicated, and further by wearing dark clothing, he placed himself in a perilous position. Yet, he was in the middle of the highway, already substantially across the highway, in the path of the Potter vehicle. However, there is no evidence that he drunkenly staggered from the darkness in front of the Potter car as counsel for Ms. Potter characterized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Potter had a duty of care to avoid Mr. Wilson and was negligent in failing to do so, in keeping an improper lookout, and driving at an excessive speed having regard to the road and weather conditions and poor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conclude that Ms. Potter and Mr. Wilson each owed a duty of care to the other. Each breached that duty of care. In assessing their degree of fault, I apportion liability, having regard to the facts of this particular case, counsel's authorities, counsel's submissions, and, of course, the evidence, to Ms. Potter at 60 percent and I find Mr. Wilson contributorily negligent at 40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think that that takes care of everything,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OSTENSEN: Yes,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COURT: Is there any issue of costs or can that can be dealt with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OSTENSEN: I believe that should be dealt with at the conclusion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Okay. Agreed, Ms. Whiteley?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WHITELEY: That's fine, My Lady,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All right.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WHITELEY: Thank you,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OSTENSEN: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7"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Zantvoort v. Welyk, [2003] B.C.J. No. 1577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Dorgan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13 and 14,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27, 2003.</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00/3813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1577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995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124 A.C.W.S. (3d) 218</w:t>
      </w:r>
    </w:p>
    <w:p>
      <w:pPr>
        <w:spacing w:before="120" w:line="260" w:lineRule="atLeast"/>
        <w:rPr>
          <w:lang w:val="en-US" w:eastAsia="en-US" w:bidi="ar-SA"/>
        </w:rPr>
      </w:pPr>
      <w:r>
        <w:rPr>
          <w:rFonts w:ascii="arial" w:eastAsia="arial" w:hAnsi="arial" w:cs="arial"/>
          <w:color w:val="000000"/>
          <w:sz w:val="20"/>
          <w:lang w:val="en-US" w:eastAsia="en-US" w:bidi="ar-SA"/>
        </w:rPr>
        <w:t>Between Jessie Zantvoort, plaintiff, and Frederick Welyk and Marion Diane Welyk,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98" style="position:absolute;z-index:25169510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48" w:name="Keywords_34"/>
      <w:bookmarkEnd w:id="24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Stairs, steps or landings.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49" w:name="Case Summary_33"/>
            <w:bookmarkEnd w:id="24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Zantvoort against the Welyks for damages for personal injuries. Zantvoort, a real estate agent, was showing the Welyks' home. She had taken the viewers up the stairs to a room over the garage and was coming down the stairs when she slipped and fell. Zantvoort and her clients testified that about two thirds of the stairs were obstructed by boxes, with articles spilling out. Zantvoort claimed that she was not certain how she fell, but advanced the theories that she tripped on a box, or that she had been distracted by the mess and lost her footing. She also argued that causation could be implied due to the circumstances. The Welyks argued that Zantvoort had lost her footing, and that they were not liable for the accident. </w:t>
            </w:r>
            <w:r>
              <w:rPr>
                <w:lang w:val="en-US" w:eastAsia="en-US" w:bidi="ar-SA"/>
              </w:rPr>
              <w:cr/>
            </w:r>
          </w:p>
          <w:p>
            <w:pPr>
              <w:spacing w:before="120" w:line="260" w:lineRule="atLeast"/>
              <w:ind w:left="240"/>
              <w:jc w:val="both"/>
              <w:rPr>
                <w:lang w:val="en-US" w:eastAsia="en-US" w:bidi="ar-SA"/>
              </w:rPr>
            </w:pPr>
            <w:bookmarkStart w:id="250" w:name="Holdings of Court_31"/>
            <w:bookmarkEnd w:id="250"/>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Zantvoort failed to prove that the objects on the stairs were the cause of her fall. She did not know for certain how she fell, or that the objects were responsible. Two-thirds of the stairway were unobstructed, indicating that there was sufficient room to move without tripping. The objects were not placed on the stairs so as to attract notice, and Zantvoort's theory that she fell because she was distracted by the mess was not plausible. If anything, a prudent person would have been more careful. To infer causation would not be appropriate, as this was only to be done in limited circumstances. </w:t>
            </w:r>
            <w:r>
              <w:rPr>
                <w:lang w:val="en-US" w:eastAsia="en-US" w:bidi="ar-SA"/>
              </w:rPr>
              <w:cr/>
            </w:r>
          </w:p>
          <w:p>
            <w:pPr>
              <w:rPr>
                <w:lang w:val="en-US" w:eastAsia="en-US" w:bidi="ar-SA"/>
              </w:rPr>
            </w:pPr>
          </w:p>
        </w:tc>
      </w:tr>
    </w:tbl>
    <w:p>
      <w:pPr>
        <w:jc w:val="both"/>
        <w:rPr>
          <w:lang w:val="en-US" w:eastAsia="en-US" w:bidi="ar-SA"/>
        </w:rPr>
      </w:pPr>
      <w:bookmarkStart w:id="251" w:name="Counsel_35"/>
      <w:bookmarkEnd w:id="25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99" style="position:absolute;z-index:2517463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V.F. Hemminger, for the plaintiff. J. Stanley, for the defendants.</w:t>
      </w:r>
      <w:r>
        <w:rPr>
          <w:lang w:val="en-US" w:eastAsia="en-US" w:bidi="ar-SA"/>
        </w:rPr>
        <w:cr/>
      </w:r>
    </w:p>
    <w:p>
      <w:pPr>
        <w:spacing w:after="240"/>
        <w:rPr>
          <w:lang w:val="en-US" w:eastAsia="en-US" w:bidi="ar-SA"/>
        </w:rPr>
      </w:pPr>
      <w:bookmarkStart w:id="252" w:name="Judgment_35"/>
      <w:bookmarkEnd w:id="252"/>
      <w:r>
        <w:pict>
          <v:line id="_x0000_s1200" style="position:absolute;z-index:25179750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53" w:name="DORGAN J._0"/>
            <w:bookmarkEnd w:id="253"/>
            <w:r>
              <w:rPr>
                <w:rFonts w:ascii="arial" w:eastAsia="arial" w:hAnsi="arial" w:cs="arial"/>
                <w:b/>
                <w:color w:val="000000"/>
                <w:sz w:val="30"/>
                <w:lang w:val="en-US" w:eastAsia="en-US" w:bidi="ar-SA"/>
              </w:rPr>
              <w:t>DORGAN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occupiers' liability case, liability only is at issue. In response to the plaintiff's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contend the plaintiff has not proved causation. In the alternative, the defendants raise the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 realtor, fell down some stairs while showing the defendants' property to two prospective purchasers on March 24,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stairs in question lead from the garage to a room over the garage. The design comprises approximately 14 stairs up from the garage to a small landing, then a left turn, and approximately 5 more stairs up to a door at the top of the last stair, which opens into a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evidence, supported by that of the one of her clients available to testify, is that approximately one-third of the area of each stair tread was covered by boxes stacked along the right side of the stairs. The plaintiff testified that the boxes held numerous objects, "stuff" as she described them, which spilled out of many of the boxes. She testified that the small landing, or "turning area" as it was described by her client, was likewise cluttered by a bookcase and various objects which spilled over from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and her clients ascended the stairs without incident. They viewed the room. The clients then proceeded down the stairs without incident. The plaintiff turned to follow, taking two steps down toward the landing and extending her arm behind her to close the door. The next thing she knew was that she had tumbled onto the landing.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claim for damages arises from this unfortunate fall and the significant injuries she sustained. The defendants apply for dismissal of the plaintiff's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primary issue in these proceedings is causation. The plaintiff claims that the clutter on the stairs caused her to fall in one of two ways. The first is that she may have slipped on one of the objects on the stairs; the second is that the clutter may have caused her to fall as she was distracted by the mess.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defendants argue that the court cannot resort to speculation respecting what may have caused the plaintiff to fall. The defendants say that it is not enough for the plaintiff merely to postulate a theory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prove not only that the premises were unsafe but also that the hazard in question caused the injury. The defendants submit that the plaintiff's alternative theories demonstrate that she cannot say how she fell and that this is fatal to her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Linden, in Canadian Tort Law, 7th ed. (Butterworths: Markham, Ont., 2001), states, at 109 - 110: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defendant's conduct must cause the plaintiff's loss or else there is no liability. In other words, there must be some connection or link between the wrongful act and the damage. Stated still another way, the accident must result from or be attributed to the act of the wrongdoer.... The question of causation must be proved to the satisfaction of the court or the jury on the balance of probabilities. It is not enough, for example, to show that a plaintiff's depression was "possibly"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[emphasis added]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follows from the above quotation that, generally speaking, it is not sufficient for the plaintiff merely to put forward a theory or theories regarding what might have caused the accident. The plaintiff must prove causation on a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this case the plaintiff advances two theories of causation. The first is that she slipped and fell on the debris. Her evidence in chief was that "I could have stepped on anything" as a result of the objects on the stairs, their location, and the fact that they were strewn about. On discovery, the plaintiff stated she did not know how she fell; that she could not say if she tripped on any object; and that she had no idea if she "just missed a step and caught the edge". When that latter theory was put to her at trial, she agreed that "it could have happened". The plaintiff's client has no direct evidence as to the cause of her fall; he simply did not see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and her client both testified at trial that two-thirds of the area of each stair tread was unimpeded. The plaintiff's evidence was that there was sufficient room on the treads to walk up single file without difficulty. Neither the plaintiff nor her client observed any objects on the stairs on which the plaintiff might have slipped. The plaintiff is simply unable to establish any link whatsoever between the boxes of objects on the stairs and her fall. On this first theory of causation, the plaintiff cannot establish on the balance of probabilities that she slipped on any such object.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second theory of causation was that the objects on the stairs constituted a distraction that caused her to fall. She testified she was "completely and utterly distracted" by the mess. There are cases in which an occupier has been held liable where the plaintiff was distracted and fell: see Watt v. The Queen, </w:t>
      </w:r>
      <w:hyperlink r:id="rId698" w:history="1">
        <w:r>
          <w:rPr>
            <w:rFonts w:ascii="arial" w:eastAsia="arial" w:hAnsi="arial" w:cs="arial"/>
            <w:i/>
            <w:color w:val="0077CC"/>
            <w:sz w:val="20"/>
            <w:u w:val="single"/>
            <w:shd w:val="clear" w:color="auto" w:fill="FFFFFF"/>
            <w:lang w:val="en-US" w:eastAsia="en-US" w:bidi="ar-SA"/>
          </w:rPr>
          <w:t>[1973] F.C. 264</w:t>
        </w:r>
      </w:hyperlink>
      <w:r>
        <w:rPr>
          <w:rFonts w:ascii="arial" w:eastAsia="arial" w:hAnsi="arial" w:cs="arial"/>
          <w:color w:val="000000"/>
          <w:sz w:val="20"/>
          <w:lang w:val="en-US" w:eastAsia="en-US" w:bidi="ar-SA"/>
        </w:rPr>
        <w:t xml:space="preserve"> (T.D.); Edwards v. Tracy Starr's Shows (Edmonton) Ltd. </w:t>
      </w:r>
      <w:hyperlink r:id="rId699" w:history="1">
        <w:r>
          <w:rPr>
            <w:rFonts w:ascii="arial" w:eastAsia="arial" w:hAnsi="arial" w:cs="arial"/>
            <w:i/>
            <w:color w:val="0077CC"/>
            <w:sz w:val="20"/>
            <w:u w:val="single"/>
            <w:shd w:val="clear" w:color="auto" w:fill="FFFFFF"/>
            <w:lang w:val="en-US" w:eastAsia="en-US" w:bidi="ar-SA"/>
          </w:rPr>
          <w:t>(1984), 13 D.L.R. (4th) 129</w:t>
        </w:r>
      </w:hyperlink>
      <w:r>
        <w:rPr>
          <w:rFonts w:ascii="arial" w:eastAsia="arial" w:hAnsi="arial" w:cs="arial"/>
          <w:color w:val="000000"/>
          <w:sz w:val="20"/>
          <w:lang w:val="en-US" w:eastAsia="en-US" w:bidi="ar-SA"/>
        </w:rPr>
        <w:t xml:space="preserve"> (Alta. Q.B.), varied on other grounds </w:t>
      </w:r>
      <w:hyperlink r:id="rId700" w:history="1">
        <w:r>
          <w:rPr>
            <w:rFonts w:ascii="arial" w:eastAsia="arial" w:hAnsi="arial" w:cs="arial"/>
            <w:i/>
            <w:color w:val="0077CC"/>
            <w:sz w:val="20"/>
            <w:u w:val="single"/>
            <w:shd w:val="clear" w:color="auto" w:fill="FFFFFF"/>
            <w:lang w:val="en-US" w:eastAsia="en-US" w:bidi="ar-SA"/>
          </w:rPr>
          <w:t>[1987] A.J. No. 1424</w:t>
        </w:r>
      </w:hyperlink>
      <w:r>
        <w:rPr>
          <w:rFonts w:ascii="arial" w:eastAsia="arial" w:hAnsi="arial" w:cs="arial"/>
          <w:color w:val="000000"/>
          <w:sz w:val="20"/>
          <w:lang w:val="en-US" w:eastAsia="en-US" w:bidi="ar-SA"/>
        </w:rPr>
        <w:t xml:space="preserve"> (C.A.). In each of Watt and Edwards, the distractions found to lead to causation were distractions designed or put in place for the specific purpose of attracting the attention of the public.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view, the case at bar is distinguishable in that the objects on the stairs were not placed there for the purpose of attracting attention and, if anything, would cause a prudent person to be more careful. The plaintiff's evidence and submissions in this regard are somewhat contradictory. She testified that the mess was a "distraction" and that as a consequence she "took great care in negotiating her way up and down". With respect, it is difficult to see how, on the one hand, the objects on the stairwell caused the plaintiff to take "great care" on the stairs and how, on the other hand, the plaintiff was at the same time distracted. Either she was taking great care negotiating the stairs, or she was not because she was distracted; she cannot have it both 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any case, the plaintiff has, in my view, fallen short of proving causation on a balance of probabilities. On her own evidence, the plaintiff does not in fact know how she fell. The two distinct theories she advances illustrate the challenge she faces in this regard. The difficulty with advancing multiple theories of causation is that it may tend towards the speculative. And in this case I am satisfied it does just that; the plaintiff is unable, on either theory, to advance causation beyond mere possibility.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submits that it is open to the court to infer causation in all of the circumstances in this case. Linden notes that in certain types of cases, such as medical malpractice cases where the defendants have superior knowledge of the facts, it can be very difficult for the plaintiff to adduce evidence of causation. He notes, at 112, that in such instances an inference may be drawn: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many malpractice cases, the facts lie particularly within the knowledge of the defendant. In these circumstances, very little affirmative evidence on the part of the plaintiff will justify the drawing of an inference of causation in the absence of evidence to the contrary.... The legal or ultimate burden remains with the plaintiff, but in the absence of evidence to the contrary adduced by the defendant, an inference of causation may be drawn, although positive or scientific proof of causation has not been adduced.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Further, the authorities caution that it is appropriate for the court to infer causation only in limited circumstances. In Haag v. Marshall </w:t>
      </w:r>
      <w:hyperlink r:id="rId701" w:history="1">
        <w:r>
          <w:rPr>
            <w:rFonts w:ascii="arial" w:eastAsia="arial" w:hAnsi="arial" w:cs="arial"/>
            <w:i/>
            <w:color w:val="0077CC"/>
            <w:sz w:val="20"/>
            <w:u w:val="single"/>
            <w:shd w:val="clear" w:color="auto" w:fill="FFFFFF"/>
            <w:lang w:val="en-US" w:eastAsia="en-US" w:bidi="ar-SA"/>
          </w:rPr>
          <w:t>(1989), 39 B.C.L.R. (2d) 205</w:t>
        </w:r>
      </w:hyperlink>
      <w:r>
        <w:rPr>
          <w:rFonts w:ascii="arial" w:eastAsia="arial" w:hAnsi="arial" w:cs="arial"/>
          <w:color w:val="000000"/>
          <w:sz w:val="20"/>
          <w:lang w:val="en-US" w:eastAsia="en-US" w:bidi="ar-SA"/>
        </w:rPr>
        <w:t xml:space="preserve"> Lambert J.A. said at 213: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Where a breach of duty has occurred, and damage is shown to have arisen within the area of risk which brought the duty into being, and where the breach of duty materially increased the risk that damage of that type would occur, and where it is impossible, in a practical sense, for either party to lead evidence which would establish either that the breach of duty caused the loss or that it did not, then it is permissible to infer, as a matter of legal, though not necessarily logical, inference, that the material increase in risk arising from the breach of duty constituted a material contributing cause of the loss and as such a foundation for a finding of liability.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Lambert J.A. went on to find that the plaintiffs could have led evidence of causation on the facts of that case. He held that in such circumstances the "inference" principle was not applicable.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case at bar is not a case in which the facts are particularly within the defendants' knowledge. Nor is it a case in which it is impossible for either party to lead evidence of causation. The plaintiff and her client were in a position to observe the condition of the stairs, both before and after the plaintiff's fall. Their evidence is that they simply failed to see anything which could have caused the fall. The plaintiff herself does not know why she fell. I am satisfied that it would be inappropriate to draw an inference of causation in these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case law dealing with occupier's liability in similar circumstances supports this conclusion: see Cropley v. Daishinpan (Canada) Inc., </w:t>
      </w:r>
      <w:hyperlink r:id="rId702" w:history="1">
        <w:r>
          <w:rPr>
            <w:rFonts w:ascii="arial" w:eastAsia="arial" w:hAnsi="arial" w:cs="arial"/>
            <w:i/>
            <w:color w:val="0077CC"/>
            <w:sz w:val="20"/>
            <w:u w:val="single"/>
            <w:shd w:val="clear" w:color="auto" w:fill="FFFFFF"/>
            <w:lang w:val="en-US" w:eastAsia="en-US" w:bidi="ar-SA"/>
          </w:rPr>
          <w:t>[2002] B.C.J. No. 2398</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2002 BCSC 1477</w:t>
        </w:r>
      </w:hyperlink>
      <w:r>
        <w:rPr>
          <w:rFonts w:ascii="arial" w:eastAsia="arial" w:hAnsi="arial" w:cs="arial"/>
          <w:color w:val="000000"/>
          <w:sz w:val="20"/>
          <w:lang w:val="en-US" w:eastAsia="en-US" w:bidi="ar-SA"/>
        </w:rPr>
        <w:t xml:space="preserve">; Lansdowne v. United Church of Canada, </w:t>
      </w:r>
      <w:hyperlink r:id="rId703" w:history="1">
        <w:r>
          <w:rPr>
            <w:rFonts w:ascii="arial" w:eastAsia="arial" w:hAnsi="arial" w:cs="arial"/>
            <w:i/>
            <w:color w:val="0077CC"/>
            <w:sz w:val="20"/>
            <w:u w:val="single"/>
            <w:shd w:val="clear" w:color="auto" w:fill="FFFFFF"/>
            <w:lang w:val="en-US" w:eastAsia="en-US" w:bidi="ar-SA"/>
          </w:rPr>
          <w:t>[2000] B.C.J. No. 2188</w:t>
        </w:r>
      </w:hyperlink>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The court cannot presume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 occupier of premises: Bauman v. Stein </w:t>
      </w:r>
      <w:hyperlink r:id="rId704"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 applied in Cropley and Lansdowne. Similarly, the court cannot presume that an act or omission on the part of the defendant caused the plaintiff to fall: Vandergaast v. Atterton, </w:t>
      </w:r>
      <w:hyperlink r:id="rId705" w:history="1">
        <w:r>
          <w:rPr>
            <w:rFonts w:ascii="arial" w:eastAsia="arial" w:hAnsi="arial" w:cs="arial"/>
            <w:i/>
            <w:color w:val="0077CC"/>
            <w:sz w:val="20"/>
            <w:u w:val="single"/>
            <w:shd w:val="clear" w:color="auto" w:fill="FFFFFF"/>
            <w:lang w:val="en-US" w:eastAsia="en-US" w:bidi="ar-SA"/>
          </w:rPr>
          <w:t>[1988] B.C.J. No. 2695</w:t>
        </w:r>
      </w:hyperlink>
      <w:r>
        <w:rPr>
          <w:rFonts w:ascii="arial" w:eastAsia="arial" w:hAnsi="arial" w:cs="arial"/>
          <w:color w:val="000000"/>
          <w:sz w:val="20"/>
          <w:lang w:val="en-US" w:eastAsia="en-US" w:bidi="ar-SA"/>
        </w:rPr>
        <w:t xml:space="preserve"> (C.A.). Rather, the plaintiff must establish that an act or omission on the part of the defendant caused the injury complained of. The plaintiff in this case has not met that onus. Accordingly, the action must be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DORGAN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Zarifeh v. Narcisse, [2006] B.C.J. No. 1495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Baker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8 and November 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M030426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1495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2006 BCSC 969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33 M.V.R. (5th) 233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151 A.C.W.S. (3d) 978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2006 CarswellBC 1652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Henry Zarifeh, plaintiff, and Shari Lynn Narcisse,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5"/>
      <w:bookmarkEnd w:id="25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by the plaintiff, Zarifeh, against the defendant Narcisse for damages arising from a motor vehicle accident dismissed — The plaintiff admitted violating the provisions of the Motor Vehicle Act, and that he was partially responsible for the accident — The plaintiff was struck by the defendant's vehicle while stopped across a lane of traffic — The plaintiff had not established any liability on the part of the defendant; the accident was fully the plaintiff's fault.</w:t>
      </w:r>
    </w:p>
    <w:p>
      <w:pPr>
        <w:jc w:val="both"/>
        <w:rPr>
          <w:rFonts w:ascii="arial" w:eastAsia="arial" w:hAnsi="arial" w:cs="arial"/>
          <w:sz w:val="20"/>
          <w:lang w:val="en-US" w:eastAsia="en-US" w:bidi="ar-SA"/>
        </w:rPr>
      </w:pPr>
      <w:bookmarkStart w:id="255" w:name="Legislation Cited_26"/>
      <w:bookmarkEnd w:id="2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 165(2)(a)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6" w:name="Counsel_36"/>
      <w:bookmarkEnd w:id="2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E.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Richard B. Pearce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36"/>
      <w:bookmarkEnd w:id="257"/>
      <w:r>
        <w:pict>
          <v:line id="_x0000_s1205"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BAKER J."/>
            <w:bookmarkEnd w:id="258"/>
            <w:r>
              <w:rPr>
                <w:rFonts w:ascii="arial" w:eastAsia="arial" w:hAnsi="arial" w:cs="arial"/>
                <w:b/>
                <w:color w:val="000000"/>
                <w:sz w:val="30"/>
                <w:lang w:val="en-US" w:eastAsia="en-US" w:bidi="ar-SA"/>
              </w:rPr>
              <w:t>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July 5, 2002, a vehicle driven by the plaintiff, Mr. Zarifeh, was struck by a vehicle driven by the defendant, Ms. Narcisse, near the intersection of Nanaimo and Parker Streets in the City of Vancouver. Mr. Zarifeh has brought this action claiming damages for personal injuries he alleges he suffered as a result of the collision. Mr. Zarifeh admits that his manner of driving constituted a breach of section 165(2)(a) of the ; that at the time of the collision his vehicle was the "servient" vehicle;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partly responsible for the accident. He alleges, however, that Ms. Narcisse was also negligent in failing to see his vehicle and to avoid the collision, and says that she should be found to be 50 to 85%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summary trial, in which only liability is in issue, Ms. Narcisse seeks a dismissal of the plaintiff's claim. She alleges that Mr. Zarifeh's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DISPOSITION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agreed that this matter was suitable for disposition by summary trial, save only for the caveat that the defendant must agree to accept the plaintiff's description of his vehicle's movement from Parker Street across Nanaimo Street. The defendant did not expressly state that the plaintiff's description was accepted, but I am nevertheless of the view that I can find the necessary facts and law to determine this matter on a summary basis, and that it is in the interests of justice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the plaintiff and the defendant have provided affidavits of their recollections of how the accident occurred. The report of the police officers who attended at the scene has been produced and is in evidence. Each of Mr. Zarifeh and Ms. Narcisse was examined for discovery and was also cross-examined on his or her respective affidavits. Both parties obtained and filed opinion evidence from accident reconstruction experts. Each of the plaintiff's and defendant's accident reconstruction experts was cross-examined about his report and the opinions expressed. There were no independent witnesses to the accident. Neither party suggests that the other is deliberately lying or attempting to mislead the Court. Aside from the opportunity to observe the parties during cross-examination, it is not suggested that any additional information would be available at a trial with oral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was not given any information about the quantum of Mr. Zarifeh's claim for damages, but as he concedes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partial cause of the accident, it appears the quantum would be reduced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these reasons, I intend to proceed to decide the issue of liability on the basis of the evidence and arguments advanced at the summary trial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Nanaimo Street runs in a north-south direction in east Vancouver. In the vicinity of the accident, Nanaimo has four lanes for traffic. The northbound and southbound lanes are demarcated by a centre yellow line. On each side of the centre line there are two lanes of travel, and there is a white line running between the two lanes. The lane of travel furthest from the centre line (I shall refer to is as the "curb lane") is wide enough that there is room for vehicles to park along the curb but still permit travel by other vehicles in the curb lane. This has been referred to by the engineers as a "double-wide"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Parker Street has one lane of travel in each direction. It runs east-west and intersects with Nanaimo Street. However, Parker Street "jogs" where it intersects with Nanaimo Street. That is, the portions of Parker Street that are on the east and west sides of Nanaimo Street do not intersect at the same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portion of Parker Street that is on the west side of Nanaimo Street intersects with Nanaimo Street some distance to the north of where the east side portion of Parker Street intersects with Nanaimo. Police measurements of the scene indicate that the south curb of Parker Street where it connects with the northbound lanes of Nanaimo Street is 5 metres north of the northbound curb of Parker Street where it connects with the southbound lanes of Nanaimo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configuration of the streets where they intersect is illustrated in the following diagram, extracted from the report of MacInnis Engineering and Associates Ltd., who provided opinion evidence on behalf of the defendant: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6" type="#_x0000_t75" style="width:310.5pt;height:453pt">
            <v:imagedata r:id="rId71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If a vehicle on Parker Street meets Nanaimo Street and wishes to cross over and continue travelling on Parker Street, that vehicle must turn left or right onto Nanaimo Street (depending on whether it is east or westbound on Parker) and travel a short distance on Nanaimo Street before connecting with the other portion of Parker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Zarifeh is employed by Shaw Cablevision. He was working in the early afternoon of July 5, 2002, and was driving his 1992 Geo automobile to an appointment at a house on Parker Street. The accident occurred at approximately 12:45 or 12:50 p.m. The day was clear, visibility was good, traffic was light and the road surfaces were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get to Parker Street, Mr. Zarifeh was driving north on Nanaimo. He believed that the address he was seeking was on the section of Parker that is on the west side of Nanaimo. He drove past the intersection of the portion of Parker that is on the east side of Nanaimo, and turned right off of Nanaimo to enter the portion of Parker that is on the west side of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Mr. Zarifeh began to turn off Nanaimo Street to head west on Parker Street, he realized that the address he was seeking was on the portion of Parker Street that is east of Nanaimo. Mr. Zarifeh's evidence is that rather than continuing to drive west on Parker until he found a place where he could turn around, he stopped his vehicle partway into the turn onto Parker Street, and then reversed out onto Nanaimo Street, and continued to drive in reverse approximately two car lengths to the south on Nanaimo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affidavit, Mr. Zarifeh said that when he stopped reversing his vehicle was facing north on Nanaimo. On his examination for discovery, he said that when he stopped reversing his vehicle was facing north but was at an angle across the northbound curb lane of Nanaimo, with the rear of the driver's side of his vehicle closer to the white dividing line between the northbound curb and centre lanes. There were two vehicles parked in the curb lane facing north, and Mr. Zarifeh's evidence is that he had backed up about two car lengths towards those vehicles. Mr. Zarifeh's affidavit evidence is that he stopped for two to three seconds, and then turned his vehicle to the left, perpendicular to the lanes of Nanaimo Street, in order to cross over the northbound and southbound lanes to get to the portion of Parker Street that is east of Nanaimo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Mr. Zarifeh was executing this manoeuvre, and as he was crossing the northbound lane of Nanaimo closest to the centre line, his vehicle was struck virtually broadside, or in a t-bone fashion, by Ms. Narcisse's 1988 Isuzu motor vehicle. Both vehicles ended up in the southbound lane of Nanaimo closest to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Immediately prior to the collision, Ms. Narcisse's vehicle had been northbound on Nanaimo in the lane closest to the centre line. Ms. Narcisse was on her lunch break, and was returning to her workplace from her home. Following the collision, Ms. Narcisse telephoned 911 and emergency vehicles and police came to the scene. Both drivers were eventually taken to hospital by ambulance. Both vehicles were seriously damaged, had to be towed from the scene, and were eventually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Narcisse's evidence is that she first saw Mr. Zarifeh's red Geo as it crossed the lane in which her vehicle was travelling. Her evidence is that she may have tried to steer her vehicle to the left, but that she did not have time to brake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Zarifeh's evidence is that after backing into the curb lane of Nanaimo Street, he checked for northbound traffic before commencing his u-turn and did not see Ms. Narcisse's vehicle approaching. Mr. Zarifeh suggested on examination for discovery that Ms. Narcisse may have been driving at an excessive rate of speed, but he agreed that she may have been driving 50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Narcisse denies that she was driving at an excessive rate of speed. She estimated her speed prior to impact at approximately 50 kph, which is the posted speed limit on Nanaimo Street. Accident reconstruction opinion evidence from both the plaintiff's and defendant's experts suggest her speed to have been in the lower end of a range of 51 and 63 kph; which I would not consider to be excessive in the circumstances. The parties agreed to this speed estimate in their 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the time the collision occurred, I conclude that Mr. Zarifeh was attempting a shallow u-turn. He suggested in his evidence that he had reversed sufficiently southward onto Nanaimo Street that he could make a left hand turn across Nanaimo and directly into the portion of Parker Street that is east of Nanaimo Street. I conclude, however, from reference to the photographs, and in particular, the location of the unrelated vehicles parked in the curb lane, that in order for Mr. Zarifeh to get from the position to which he had reversed, he would have had to manoeuvre his vehicle from its northbound position in the curb lane of Nanaimo Street, across the northbound centre lane, across the southbound centre lane and into the southbound curb lane, and then to make a right hand turn into that portion of Parker Street that is to the east of Nanaimo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Whether he could drive straight across Nanaimo Street to the east portion of Parker Street from his position, or, as I could consider more probable, he had to make a shallow u-turn, he ought not to have attempted this manoeuvre, and it was negligent of him to do so in the circumstances. He was not making a left-hand turn at an intersection, since he was at a point somewhat north of the intersection between Nanaimo Street and the eastern portion of Parker Street, but even if he had been, he was in violation of section 165(2)(a)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which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165(2) When the driver of a vehicle intends to turn it to the left at an intersection where traffic is permitted to move in both directions on each highway entering the intersection, the driver must</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 the vehicle to approach the intersection in the portion of the right side of the roadway that is nearest the marked centre line, or if there is no marked centre line, then as far as practicable in the portion of the right half of the roadway that is nearest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Simpler and safer manoeuvres were available to Mr. Zarifeh, which were either to complete his turn off Nanaimo and onto Parker Street and travel west on Parker Street until he could find a safe place to reverse his vehicle, or to go around the block and re-enter Nanaimo Street at a place where he could safely turn onto the portion of Parker Street that is east of Nanaimo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Mr. Zarifeh suggests that Ms. Narcisse was also negligent, however, and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consists of a failure to see his vehicle as it reversed onto Nanaimo Street and to anticipate his left hand turn, and to either brake or direct her vehicle in such a way that the collision could have been avoided. Mr. Zarifeh submits that based on the opinion evidence of Mr. Ravinder Johal, the plaintiff's accident reconstruction expert, Ms. Narcisse's vehicle was sufficiently distant from Mr. Zarifeh's vehicle when he began his manoeuvre that she should have been able to brake and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Narcisse did not see Mr. Zarifeh's vehicle reverse onto Nanaimo Street, however, and I am of the view that she was not negligent in having failed to anticipate his illegal and negligent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Narcisse's evidence is that she did not notice Mr. Zarifeh's vehicle until it was immediately in front of her and perpendicular to her direction of travel. She was paying attention to the road and traffic ahead of her. It was proper for her to do so. In the circumstances, she had the right of way and was in the dominant position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Even if Ms. Narcisse had noticed Mr. Zarifeh's vehicle travelling in reverse in the curb lane of Nanaimo Street ahead of her and to her right, she would have had no reason to expect that he would suddenly pull directly across her lane of travel. Mr. Zarifeh was not entering Nanaimo Street from a side street in the normal fashion. It would be reasonable for a driver in her situation to assume that Mr. Zarifeh would park his vehicle against the curb; proceed north in the curb lane; or execute a right hand turn off Nanaimo and onto the west portion of Parker Street. Even if she had noticed that Mr. Zarifeh had activated his left turn signal, it would have been reasonable for her to assume that he planned to move from the curb lane into the northbound centre lane, and continue northbound, and that he would wait until it was safe before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am not persuaded that as the dominant driver, Ms. Narcisse had an obligation to anticipate Mr. Zarifeh's unusual actions, or that in the circumstances she had any obligation to take special precautions. In </w:t>
      </w:r>
      <w:r>
        <w:rPr>
          <w:rFonts w:ascii="arial" w:eastAsia="arial" w:hAnsi="arial" w:cs="arial"/>
          <w:b/>
          <w:i/>
          <w:color w:val="000000"/>
          <w:sz w:val="20"/>
          <w:lang w:val="en-US" w:eastAsia="en-US" w:bidi="ar-SA"/>
        </w:rPr>
        <w:t>Keen v. Stene</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on the through traffic having the right-of-way has been defined in Walker v. Brownlee and Harmon, </w:t>
      </w:r>
      <w:hyperlink r:id="rId308"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by Cartwright J., at p. 461,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that case, the Court held that no duty will arise for the dominant driver unless it is clear that he or she perceived the danger and had an opportunity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Rajacich v. Potter and others</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(1976), 21 B.C.L.R. (2d) 314</w:t>
        </w:r>
      </w:hyperlink>
      <w:r>
        <w:rPr>
          <w:rFonts w:ascii="arial" w:eastAsia="arial" w:hAnsi="arial" w:cs="arial"/>
          <w:color w:val="000000"/>
          <w:sz w:val="20"/>
          <w:lang w:val="en-US" w:eastAsia="en-US" w:bidi="ar-SA"/>
        </w:rPr>
        <w:t xml:space="preserve"> (C.A.), the Court considered the question of when a driver must take special precautions and concluded that the driver in the dominant position is not required to guard against the possibility of someone crossing over into his lane unexpectedly, or even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Ouellet v. Cloutier</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[1947] S.C.R. 521</w:t>
        </w:r>
      </w:hyperlink>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an accident might occur is not the criteria which should be used to determine whether there has been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not. The law does not require a prudent man to foresee everything possible that might happen. Caution must be exercised against a danger if such danger is sufficiently probable so that it would be included into the category of contingencies normally to be foreseen. To require more and contend that a prudent man must foresee any possibility, however vague it might be, would render impossible any practical activity.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understand the law, there is no obligation on a driver to keep himself specially prepared for action in an unforeseen emergency and it is only where the possibility of danger emerging is reasonably apparent that special precautions must be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Coulter (Guardian ad litem) v. Leduc</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[2005] B.C.J. No. 732</w:t>
        </w:r>
      </w:hyperlink>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the Court said, at paragraph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duty will arise for the dominant driver unless it is clear that he perceived the danger and had an opportunity to avoid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Constable Leduc, as the dominant driver, was entitled to proceed with reasonable caution based upon an assumption that other drivers would obey the law and yield him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conclude that Mr. Zarifeh failed to observe Ms. Narcisse's oncoming vehicle when it was there to be seen, and that he negligently drove across her lane of travel when she was so close to his vehicle that a collision was unavoidable.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all of the circumstances, I am not persuaded that Ms. Narcisse was negligent and I conclude that Mr. Zarifeh's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accident. Mr. Zarifeh's action must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not been made aware of any facts that would militate against the usual order that costs follow the event, and propose to award costs to Ms. Narcisse, to be calculated on Scale 3. If there are facts relevant to the issue of costs which the parties wish to address they may do so, in writing. The written submissions must be filed with the Court within 30 days of the date of issuance of these Reasons. If written submissions are received, I will issue further Reasons disposing of the matter of costs. If no submissions are received, then the order shall go as costs to Ms. Narcisse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7"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Arishenkoff v. British Columbia, [2002] B.C.J. No. 1689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Kirkpatrick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S011925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1689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951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215 D.L.R. (4th) 744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10 W.W.R. 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 B.C.L.R. (4th) 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C.R.R. (2d) 133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251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Phillip Arishenkoff, Tim Babakieff, Grace Burnett, Violet Campbell, Molly Dutoff, Mike Esovoloff, Linda Essex, Rita Halter, Naida Hamoline, Angela Jmio, Cecil Jmio, Grace Kinakin, Kathy Konkin, Bill Makonin, Peter Makonin, Tina Makonin, John Maloff, Elaine Miller, Violet Nault, Bill Perepolkin, Paul Pereversoff, Mike Pictin, Anita Plotnikoff, Bill Podmorrow, Bill Popoff, Larry Popoff, Lillian Popoff, Pauline Popoff, Bill Potapoff, Lawrence Poznikoff, Shirley Ralloff, Violet Riebalkin, Ely Salikin, Fred Salikin, Harry Saprikin, Paul Savinkoff, Andrew Stupikoff, Irene Stushnoff, Walter Swetishoff, Polly Tarasoff, Larry Tomelin, Marcie Tomlin, Florence Traska, Alec Verigin, Michael Verigin, Fred Voykin, Paul Voykin, Carol Wilson and Vera Zado, plaintiffs,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8"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9" w:name="Keywords_36"/>
      <w:bookmarkEnd w:id="259"/>
      <w:r>
        <w:rPr>
          <w:rFonts w:ascii="arial" w:eastAsia="arial" w:hAnsi="arial" w:cs="arial"/>
          <w:b/>
          <w:color w:val="000000"/>
          <w:sz w:val="20"/>
          <w:lang w:val="en-US" w:eastAsia="en-US" w:bidi="ar-SA"/>
        </w:rPr>
        <w:t>Limitation of Actions — Actions in tort — Trespass to the person — False imprisonment — Sexual misconduct — Actions against the Crown — When limitation period commences — Postponement or suspension of statute — Discoverability rule — Civil Rights — Canadian Charter of Rights and Freedoms — Interpretation, particular subjects — Equality provision (s. 15).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0" w:name="Case Summary_34"/>
            <w:bookmarkEnd w:id="2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British Columbia for an order dismissing Poznikoff's claim as being statute-barred and for a determination of whether the Crown could be liable for torts committed before the Crown Proceedings Act came into force on August 1, 1974. The action involved a number of Plaintiffs who were children of members of a sect of the Doukhobor religion and who, in the 1950's, were apprehended and confined at the New Denver sanitarium. The writ was filed on April 4, 2001. Poznikoff's claim was for false imprisonment in 1956. He reached the age of majority in September 1965. Poznikoff did not suffer sexual abuse. Poznikoff did not connect his injury with his confinement and did not know that he could seek legal recourse until April 8, 1999. Poznikoff argued that the right to sue the Crown for false imprisonment did not arise until 1974 and therefore, the ultimate limitation period for the cause of action did not expire until 2004. The plaintiffs argued that the provisions of the Limitations Act which removed the limitation period for victims of childhood sexual abuse discriminated upon those disabled by other forms of childhood abuse.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1" w:name="Holdings of Court_32"/>
            <w:bookmarkEnd w:id="261"/>
            <w:r>
              <w:rPr>
                <w:rFonts w:ascii="arial" w:eastAsia="arial" w:hAnsi="arial" w:cs="arial"/>
                <w:color w:val="000000"/>
                <w:sz w:val="20"/>
                <w:lang w:val="en-US" w:eastAsia="en-US" w:bidi="ar-SA"/>
              </w:rPr>
              <w:t>HELD: Poznikoff's claim was stuck as being out of time.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Crown Proceedings Act did not operate retroactively but the Crown could be held liable for incidents occurring before August 1, 1974 where the discoverability rule applied to extend the cause of action to a point after that date. Poznikoff's interpretation of the words "the right to do so" in the Limitations Act did not operate to extend his cause of action to August 1, 1974. At the latest, Poznikoff's cause of action accrued upon his release from confinement in 1956. The common law discoverability rule did not apply and his cause of action was extinguished at the latest, four years after Poznikoff reached age 21, namely, August 1969. The current Limitations Act could not "revive" Poznikoff's cause of action which expired before 1975. The plaintiffs were unable to take advantage of the special provisions of the Limitations Act because they were not victims of sexual abuse. "Type of abuse suffered" was not an enumerated ground of prohibited discrimination under the Charter but could be an analogous ground. However, the fact that victims of sexual abuse were given special amelioration for their situation did not mean that other victims of childhood abuse had been discriminated against. There was no infringement of s. 15.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Legislation Cited_27"/>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9"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Alberta Individual's Rights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Rules 18A,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Crown Proceedings Act, ss. 2, 2(c), 15, 16, 16(2),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Law Reform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ss. 2(2), 3(4), 3(4)(k), 3(4)(l), 6, 6(4), 8, 8(1), 8(1)(c), 8(2), 14(1), 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Married Women's Property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3" w:name="Counsel_37"/>
      <w:bookmarkEnd w:id="26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0"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 Schroeder and M. Pongracic-Speier, for the plaintiffs. W.A. Pearce, Q.C., and K. Inaya,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4" w:name="Judgment_37"/>
      <w:bookmarkEnd w:id="264"/>
      <w:r>
        <w:pict>
          <v:line id="_x0000_s1211" style="position:absolute;z-index:2518497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September 9, 2002.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5" w:name="KIRKPATRICK J."/>
            <w:bookmarkEnd w:id="265"/>
            <w:r>
              <w:rPr>
                <w:rFonts w:ascii="arial" w:eastAsia="arial" w:hAnsi="arial" w:cs="arial"/>
                <w:b/>
                <w:color w:val="000000"/>
                <w:sz w:val="30"/>
                <w:lang w:val="en-US" w:eastAsia="en-US" w:bidi="ar-SA"/>
              </w:rPr>
              <w:t>KIRKPATRICK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the apprehension and confinement in the 1950's of children whose parents were members of the Sons of Freedom sect of the Doukhobor religion.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background of this action is set out in my reasons for judgment dated April 4, 2002. As I noted in those reasons, the trial of this action is scheduled to commence on January 3, 2003. Six months of trial time have been reserved. The defendant has brought two applications for the determination of issues which, if allowed, will significantly narrow the scope and length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first of the two applications was heard on February 25 and 26, 2002. It was decided in the defendant's favour in that I concluded that one of the plaintiffs, Lawrence Poznikoff, was not subjected to misconduct of a sexual nature as that phrase is used in s. 3(4)(k) of the Limitation Act, </w:t>
      </w:r>
      <w:hyperlink r:id="rId29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second of the defendant's applications seeks two orders: first, an order that the claim of Lawrence Poznikoff be dismissed pursuant to Rule 18A as being statute-barred and, second, for an order pursuant to Rule 34 that the following points of law be determined:</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an action for a tort referred to in ss. 3(4)(k) and (l) of the Limitation Act that was committed before those sections came into force have been statute-barred before that date by reason of section 8(1)(c) of the Limitation Act?</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 ss. 3(4)(k) and (l) of the Limitation Act apply so as to revive a cause of action that was statute-barred before the coming into force of those sections?</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Crown be liable for a tort alleged to have been committed before the Crown Proceedings Act came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If the above questions are answered in favour of the defendant, then the plaintiffs Lawrence Poznikoff, Tina Makonin, and Naida Hamoline ask the court to determine the following question:</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s. 3(4)(k) of the Limitation Act violate s. 15 of the Canadian Charter of Rights and Freedoms by providing a benefit to persons disabled by childhood sexual abuse while depriving those disabled by other forms of childhood abuse of that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questions posed to the court focus on three plaintiffs whom counsel apparently regard as representative of the plaintiffs generally and who are appropriate test cases. Counsel submit that the determination of the questions posed prior to trial will benefit all of the parties; will facilitate trial preparation; and aid possible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action is for damages for false imprisonment and maltreatment by the defendant during the period of time that the plaintiffs were confined at the New Denver sanitarium for periods of time between September 9, 1953 and August 2,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plaintiffs allege that the treatment they received and their resulting injuries were caused by the defendant's breach of fiduciary duty,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failure of the defendant to fulfill its non-delegable duty or its duty of special diligence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addition, the plaintiffs pleaded, at para. 7 of the amended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full knowledge of the Defendant, the apprehensions and confinements were not in the best interests of the Plaintiffs. The confinements and the improper treatment of the Plaintiffs by the Defendant were designed by the Defendant to punish the parents of the Plaintiffs by punishing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allegation, the plaintiffs say, raises abuse of power as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PRELIMINARY CONCESSION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Counsel for the defendant conceded in argument that the answer to questions (1) and (2) posed pursuant to Rule 34 is "yes." That concession was driven by the decision in J.P. v. Sinclair </w:t>
      </w:r>
      <w:hyperlink r:id="rId726" w:history="1">
        <w:r>
          <w:rPr>
            <w:rFonts w:ascii="arial" w:eastAsia="arial" w:hAnsi="arial" w:cs="arial"/>
            <w:i/>
            <w:color w:val="0077CC"/>
            <w:sz w:val="20"/>
            <w:u w:val="single"/>
            <w:shd w:val="clear" w:color="auto" w:fill="FFFFFF"/>
            <w:lang w:val="en-US" w:eastAsia="en-US" w:bidi="ar-SA"/>
          </w:rPr>
          <w:t>(1997), 37 B.C.L.R. (3d) 366</w:t>
        </w:r>
      </w:hyperlink>
      <w:r>
        <w:rPr>
          <w:rFonts w:ascii="arial" w:eastAsia="arial" w:hAnsi="arial" w:cs="arial"/>
          <w:color w:val="000000"/>
          <w:sz w:val="20"/>
          <w:lang w:val="en-US" w:eastAsia="en-US" w:bidi="ar-SA"/>
        </w:rPr>
        <w:t xml:space="preserve"> (C.A.) where Newbury J.A. held,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3(3)(k), however, contains what in my view is more explicit wording: it states that the cause of action is not governed by a limitation period whether or not the action "was at any time" so governed. This wording - the use of the past tense "was" rather than "is", and the broadness of "any time" - seems designed to overcome the rules of construction I have referred to. In fact it would in my opinion be difficult to use any clearer words to lift "causes of action based on misconduct of a sexual nature", even those previously barred, from the ambit of any limitation whatsoever. Thus I would agree that s. 3(3)(k) must be applied retrospectively and that it does have the unusual effect of reviving causes of action previously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for the defendant presented argument in which he respectfully disagreed with the holding in J.P. v. Sinclair. He nevertheless agreed that this court is bound to follow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these circumstances, the issues to be decided are reduced to three: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Crown can be liable for a tort alleged to have been committed before the Crown Proceedings Act came into force on August 1, 1974?</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s. 8 of the Limitation Act operate to extinguish Lawrence Poznikoff's claim for false imprisonment before April 4, 2001, the date the writ was filed?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 8 does statute-bar Lawrence Poznikoff's claim for false imprisonment, does s. 3(4)(k) of the Limitation Act violate s. 15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will deal first with the issue of whether the Crown can be held liable for torts committed prior to August 1, 1974.</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This question can be broken down into two issues: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s. 2 of the Crown Proceeding Act (1996) have retrospective effect?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does the discoverability principle apply to create potential Crown liability for torts committed prior to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will first consider whether s. 2 of the Crown Proceeding Act, R.S.B.C., 1996, c. 89 (the "1996 Act") has retrospective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Crown Proceedings Act, S.B.C. 1974, c. 24 [the "1974 Act"], repealed the Crown Procedure Act, R.S.B.C. 1960 c. 89, [the "Crown Procedure Act"] and abolished Crown immunity. Section 2 of the 1974 Act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this Act,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proceedings against the Crown by way of petition of right are abolished;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against the Crown, that, if this Act had not been passed, might be enforced by petition of right, subject to the grant of a fiat by the Lieutenant-Governor, may be enforced as of right by proceedings against the Crown in accordance with this Act, without the grant of a fiat by the Lieutenant-Governor;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is subject to all those liabilities to which it would be liable if it were a person;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relating to indemnity and contribution is enforceable by and against the Crown in respect of any liability to which it is subject, as if the Crown were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With the enactment of s. 2(c) of the 1974 Act, the Crown became subject "to all those liabilities to which it would be liable if it were a person." The defendant argues that if s. 2(c) is interpreted to apply to acts committed prior to August 1, 1974, it inflicts a detriment upon the Crown in that it takes away or impairs a vested right, or creates a new obligation, or imposes a new duty in regard to events already past. The defendant argues that, as such, the legislation would then offend the principle enunciated in Yew Bon Tew v. Kenderann Bas Mara, [1983] 1 A.C. 533 (H.L.) that no detriment should be inflicted unless the language of the statute clearly requires it to be inflicted. Indeed, a statute is presumed not to have retrospective operation unless a contrary intention is expressed or necessarily implied in the statute (Gustavson Drilling (1964) Ltd. v. Canada (Minister of National Revenue - M.N.R.), </w:t>
      </w:r>
      <w:hyperlink r:id="rId727" w:history="1">
        <w:r>
          <w:rPr>
            <w:rFonts w:ascii="arial" w:eastAsia="arial" w:hAnsi="arial" w:cs="arial"/>
            <w:i/>
            <w:color w:val="0077CC"/>
            <w:sz w:val="20"/>
            <w:u w:val="single"/>
            <w:shd w:val="clear" w:color="auto" w:fill="FFFFFF"/>
            <w:lang w:val="en-US" w:eastAsia="en-US" w:bidi="ar-SA"/>
          </w:rPr>
          <w:t>[1977] 1 S.C.R. 271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Sections 15 and 16 of the 1974 Act provide: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otherwise provided in this Act, this Act does not affect proceedings against the Crown that have been instituted before the coming into force of this Act; and, for the purposes of this section, proceedings against the Crown by petition of right shall be deemed to have been instituted if a petition of right with respect to the matter in question has been submitted for consideration to the Lieutenant-Governor before the coming into force of this Act.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(1), this Act does not apply to a cause of action that existed on the day before the date this Act comes into force.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the Crown Procedure Act, being chapter 89 of the Revised Statutes of British Columbia, 1960, is repealed.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repeal of the Crown Procedure Act, that Act applies to a cause of action in respect of proceedings against the Crown that arose before the date this Act comes into force, whether or not it is or is considered to be a cause of action continuing after the date this Act comes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language of section 15 was not carried forward into the Crown Proceeding Act, R.S.B.C. 1979, c. 86, [the "1979 Act"]. Section 16(2) was carried forward into the 1979 Act in somewhat different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Notwithstanding the repeal of the Crown Procedure Act, that Act applies to a cause of action for proceedings against the Crown that arose before August 1, 1974, whether or not it is or is considered to be a cause of action continuing after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clear that the language in the 1974 Act and the 1979 Act evidences an intention to preserve Crown immunity for causes of action that arose prior to August 1, 1974. There is certainly no express language or reason to imply retrospective operation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Section 17 was not carried forward into the 1996 Act. However, the comments of the Supreme Court of Canada in Angus v. Sun Alliance Insurance Co., </w:t>
      </w:r>
      <w:hyperlink r:id="rId728" w:history="1">
        <w:r>
          <w:rPr>
            <w:rFonts w:ascii="arial" w:eastAsia="arial" w:hAnsi="arial" w:cs="arial"/>
            <w:i/>
            <w:color w:val="0077CC"/>
            <w:sz w:val="20"/>
            <w:u w:val="single"/>
            <w:shd w:val="clear" w:color="auto" w:fill="FFFFFF"/>
            <w:lang w:val="en-US" w:eastAsia="en-US" w:bidi="ar-SA"/>
          </w:rPr>
          <w:t>[1988] 2 S.C.R. 256</w:t>
        </w:r>
      </w:hyperlink>
      <w:r>
        <w:rPr>
          <w:rFonts w:ascii="arial" w:eastAsia="arial" w:hAnsi="arial" w:cs="arial"/>
          <w:color w:val="000000"/>
          <w:sz w:val="20"/>
          <w:lang w:val="en-US" w:eastAsia="en-US" w:bidi="ar-SA"/>
        </w:rPr>
        <w:t xml:space="preserve"> support the notion that the presumption against retrospectivity would operate in any case to preserve the Crown's vested right to immunity for causes of action arising prior to August 1, 1974. In Angus, a woman was seriously injured in a car accident in which her husband was the driver. At the time of the accident, the provisions of the Married Women's Property Act, R.S.O. 1970, c. 262 and the Insurance Act, R.S.O. 1970, c. 224 would have barred recovery because a wife was not entitled to sue her husband in tort. The insurer was not liable for the injuries of the wife. About two months after the accident, the relevant provisions of those statutes were repealed by the Family Law Reform Act, 1975, S.O. 1975, c. 41. The trial judge held that the Family Law Reform Act was a procedural enactment which could be given retrospective effect. The Court of Appeal upheld the trial judge. The Supreme Court of Canada allowed the appeal. LaForest J., speaking for the court held, at 265-266: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it is difficult to see how procedure is being affected at all. The provision in question provides a complete defence to an action. Whatever may be the reasons for this, and whether one agrees or disagrees with them, the provision of a complete defence to an action, just as much as the creation of a cause of action itself, is a substantive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one assumes that the provision in question is procedural in some sense, the judicially created presumptions regarding the retrospective effect of procedural rules were not devised with this sort of distinction in mind. Normally, rules of procedure do not affect the content or existence of an action or defence (or right, obligation, or whatever else is the subject of the legislation), but only the manner of its enforcement or use. P.St.J. Langan, Maxwell on Statutory Interpretation (12th ed. 1969), at p. 222, puts the matter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presumption against retrospective construction has no application to enactments which affect only the procedure and practice of the courts. No person has a vested right in any course of procedure, but only the right of prosecution or defence in the manner prescribed for the time being, by or for the court in which he sues, and if an Act of Parliament alters that mode of procedure, he can only proceed according to that altered mode.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Alteration of a "mode" of procedure in the conduct of a defence is a very different thing from the removal of the defence entirely. The latter is in essence an interference with a vested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Applying the reasoning in Angus to s. 2(c) of the 1996 Act, it is clear that the section cannot be applied retrospectively to deprive the Crown of its immunity from suit regarding causes of action that existed (i.e. were complete) before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s. 2 of the 1996 Act does not have retrospective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remains to be considered whether the discoverability rule might apply to allow for potential Crown liability for torts committed prior to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fact that the 1996 Act ought not to be given retrospective application does not mean that the Crown cannot be liable for incidents occurring prior to August 1, 1974. In interpreting the phrase "cause of action...that arose" in the context of s. 17 of the 1979 Act, the British Columbia Supreme Court in Botting v. British Columbia </w:t>
      </w:r>
      <w:hyperlink r:id="rId729" w:history="1">
        <w:r>
          <w:rPr>
            <w:rFonts w:ascii="arial" w:eastAsia="arial" w:hAnsi="arial" w:cs="arial"/>
            <w:i/>
            <w:color w:val="0077CC"/>
            <w:sz w:val="20"/>
            <w:u w:val="single"/>
            <w:shd w:val="clear" w:color="auto" w:fill="FFFFFF"/>
            <w:lang w:val="en-US" w:eastAsia="en-US" w:bidi="ar-SA"/>
          </w:rPr>
          <w:t>(1996), 27 B.C.L.R. (3d) 106</w:t>
        </w:r>
      </w:hyperlink>
      <w:r>
        <w:rPr>
          <w:rFonts w:ascii="arial" w:eastAsia="arial" w:hAnsi="arial" w:cs="arial"/>
          <w:color w:val="000000"/>
          <w:sz w:val="20"/>
          <w:lang w:val="en-US" w:eastAsia="en-US" w:bidi="ar-SA"/>
        </w:rPr>
        <w:t xml:space="preserve"> held that, where the damage occurred after August 1, 1974, the Crown can be held liable for incidents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occurred prior to that date. In such a case, there is no violation of the retrospectivity principle because the cause of action was not complete (i.e. did not arise) during a period when the Crown was immune from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B.(K.L.) v. British Columbia </w:t>
      </w:r>
      <w:hyperlink r:id="rId730" w:history="1">
        <w:r>
          <w:rPr>
            <w:rFonts w:ascii="arial" w:eastAsia="arial" w:hAnsi="arial" w:cs="arial"/>
            <w:i/>
            <w:color w:val="0077CC"/>
            <w:sz w:val="20"/>
            <w:u w:val="single"/>
            <w:shd w:val="clear" w:color="auto" w:fill="FFFFFF"/>
            <w:lang w:val="en-US" w:eastAsia="en-US" w:bidi="ar-SA"/>
          </w:rPr>
          <w:t>(1999), 64 B.C.L.R. (3d) 23</w:t>
        </w:r>
      </w:hyperlink>
      <w:r>
        <w:rPr>
          <w:rFonts w:ascii="arial" w:eastAsia="arial" w:hAnsi="arial" w:cs="arial"/>
          <w:color w:val="000000"/>
          <w:sz w:val="20"/>
          <w:lang w:val="en-US" w:eastAsia="en-US" w:bidi="ar-SA"/>
        </w:rPr>
        <w:t xml:space="preserve"> [hereinafter B.(K.L.) (1999)], the Court of Appeal went one step further and held that a cause of action did not arise (and there was no violation of the retrospectivity principle) in the case of torts that were complete prior to August 1, 1974 but where the common law discoverability principle applied to delay the accrual of the cause of action until a date after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B.(K.L.) (1999) endorsed the application of the discoverability rule to the 1979 Act notwithstanding that it is not a limitations statute. Esson J.A. stated,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similarities between those provisions [s. 15(2) of the Act (1974) and s. 17 of the Act (1979)] and a statute of limitations lead to the conclusion that the discoverability rule should be applied to them. One of the important similarities is in the purpose of the two statutes. The reason for developing the common-law rule of discoverability was, as Wilson J. put it at p. 40 of Kamloops (City) v. Neilsen, </w:t>
      </w:r>
      <w:hyperlink r:id="rId482"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to avoid "the injustice of a law which statute-bars a claim before the plaintiff is even aware of its existence." By 1974 it had come to be recognized that Crown immunity was unjust. The nature of the injustice was essentially the same as that created by the law of limitations. It prevented persons injured by the wrongdoing of the Crown from bringing action to obtain relief for the wrong done. The elimination of injustice was the essential legislative purpose in passing the Crown Proceeding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Esson J.A. also noted that in cases of abuse against children the common law discoverability rule has been broadened by the Supreme Court of Canada, and he stated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in M.(K) v. M.(H.), supra, can be seen as adding a new element to the discoverability rule. In Kamloops (City) v. Neilsen, supra, and in Central &amp; Eastern Trust v. Rafuse, </w:t>
      </w:r>
      <w:hyperlink r:id="rId731" w:history="1">
        <w:r>
          <w:rPr>
            <w:rFonts w:ascii="arial" w:eastAsia="arial" w:hAnsi="arial" w:cs="arial"/>
            <w:i/>
            <w:color w:val="0077CC"/>
            <w:sz w:val="20"/>
            <w:u w:val="single"/>
            <w:shd w:val="clear" w:color="auto" w:fill="FFFFFF"/>
            <w:lang w:val="en-US" w:eastAsia="en-US" w:bidi="ar-SA"/>
          </w:rPr>
          <w:t>[1986] 2 S.C.R. 147</w:t>
        </w:r>
      </w:hyperlink>
      <w:r>
        <w:rPr>
          <w:rFonts w:ascii="arial" w:eastAsia="arial" w:hAnsi="arial" w:cs="arial"/>
          <w:color w:val="000000"/>
          <w:sz w:val="20"/>
          <w:lang w:val="en-US" w:eastAsia="en-US" w:bidi="ar-SA"/>
        </w:rPr>
        <w:t>, it was found that the plaintiff had no knowledge of one element of the cause of action, i.e., damage. M.(K.) v. M.(H.) appears to hold that, even if the plaintiff had some knowledge of both the wrongdoing and the harm, the cause of action crystallized only when she discovers the casual relationship between the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Thus it would seem that, as it concerns abuse of children, the discoverability rule can be applied to postpone the accrual of a cause of action, not only past the date on which all the elements of the cause of action are present, but even to a time after all the elements are known. The cause of action does not finally accrue until the plaintiff "discover[s] the wrongfulness of the conduct and its consequential effects." (See: M.(K.) v. M.(H.), </w:t>
      </w:r>
      <w:hyperlink r:id="rId732"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xml:space="preserve"> at para. 44, quoted in B.(K.L.) (1999)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Indeed, this was the result in B.(K.L.) (1999). The Crown's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had resulted in the plaintiff suffering physical and sexual abuse while in foster care. The plaintiffs claimed that they did not become aware of the harmful consequences of the abuse until after 1974. The discoverability principle operated as a principle of interpretation so that, under s. 17 of the 1979 Act, the cause of action "arose" when the plaintiffs discovered the casual relationship between the wrongdoing and the harm - at some point after 1974. In the result, the majority determined that s. 17 did not operate (in conjunction with the Crown Procedure Act) as an absolute bar to the plaintiff's claims for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torts committed prior to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B.(K.L.) (1999) has made it clear that the state of the plaintiff's knowledge is relevant to the accrual of the tort for the purposes of determining whether there is Crown immunity. Strictly speaking, the fact that a tort was committed or was fully "complete" prior to August 1, 1974 does not mean that a cause of action had accrued for the purposes of attracting Crown immunity (although a complete tort will start the running of time for the purposes of the Limitation Act, see infra).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been asked to answer the question of "whether the Crown can be liable for a tort alleged to have been committed before the Crown Proceedings Act came into force." In my view, it is clear from the foregoing that the answer to that question is, "Yes."</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LIMITATION ACT TO LAWRENCE POZNIKOFF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I have been asked to do so by the defendant for the purpose of the application under Rule 18A, I assume that Mr. Poznikoff's confinement at New Denver was unlawful. Mr. Poznikoff was released from New Denver on or about September 30, 1956. He reached the age of majority on September 23, 1965. It has already been determined by this court that Mr. Poznikoff did not suffer misconduct of a sexual nature. For the purpose of this analysis, the Crown has admitted that Mr. Poznikoff neither connected his injury with his confinement nor knew that he could seek legal recourse until the Ombudsman published her report on April 8, 1999. The writ in this action was issued on April 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Section 3(2) of the Limitation Act, </w:t>
      </w:r>
      <w:hyperlink r:id="rId29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false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Section 6 of the Limitation Act provides that for certain causes of action, including personal injury, "time does not begin to run against a plaintiff" until the elements of the cause of action are known to the plaintiff, a reasonable person would regard those facts as showing that an action on the cause would have a reasonable prospect of success, and the plaintiff's personal circumstances permit the bringing of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Section 8 of the Limitation Act establishes what is known as the "ultimate limitation period" with respect to the postponement provisions. The relevant portions of s. 8 read:</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3(4) and subsection (2) of this section but despite a confirmation made under section 5, a postponement or suspension of the running of time under section 6 or 11(2) or a postponement or suspension of the running of time under section 7 in respect of a person who is not a minor, no action to which the Act applies may be brought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case, after the expiration of 30 years from the date on which the right to do so arose.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7(6), the running of time with respect to the limitation periods set by subsection (1) for an action referred to in subsection (1) is postponed and time does not begin to run against a plaintiff until the plaintiff reaches the age of majority.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(1), the effect of sections 6 and 7 and subsection (2) of this section is cumulative.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wording of s. 8 means that, regardless of the plaintiff's state of knowledge, no action for false imprisonment may be brought "after the expiration of 30 years from the date on which the right to do so arose." This 30 year ultimate limitation is subject to postponement until the plaintiff reaches the age of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argues that the "right to do so arose" [i.e. bring an action] in s. 8 should be given a literal meaning. It is clear there was no statutory provision permitting the Crown to be sued in tort prior to the 1974 Act. Crown immunity is precisely the inability to bring an action despite the existence of unlawful conduct (Botting v. British Columbia, supra). The plaintiff submits, therefore, that the "right to do so" did not arise until the 1974 Act came into force on August 1, 1974. Accordingly, the ultimate limitation period would not expire until August 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phrase "the right to do so arose" in the Limitation Act has been interpreted by the court in the context of determining whether the common law discoverability rule can operate to postpone the accrual of a cause of action for limitation purposes. In Bera v. Marr </w:t>
      </w:r>
      <w:hyperlink r:id="rId733"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(C.A.), Esson J.A. writing for the majority held that, as it concerns the British Columbia Limitation Act, the right to bring an action arises on the date upon which the cause of action accrued (i.e. the date damage occurred or injury was sustained) without reference to knowledge. Based on that interpretation of "the right to do so arose", the question is whether the state of the law can potentially delay the accrual of a cause of action so as to delay the running of time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Edgeworth Construction Ltd. v. Thurber Consultants Ltd. </w:t>
      </w:r>
      <w:hyperlink r:id="rId734" w:history="1">
        <w:r>
          <w:rPr>
            <w:rFonts w:ascii="arial" w:eastAsia="arial" w:hAnsi="arial" w:cs="arial"/>
            <w:i/>
            <w:color w:val="0077CC"/>
            <w:sz w:val="20"/>
            <w:u w:val="single"/>
            <w:shd w:val="clear" w:color="auto" w:fill="FFFFFF"/>
            <w:lang w:val="en-US" w:eastAsia="en-US" w:bidi="ar-SA"/>
          </w:rPr>
          <w:t>(2000), 78 B.C.L.R. (3d) 200</w:t>
        </w:r>
      </w:hyperlink>
      <w:r>
        <w:rPr>
          <w:rFonts w:ascii="arial" w:eastAsia="arial" w:hAnsi="arial" w:cs="arial"/>
          <w:color w:val="000000"/>
          <w:sz w:val="20"/>
          <w:lang w:val="en-US" w:eastAsia="en-US" w:bidi="ar-SA"/>
        </w:rPr>
        <w:t xml:space="preserve"> (C.A.), the Court of Appeal dealt with a similar issue in the context of the postponement provisions in s. 6 of the Limitation Act. Edgeworth had entered into a contract with the Crown to build a section of highway in the Revelstoke area in the early 1980's. It retained N.D. Lea and Associates Ltd. to prepare the drawings and specifications of the project. N.D. Lea retained Thurber to perform geotechnical work required in connection with the engineering. The construction work was completed in March 1983. In September 1986, Edgeworth commenced an action against N.D. Lea for negligent misrepresentation arising out of the tender design and related documents provided by the Crown to the contractor. In 1995, it commenced an action against Thurber for negligent misrepresentation and the recovery of pure economic losses resulting from the need to correct a negligently-designed physical product. The trial judge considered the application of s. 6 of the Limitation Act, which postpones the running of time until a reasonable person would regard the facts that the plaintiff knows as showing that, "(a) an action on the cause of action would, apart from the effect of the expiration of a limitation period, have a reasonable prospect of success...." He dismissed Edgeworth's 1996 claim in negligent misrepresentation against Thurber but held, following minority comments of Lambert J.A. in Perron v. RJR Macdonald Inc. </w:t>
      </w:r>
      <w:hyperlink r:id="rId735" w:history="1">
        <w:r>
          <w:rPr>
            <w:rFonts w:ascii="arial" w:eastAsia="arial" w:hAnsi="arial" w:cs="arial"/>
            <w:i/>
            <w:color w:val="0077CC"/>
            <w:sz w:val="20"/>
            <w:u w:val="single"/>
            <w:shd w:val="clear" w:color="auto" w:fill="FFFFFF"/>
            <w:lang w:val="en-US" w:eastAsia="en-US" w:bidi="ar-SA"/>
          </w:rPr>
          <w:t>(1990), 43 B.C.L.R. (2d) 178</w:t>
        </w:r>
      </w:hyperlink>
      <w:r>
        <w:rPr>
          <w:rFonts w:ascii="arial" w:eastAsia="arial" w:hAnsi="arial" w:cs="arial"/>
          <w:color w:val="000000"/>
          <w:sz w:val="20"/>
          <w:lang w:val="en-US" w:eastAsia="en-US" w:bidi="ar-SA"/>
        </w:rPr>
        <w:t xml:space="preserve"> (C.A.), that the claim for economic loss in tort could stand because it was not until Winnipeg Condominium Corporation No. 36 v. Bird Construction Co., </w:t>
      </w:r>
      <w:hyperlink r:id="rId736"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overruled Rivtow Marine v. Washington Iron Works </w:t>
      </w:r>
      <w:hyperlink r:id="rId737" w:history="1">
        <w:r>
          <w:rPr>
            <w:rFonts w:ascii="arial" w:eastAsia="arial" w:hAnsi="arial" w:cs="arial"/>
            <w:i/>
            <w:color w:val="0077CC"/>
            <w:sz w:val="20"/>
            <w:u w:val="single"/>
            <w:shd w:val="clear" w:color="auto" w:fill="FFFFFF"/>
            <w:lang w:val="en-US" w:eastAsia="en-US" w:bidi="ar-SA"/>
          </w:rPr>
          <w:t>(1973), 40 D.L.R. (3d) 530</w:t>
        </w:r>
      </w:hyperlink>
      <w:r>
        <w:rPr>
          <w:rFonts w:ascii="arial" w:eastAsia="arial" w:hAnsi="arial" w:cs="arial"/>
          <w:color w:val="000000"/>
          <w:sz w:val="20"/>
          <w:lang w:val="en-US" w:eastAsia="en-US" w:bidi="ar-SA"/>
        </w:rPr>
        <w:t xml:space="preserve"> (S.C.C.), that Edgeworth had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of Appeal disagreed with the result at trial, stating at paras. 28-29: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however, I do not accept the underlying assumption that the intention or the necessary effect of the postponement provision [s. 6] is to delay the running of time until a favourable change in the law occurs giving the plaintiff a new cause of action that did not exist when his injury occurred or when his damage became reasonably discoverable. Certainly, the law reform commission reports referred to above made no reference to such a result. They were concerned with the problem of facts (usually, the fact of injury or causation thereof) unknown to a plaintiff until the limitation period would normally have expired. Obviously, unknown facts could include ignorance of the law (see, e.g., Law Reform Commission of British Columbia, supra, at 74; Ontario Law Reform Commission, supra, at 100). The Commissions generally concluded that ignorance per se should not be sufficient to postpone a limitation period if a reasonable person in the plaintiff's position would reasonably have sought advice. [Reference omitted.] The legislation therefore placed "an obligation on the potential plaintiff to seek professional advice, be it medical or legal or other material facts, concerning the damage done to him in circumstances where a reasonable man would do so." (B.C. Law Reform Commission, supra, at 74.) The point, however, is that the reforms were directed to the situation where a plaintiff is not and could not reasonably be aware that he has a cause of action - but, one might add, does in law have a cause of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case has been cited to us in which the dicta of Lambert J.A. in Perron were applied to give rise to a cause of action not previously maintainable in law. [Examples omitted.] The interpretation suggested in Perron challenges one's sense of fairness: the would-be plaintiff who waited, say, 10 years for a change in the law would acquire an action while one who had proceeded to sue immediately would have his action dismissed summarily and not be able to avail himself of the later change. ... Obviously, the balance sought to be struck by the postponement provision would be sharply skewed by an approach that could effectively render all the limitation periods in the Act virtually meaningless, other than the 30 year "ultimate" limitation provided in s. 8. Instead, one is expected to sue when one should be aware he or she has suffered damages or injury due to another's act or omission; and one is given the benefit of changes in substantive law that have occurred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the plaintiff points out, Edgeworth deals with s. 6 of the Limitation Act, not s. 8. However, it is necessary for the court to give a coherent interpretation of the Limitation Act, and the concerns raised by the Court of Appeal also arise on a consideration of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my view, to give a literal interpretation to s. 8 and consequentially bifurcate the right to bring an action from the accrual of the elements of a cause of action would be to defeat the intent of the legislature as it concerns the ultimate limitation period in s. 8. Clearly, the legislature did not contemplate that the section would work in concert with new legislation to initiate the running of time on a cause of action for which there had not previously been a right to sue. On such an interpretation of s. 8, there is nothing (in law) to stop the bringing of suit against the Crown for a wrong committed many dozens or, theoretically, hundreds of years ago. Such an interpretation would also indirectly give the Crown Proceeding Act retrospective effect. I would decline to give the "right to do so arose" a literal interpretation so as to produce that result. Instead, that phrase should be interpreted with reference to the law as it exists at the time the writ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Accepting the defendant's submission that false imprisonment is a tort which is complete (i.e. causes injury) at the time of confinement, Mr. Poznikoff's cause of action accrued at the latest upon his release from confinement in 1956. As noted above, Bera v. Marr established that the common law discoverability rule does not apply to delay the accrual of a cause of action under the British Columbia Limitation Act because s. 6 of the Act already covers the field with respect to reasonable discoverability. The reasoning in Bera v. Marr was affirmed in B.(K.L.) (1999), where Esson J.A. drew a sharp distinction between applying the common law discoverability rule to the interpretation of our Limitation Act and the Crown Proceeding Act. Esson J.A. stated,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Essentially, it comes to this. The structure of the Limitations Act depends upon the phrase "the right to do so" being interpreted to mean the date of accrual of the cause of action without reference to knowledge. I did not suggest that the phrase could not in another context be construed as meaning on the date when the plaintiff has knowledge or means of knowledge. But to so interpret the language of the Limitations Act would have a seriously confusing effect upon the comprehensive statutory provisions for postponement and ultimate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the case of proceedings against the Crown where the Crown Proceeding Act and the Limitation Act must operate together, the accrual of the cause of action for purposes of s. 8 of the Limitation Act is the same as it is for any other tortfeasor. This was made clear in B.(K.L.) v. British Columbia </w:t>
      </w:r>
      <w:hyperlink r:id="rId738" w:history="1">
        <w:r>
          <w:rPr>
            <w:rFonts w:ascii="arial" w:eastAsia="arial" w:hAnsi="arial" w:cs="arial"/>
            <w:i/>
            <w:color w:val="0077CC"/>
            <w:sz w:val="20"/>
            <w:u w:val="single"/>
            <w:shd w:val="clear" w:color="auto" w:fill="FFFFFF"/>
            <w:lang w:val="en-US" w:eastAsia="en-US" w:bidi="ar-SA"/>
          </w:rPr>
          <w:t>(2001), 87 B.C.L.R. (3d) 52</w:t>
        </w:r>
      </w:hyperlink>
      <w:r>
        <w:rPr>
          <w:rFonts w:ascii="arial" w:eastAsia="arial" w:hAnsi="arial" w:cs="arial"/>
          <w:color w:val="000000"/>
          <w:sz w:val="20"/>
          <w:lang w:val="en-US" w:eastAsia="en-US" w:bidi="ar-SA"/>
        </w:rPr>
        <w:t xml:space="preserve"> (C.A.), where the court recognized that reasonable discoverability is built into the postponement provisions in s. 6, but not s. 8. At para. 33, Mackenzie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preliminary objection was only concerned with the issue of Crown immunity but the reasonable discoverability rule also applies to the limitation defences as well. Apart from the ultimate limitation period [s. 8.] discussed below, time does not begin to run until the cause of action is "discovered" for the purposes of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MacKenzie J.A. went on to note at para. 38 that in M.(K.) v. M.(H.), La Forest J. "regarded the common law discoverability test and s. 6(4) to be substantially indistinguishable...." However, in para. 39 the court recognized that the ultimate limitation provisions in s. 8 of the Limitation Act complicate such a comparison. MacKenzie J.A. concluded, at para 41,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statutory limitation purposes the common law discoverability rule has been supplanted by the Limitation Act. To the extent that the common law rule and the Act diverge, the statute governs.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clear then, that for the purpose of beginning the ultimate limitation analysis under s. 8, the date upon which a cause of action accrued is the date of the damage or injury. In the instant case, it was not later than 1956.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transitional provisions of the Limitation Act include the following:</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Act revives any cause of action that is statute barred on July 1, 1975.</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subsections (1) and (3), this Act applies to actions that arose before July 1,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Section 14 clearly evidences the legislature's intention that the statute is to apply to all causes of action whenever they arose but that it will not revive a cause of action that was statute-barred before July 1, 1975. It must then be determined whether Mr. Poznikoff's cause of action was extinguished on or before July 1,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Under the Statute of Limitations, R.S.B.C. 1948, c. 191, a cause of action for "imprisonment" occurring in 1956, would have been extinguished (at the latest) four years after the plaintiff reached 21 years of age. In Mr. Poznikoff's case, that date would have been August 23, 1969. The current Limitation Act clearly would not operate to "revive" Mr. Poznikoff's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If I am wrong on the applicability of the transitional provisions, s. 8 of the current Limitation Act coupled with the postponement provisions in s. 6 (assuming they were found to apply) might have permitted a suit to be brought as late as 1995. The writ was not filed until 2001 and was accordingly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defendant asserts that Mr. Poznikoff's claim is limited to false imprisonment and should accordingly be struck in its entirety for being out of time. The plaintiff maintains that Mr. Poznikoff has other claims, namely, breach of fiduciary duty, breach of trust,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or failure of defendant to fulfil its non-delegable duty or its duty of special diligence to the plaintiffs. While it seems obvious that, on the facts, the plaintiff has other causes of action other than false imprisonment, they all arise from the plaintiff's unlawful confinement from 1953 to 1956. No facts were pleaded that would support a finding that wrongful conduct on the part of the defendant continued after 1956. Similarly, no facts were pleaded that would permit the finding that the plaintiff was injured by the wrongful conduct of the defendant at some time after 1956. While some of the damage may not have manifested itself until later, the injury to the plaintiff occurred no later than 1956. It has already been determined that Mr. Poznikoff did not suffer misconduct of a sexual nature, and so the ultimate limitation in s. 8 will apply to all causes of action arising from the alleged facts. Accordingly, the limitations analysis applied to false imprisonment applies to all the potential causes of action arising. Accordingly, his claim for damages is struck out in its entirety.</w:t>
      </w:r>
      <w:r>
        <w:rPr>
          <w:rFonts w:ascii="arial" w:eastAsia="arial" w:hAnsi="arial" w:cs="arial"/>
          <w:sz w:val="20"/>
          <w:lang w:val="en-US" w:eastAsia="en-US" w:bidi="ar-SA"/>
        </w:rPr>
        <w:cr/>
      </w:r>
    </w:p>
    <w:p>
      <w:pPr>
        <w:numPr>
          <w:numId w:val="1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15 OF THE CHARTER</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s. 3(4)(k) of the Limitation Act violate s. 15 of the Canadian Charter of Rights and Freedoms by providing a benefit to persons disabled by childhood sexual abuse while depriving those disabled by other forms of childhood abuse of that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Law v. Canada (Minister of Employment and Immigration), </w:t>
      </w:r>
      <w:hyperlink r:id="rId739" w:history="1">
        <w:r>
          <w:rPr>
            <w:rFonts w:ascii="arial" w:eastAsia="arial" w:hAnsi="arial" w:cs="arial"/>
            <w:i/>
            <w:color w:val="0077CC"/>
            <w:sz w:val="20"/>
            <w:u w:val="single"/>
            <w:shd w:val="clear" w:color="auto" w:fill="FFFFFF"/>
            <w:lang w:val="en-US" w:eastAsia="en-US" w:bidi="ar-SA"/>
          </w:rPr>
          <w:t>[1999] 1 S.C.R. 497</w:t>
        </w:r>
      </w:hyperlink>
      <w:r>
        <w:rPr>
          <w:rFonts w:ascii="arial" w:eastAsia="arial" w:hAnsi="arial" w:cs="arial"/>
          <w:color w:val="000000"/>
          <w:sz w:val="20"/>
          <w:lang w:val="en-US" w:eastAsia="en-US" w:bidi="ar-SA"/>
        </w:rPr>
        <w:t xml:space="preserve"> the Supreme Court of Canada set out the three inquiries a court must undertake in order to determine if there has been discrimination contrary to s. 15(1) of the Charter. They are as follows (per Iacobucci J. at para. 88):</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impugned law (a) draw a formal distinction between the claimant and others on the basis of one or more personal characteristics, or (b) fail to take into account the claimants already disadvantaged position within Canadian society resulting in substantively differential treatment between the claimant and others on the basis of one or more personal characteristics?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claimant subject to differential treatment based on one or more enumerated and analogous grounds?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differential treatment discriminate, by imposing a burden upon or withholding a benefit from the claimant in a manner which reflects the stereotypical application of presumed group or personal characteristics, or which otherwise has the effect of perpetuating or promoting the view that the individual is less capable or worthy of recognition or value as a human being or as a member of Canadian society, equally deserving of concern, respect, and consideration?</w:t>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Formal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submit that by adopting the remedial legislation represented by s. 3(4)(k) of the Limitation Act, the legislature drew a formal distinction between persons disabled by child sexual abuse and those disabled by non-sexual abuse. They say that the effect of this distinction is to provide substantially differential treatment to child victims of non-sexual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have chosen to compare their situation with those who are disabled as a result of suffering child sexual abuse. Strictly speaking, the legislature did not draw a formal distinction between these two groups. In the Limitation Act, the legislature has drawn a formal distinction between persons who suffered child sexual abuse and those who suffered other types of abuse. For reasons that the legislature made plain when it enacted s. 3(4)(k) of the Limitation Act, child victims of misconduct of a sexual nature have an unlimited time within which to bring an action. Victims of other forms of physically abusive misconduct do not. There is no requirement under the Limitation Act that child sexual abuse victims be disabled in order to benefit from that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However, it is open to the plaintiffs to meet this aspect of the s. 15 analysis by demonstrating that the impugned provision fails to take into account the claimant's already disadvantaged position within Canadian society resulting in substantially differential treatment between the claimant and others on the basis of one or more personal characteristics. This is a recognition, both of the ameliorative purpose of s. 15 and of the fact that legislation can fail to ameliorate disadvantage without expressly making a formal distinction. I accept that s. 3(4)(k) of the Limitation Act has the effect of providing differential treatment to individuals disabled by child abuse on the basis of the type of abuse they suffered.</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Enumerated or Analogous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assert discrimination on the basis of the enumerated ground of mental disability. The plaintiffs provided lengthy submissions based on psychological studies and case-law which argue that persons abused as children, whether in the form of sexual abuse or non-sexual abuse, may suffer long term effects. For example, it is said that both sufferers of sexual and non-sexual abuse are at an increased risk of developing psychiatric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plaintiffs claim that they have mental impairments with social consequences and, as such, fall within the definition of "disability" in the context of s. 15 given by Binnie J. in Granovsky v. Canada (Minister of Employment and Immigration), </w:t>
      </w:r>
      <w:hyperlink r:id="rId740" w:history="1">
        <w:r>
          <w:rPr>
            <w:rFonts w:ascii="arial" w:eastAsia="arial" w:hAnsi="arial" w:cs="arial"/>
            <w:i/>
            <w:color w:val="0077CC"/>
            <w:sz w:val="20"/>
            <w:u w:val="single"/>
            <w:shd w:val="clear" w:color="auto" w:fill="FFFFFF"/>
            <w:lang w:val="en-US" w:eastAsia="en-US" w:bidi="ar-SA"/>
          </w:rPr>
          <w:t>[2000] 1 S.C.R. 703</w:t>
        </w:r>
      </w:hyperlink>
      <w:r>
        <w:rPr>
          <w:rFonts w:ascii="arial" w:eastAsia="arial" w:hAnsi="arial" w:cs="arial"/>
          <w:color w:val="000000"/>
          <w:sz w:val="20"/>
          <w:lang w:val="en-US" w:eastAsia="en-US" w:bidi="ar-SA"/>
        </w:rPr>
        <w:t xml:space="preserve"> at paras. 27 and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...disabilities vary in type, intensity and duration across the full range of personal physical or mental characteristics...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concept of disability must therefore accommodate a multiplicity of impairments, both physical and mental, overlaid on a range of functional limitations, real or perceived, interwoven with recognition that in many important aspects of life the so-called "disabled" individual may not be impaired or limited in any way at all. An appreciation of the common humanity that people with disabilities share with everyone else, and in belief that the qualities and aspirations we share are more important than our differences, are two of the driving forces of s. 15(1) equality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my view, pursuant to the analysis of the Supreme Court of Canada in Granovsky, it is clear that the plaintiffs may, upon the proof of certain facts, be categorized as disabled. However, as I noted above, the basis upon which the plaintiffs are receiving differential treatment is not their disability, but the type of abuse they suffered. It is the fact that they are not child victims of sexual abuse that has resulted in the plaintiffs being unable to take advantage of s. 3(4)(k)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"Type of abuse suffered" is not an enumerated ground of discrimination. I must therefore consider whether it is an analogous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Thibaudeau v. Canada, </w:t>
      </w:r>
      <w:hyperlink r:id="rId741" w:history="1">
        <w:r>
          <w:rPr>
            <w:rFonts w:ascii="arial" w:eastAsia="arial" w:hAnsi="arial" w:cs="arial"/>
            <w:i/>
            <w:color w:val="0077CC"/>
            <w:sz w:val="20"/>
            <w:u w:val="single"/>
            <w:shd w:val="clear" w:color="auto" w:fill="FFFFFF"/>
            <w:lang w:val="en-US" w:eastAsia="en-US" w:bidi="ar-SA"/>
          </w:rPr>
          <w:t>[1995] 2 S.C.R. 627</w:t>
        </w:r>
      </w:hyperlink>
      <w:r>
        <w:rPr>
          <w:rFonts w:ascii="arial" w:eastAsia="arial" w:hAnsi="arial" w:cs="arial"/>
          <w:color w:val="000000"/>
          <w:sz w:val="20"/>
          <w:lang w:val="en-US" w:eastAsia="en-US" w:bidi="ar-SA"/>
        </w:rPr>
        <w:t xml:space="preserve"> McLachlin J. (as she then was) discussed the factors to be considered in determining whether a ground of discrimination is analogous at para. 205: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essential to ask whether the characteristic on the basis of which the prejudicial distinction is made may be used to make irrelevant distinctions that are contrary to human dignity. The fact that the group in question has historically been disadvantaged, that it constitutes a discrete and insular minority, that the distinction is based on an immutable personal characteristic rather than on an individual's merit, capacities or circumstances, that the ground under consideration is similar to one of the enumerated grounds, or that the legislatures and courts have recognized that distinctions based on the ground under consideration are discriminatory, are all factors which may help on deciding whether a ground of discrimination is an analogous ground for the purposes of s. 15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a ground of discrimination, "type of abuse suffered" embodies some of the factors noted in the above passage, but not others. Individuals who have suffered a particular type of abuse may form a discrete and insular minority. However, a distinction between different types of abuse is not irrelevant or contrary to human dignity. Instead, it may form the basis of specific ameliorative measures necessary to accommodate any resulting disabilities. In some cases, individuals have been historically disadvantaged on the basis of the type of abuse they suffered. However, a distinction between types of abuse sufferers does not normally serve as a basis for unequal treatment based on stereotypical attributes ascribed to the group, rather than on the true worth and ability or circumstances of the individual. Such a distinction, as I have mentioned, may be, and often is, to the advantage of the abuse victim in that it facilitates appropriate accommodation in services or legislation. That is not say, however, that such a distinction could not be used to demean individuals. This ground is in some respects similar to a distinction made on the basis of type or severity of disability, which was treated as an enumerated ground in Granvosky.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my view, "type of abuse suffered" may be considered an analogous ground. I note however, that such a result is not necessary to my decision in this case, which turns on whether s. 3(4)(k) involves differential treatment that is discriminatory.</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Discrimation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claim that they are members of a group suffering considerable disadvantage in Canadian society because adults who were abused as children not only suffer higher incidences of certain psychological and physical problems than the general population, but also tend to have higher rates of aggression, other intellectual and academic developmental difficulties, and higher rates of interpersonal and vocational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claim that under-inclusive ameliorative legislation such as s. 3(4)(k) of the Limitation Act may be discriminatory because it does not give appropriate access to justice to survivors of non-sexual abuse. They argue that child victims of non-sexual abuse do not receive the same ameliorative benefits under the law as do child sexual abuse survivors, despite the fact that they have similar resulting disabilities and consequent disadvantages in accessing justice as do child sexual abuse survivors. This discriminatory treatment, they submit, has the effect of treating victims of non-sexual abuse as if they were not as worthy of the protection of the law. The plaintiffs say this demeans their dignity and sends a message that they are less worthy of recognition or value than sexual abuse survivors.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 submits that the provision is not under-inclusive because the class to which the plaintiffs belong is not deprived of appropriate opportunities for legal redress. The defendant contrasts the plaintiffs' situation with the situation in Vriend v. Alberta, </w:t>
      </w:r>
      <w:hyperlink r:id="rId742" w:history="1">
        <w:r>
          <w:rPr>
            <w:rFonts w:ascii="arial" w:eastAsia="arial" w:hAnsi="arial" w:cs="arial"/>
            <w:i/>
            <w:color w:val="0077CC"/>
            <w:sz w:val="20"/>
            <w:u w:val="single"/>
            <w:shd w:val="clear" w:color="auto" w:fill="FFFFFF"/>
            <w:lang w:val="en-US" w:eastAsia="en-US" w:bidi="ar-SA"/>
          </w:rPr>
          <w:t>[1998] 1 S.C.R. 493</w:t>
        </w:r>
      </w:hyperlink>
      <w:r>
        <w:rPr>
          <w:rFonts w:ascii="arial" w:eastAsia="arial" w:hAnsi="arial" w:cs="arial"/>
          <w:color w:val="000000"/>
          <w:sz w:val="20"/>
          <w:lang w:val="en-US" w:eastAsia="en-US" w:bidi="ar-SA"/>
        </w:rPr>
        <w:t>, where Mr. Vriend had no right to sue under the Individual's Rights Protection Act, R.S.A. 1980, c. 1-2 because sexual orientation was not a prohibited ground of discrimination. In contrast, the class to which these plaintiffs belong has been given the potential protection of s. 6(4) of the Limitation Act for any injuries that are not "discovered" until later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Under this aspect of the s. 15 inquiry, it must be asked whether the differential treatment discriminates. According to Law it can do so in either of two ways: by imposing a burden or withholding a benefit from the claimant in a manner which reflects a stereotypical application of presumed group or personal characteristics; or by otherwise perpetuating or promoting the view that the individual is less worthy of concern, respect and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purpose of s. 15, as stated in Law at para. 51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prevent the violation of essential human dignity and freedom through the imposition of disadvantage, stereotyping, or political or social prejudice, and to promote a society in which all persons enjoy equal recognition at law as human beings or as members of Canadian society, equally capable and equally deserving of concern respect and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To found a discrimination claim, it is necessary to show that there is a conflict between the purpose or effect of the impugned law and the purpose of s. 15 (Law at para. 41 ).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To determine whether the legislation has the effect of demeaning the claimant's dignity, the matter must be considered from the perspective of the reasonable person in circumstances similar to the claimant (Law at para. 61). The list of contextual factors that are relevant to the analysis are not closed, but include the following (see: Law paras. 62-75):</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Pre-existing disadvantage,</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Correspondence, or lack thereof, between the ground or grounds on which the claim is based and the actual need, capacity or circumstances of the claimant or others,</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ameliorative purpose or effects of the impugned law upon a more disadvantanged person or group,</w:t>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scope of interest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Law analysis was applied in Granovsky, where the court considered a claim of discrimination under the Canada Pension Plan based on differential treatment of individuals with permanent and those with temporary disabilities. In considering the contextual factors that impact on the claim of discrimination, the Court noted that the claimant, who was temporarily disabled, did face pre-existing disadvantage or vulnerability. However, the Court found that the impugned provisions were ameliorative and aligned so as to take into account the actual personal characteristics of disabled persons such that they corresponded to the greater need or different circumstances of the permanently disabled. After noting that the nature of the provisions were such that they affected a narrow class of individuals seeking a narrowly restricted benefit, the Court concluded that the contextual factors did not indicate that there was a convincing human rights dimension to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case, s. 3(4)(k) is ameliorative legislation that seeks to provide child victims of sexual misconduct with appropriate access to judicial redress for the wrong they have suffered. The provision gives victims of child sexual abuse an unlimited time within which to bring an action. In M.(K.) v. M.(H.), supra, La Forest J. at para. 1 stated that the special consideration given to these victims comes as a result of the "peculiarly complex and devastating damages" which result from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second reading of Bill 38 to amend the Limitation Act, Attorney General Colin Gabelmann stated that the rationale for the amendment is the fact that many people who have endured sexual abuse as children have "suppressed the memory for several years as a way of coping with the horror", and also that "one of the most important healing factors is to have the opportunity, however many years have passed, to confront the abuser." (See: British Columbia, Legislative Assembly, Debates of the Legislative Assembly, (9 June 1992) at 2406.) In addition, the legislature sought to address the sensitive nature of child sexual abuse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have led evidence that they suffer from disabilities as a result of non-sexual abuse they suffered as children; they have also intimated that the type of resulting disabilities that they suffer are similar to those typically associated with child sexual abuse. They argue on that basis, that they are entitled to the same level of accommodation within the judicial system as are child sexual abuse victims.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the purposes of the s. 15 argument, I accept that child victims of serious physical assault or violent traumatic events may have similar symptoms to those of child victims of incest or other forms of sexual misconduct. However, I do not accept that this group therefore requires identical accommodation with respect to the limitations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my view, there are unique social forces and psychological factors that impact on a sexual abuse victim's access to justice. In the case of victims of non-sexual abuse, neither the taboo against speaking out about the abuse nor suppressed memory syndrome are normally present. Furthermore, such abuse does not necessarily require as part of the healing process that the victim confront the wrongdoer.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Granovsky, Binnie J. pointed out that "classification on the basis of disability is not necessarily disadvantageous," (para. 54). That is equally true of classification on the basis of type of abuse suffered. The fact that a group has been specifically recognized because of their special characteristics, does not mean that another group which does not enjoy the same benefit has been discriminated against.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recognize that the plaintiffs may suffer some pre-existing disadvantage or vulnerability in society as a whole. The purpose of s. 3(4)(k), however, is to provide appropriate access to justice to child sexual abuse survivors in the context of the particular difficulties that they encounter. In this respect the provision is sensitive to the actual characteristics of individuals and does not differentiate on the basis of stereotypes or otherwise demean the worth and dignity of child victims of non-sexual abuse. The provision is intended to be ameliorative of the social and psychological aspects involved in child sexual abuse and of the fact that there has been a long-standing historical silence about sexual abuse that has caused many potential plaintiffs to be reluctant to litigate. That is not so of non-sexual abuse. Finally, it is significant that there is a potential thirty-year limitation period provided for non-sexual abuse victims in ss. 6 and 8 of the Limitation Act. Thus, the nature of the interest at stake in this case is considerably attenuated.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It is clear, in my view, that any reasonably objective person standing in the shoes of a member of the class of litigants injured by non-sexual misconduct would not come to the conclusion the provisions have "marginalized" or "stigmatized" them, or demeaned their sense of worth and dignity as human beings.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my view, the plaintiffs have failed to establish that s. 3(4)(k) of the Limitation Act violates s. 15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issues posed are answered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can be liable for a tort alleged to have been committed before the Crown Proceedings Act came into force on August 1, 1974;</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8 of the Limitation Act operates to extinguish Lawrence Poznikoff's claims;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3(4)(k) of the Limitation Act does not violate s. 15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effect of the decision made herein is to permit the plaintiffs to proceed to trial on the causes of action thus far alleged in the statement of claim where those causes of action involve misconduct of a sexual nature. That will be a fact specific exercise unique to each individual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my written reasons for judgment released July 22, 2002 under citation No. 2002 BCSC 951 on page 16, paragraph 34 reads "Section 2(2) of the Limitation Act, ..." but should read "Section 3(2) ..."; and in sub-paragraph (d) the word "for" is missing. Paragraph 34 now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Section 3(2) of the Limitation Act, </w:t>
      </w:r>
      <w:hyperlink r:id="rId29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provides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false imprisonment;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In all other respects the reasons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KIRKPATRICK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3"/>
          <w:headerReference w:type="default" r:id="rId744"/>
          <w:footerReference w:type="even" r:id="rId745"/>
          <w:footerReference w:type="default" r:id="rId746"/>
          <w:headerReference w:type="first" r:id="rId747"/>
          <w:footerReference w:type="first" r:id="rId7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49" w:history="1">
        <w:r>
          <w:rPr>
            <w:rFonts w:ascii="arial" w:eastAsia="arial" w:hAnsi="arial" w:cs="arial"/>
            <w:b/>
            <w:bCs/>
            <w:i/>
            <w:color w:val="0077CC"/>
            <w:kern w:val="32"/>
            <w:sz w:val="28"/>
            <w:szCs w:val="32"/>
            <w:u w:val="single"/>
            <w:shd w:val="clear" w:color="auto" w:fill="FFFFFF"/>
            <w:lang w:val="en-US" w:eastAsia="en-US" w:bidi="ar-SA"/>
          </w:rPr>
          <w:t>Bartley v. Buckley, [2005] B.C.J. No. 2116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Johnston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7 - 8,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3, 2005.</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00/4131</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2116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2005 BCSC 1374</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143 A.C.W.S. (3d) 489</w:t>
        </w:r>
      </w:hyperlink>
    </w:p>
    <w:p>
      <w:pPr>
        <w:spacing w:before="120" w:line="260" w:lineRule="atLeast"/>
        <w:rPr>
          <w:lang w:val="en-US" w:eastAsia="en-US" w:bidi="ar-SA"/>
        </w:rPr>
      </w:pPr>
      <w:r>
        <w:rPr>
          <w:rFonts w:ascii="arial" w:eastAsia="arial" w:hAnsi="arial" w:cs="arial"/>
          <w:color w:val="000000"/>
          <w:sz w:val="20"/>
          <w:lang w:val="en-US" w:eastAsia="en-US" w:bidi="ar-SA"/>
        </w:rPr>
        <w:t>Between Patricia Lynn Bartley, plaintiff, and Mary Barbara Buckley,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3"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6" w:name="Keywords_37"/>
      <w:bookmarkEnd w:id="266"/>
      <w:r>
        <w:rPr>
          <w:rFonts w:ascii="arial" w:eastAsia="arial" w:hAnsi="arial" w:cs="arial"/>
          <w:b/>
          <w:color w:val="000000"/>
          <w:sz w:val="20"/>
          <w:lang w:val="en-US" w:eastAsia="en-US" w:bidi="ar-SA"/>
        </w:rPr>
        <w:t>Damages — General damages — Categories of — Loss of amenities — Loss of enjoyment of life — For personal injuries — Non-pecuniary damages, including pain and suffering — Action by Bartley against Buckley for damages resulting from a minor motor vehicle accident allowed in part — Accident caused the plaintiff a soft tissue injury of mild to moderate degree, lasting no more than one year and damages were assessed at $15,000.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Action by Bartley against Buckley for damages resulting from a minor motor vehicle accident allowed in part — Accident caused the plaintiff a soft tissue injury of mild to moderate degree, lasting no more than one year and damages were assessed at $15,000.</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7" w:name="Case Summary_35"/>
            <w:bookmarkEnd w:id="267"/>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Bartley against Buckley for damages resulting from a minor motor vehicle accident. Buckley conceded that there was contact of some sort between her vehicle and Bartley's, however she said the contact was so slight that it could not have caused the damages of which Bartley complained. Bartley conceded the impact was minor however, she said it occurred when she was emotionally and physically fragile, therefore more susceptible to injury. Shortly after the accident, she reported a burning sensation in the back of her neck with some pain and stiffness. She began visiting her family physician in January 2000 and reports of discomfort continued periodically until the hearing five years later. </w:t>
            </w:r>
            <w:r>
              <w:rPr>
                <w:lang w:val="en-US" w:eastAsia="en-US" w:bidi="ar-SA"/>
              </w:rPr>
              <w:cr/>
            </w:r>
          </w:p>
          <w:p>
            <w:pPr>
              <w:spacing w:before="120" w:line="260" w:lineRule="atLeast"/>
              <w:ind w:left="240"/>
              <w:jc w:val="both"/>
              <w:rPr>
                <w:lang w:val="en-US" w:eastAsia="en-US" w:bidi="ar-SA"/>
              </w:rPr>
            </w:pPr>
            <w:bookmarkStart w:id="268" w:name="Holdings of Court_33"/>
            <w:bookmarkEnd w:id="268"/>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Bartley suffered a soft tissue injury to her neck in the accident. In spite of the very slight contact between the vehicles, the fact that Bartley had her head turned to the right exposed her to a greater risk of injury from a minor impact, and in this case the risk became reality. She was an emotionally susceptible individual, as is shown by the episodes of stress, sleep disturbance, depression and anxiety that caused her to consult her family physician from time to time prior to the accident. The emotional susceptibility assumed a greater significance than the accident in November of 2000 when her employment situation was in a state of turmoil. The accident caused Bartley a soft tissue injury of mild to moderate degree, lasting no more than one year. Any pain or disability suffered thereafter was not proven to have been caused by the accident or accident-related injuries. Damages for pain, suffering, loss of amenities and enjoyment of life assessed at $15,000. </w:t>
            </w:r>
            <w:r>
              <w:rPr>
                <w:lang w:val="en-US" w:eastAsia="en-US" w:bidi="ar-SA"/>
              </w:rPr>
              <w:cr/>
            </w:r>
          </w:p>
          <w:p>
            <w:pPr>
              <w:rPr>
                <w:lang w:val="en-US" w:eastAsia="en-US" w:bidi="ar-SA"/>
              </w:rPr>
            </w:pPr>
          </w:p>
        </w:tc>
      </w:tr>
    </w:tbl>
    <w:p>
      <w:pPr>
        <w:jc w:val="both"/>
        <w:rPr>
          <w:lang w:val="en-US" w:eastAsia="en-US" w:bidi="ar-SA"/>
        </w:rPr>
      </w:pPr>
      <w:bookmarkStart w:id="269" w:name="Counsel_38"/>
      <w:bookmarkEnd w:id="269"/>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14" style="position:absolute;z-index:25174937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 Farquhar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 Milne</w:t>
      </w:r>
      <w:r>
        <w:rPr>
          <w:lang w:val="en-US" w:eastAsia="en-US" w:bidi="ar-SA"/>
        </w:rPr>
        <w:cr/>
      </w:r>
    </w:p>
    <w:p>
      <w:pPr>
        <w:spacing w:after="240"/>
        <w:rPr>
          <w:lang w:val="en-US" w:eastAsia="en-US" w:bidi="ar-SA"/>
        </w:rPr>
      </w:pPr>
      <w:bookmarkStart w:id="270" w:name="Judgment_38"/>
      <w:bookmarkEnd w:id="270"/>
      <w:r>
        <w:pict>
          <v:line id="_x0000_s1215" style="position:absolute;z-index:25180057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71" w:name="JOHNSTON J."/>
            <w:bookmarkEnd w:id="271"/>
            <w:r>
              <w:rPr>
                <w:rFonts w:ascii="arial" w:eastAsia="arial" w:hAnsi="arial" w:cs="arial"/>
                <w:b/>
                <w:color w:val="000000"/>
                <w:sz w:val="30"/>
                <w:lang w:val="en-US" w:eastAsia="en-US" w:bidi="ar-SA"/>
              </w:rPr>
              <w:t>JOHNSTON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assessment of damages flowing from an accident of January 9, 2000. While the defendant concedes there was contact of some sort between her vehicle and that of the plaintiff, the defendant says that contact was so slight that it could not possibly have caused the damages of which the plaintiff complains. The plaintiff says that the impact, which she concedes was minor, occurred at a time when she was in an emotionally and physically fragile state, and therefore more susceptible to injury, and, further, that as a result of her physical position at the moment of impact, her potential for injury was enhanced.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January 9, 2000, the plaintiff stopped for a red light on Jacklin Road where it intersects with Kelly Road. She turned her head to look to her right, contemplating the purchase of some groceries at a nearby shop, when she felt what she described in evidence as a "jerk". She says that she realized that her car had been struck from behind. When the signal light turned green the plaintiff drove across the intersection and pulled to the side of the road, expecting the vehicle that had struck her to pull over to exchange information as usually occurs after some form of accident. The other vehicle did not stop so the plaintiff followed it, taking its licence number, and then drove to the police station to report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testified that she came to a full stop behind the vehicle of the plaintiff, and that while stopped she reached over to the passenger side of the front bench seat for her purse to retrieve a tissue. At that point her foot, which was still on the brake, relaxed somewhat and her vehicle moved forward. Her vehicle had an automatic transmission. She then put her foot on the brake more firmly and put her vehicle in park. The defendant says her foot never came off the brake completely. When asked whether there had been impact between her vehicle and that of the plaintiff in front of her when she relaxed her foot, the defendant thumped the edge of the witness box with her hand to demonstrate the severity of the impact from her point of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thought no more of this incident until she was contacted later that same day by the police who suggested that she had been in an accident. She says that she told the officer that he must be mistaken, but when the situation was explained to her she agreed that she had been involved. After this telephone call the defendant went outside to examine the front bumper of her vehicle and saw no mark or other visible sign of any damage.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plaintiff went to the police station to report the incident she and an officer went outside to examine the rear bumper of her vehicle. In her evidence, the plaintiff described seeing a "scuff" on her rear bumper.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Photographs of both vehicles support the evidence of both parties that the contact between the two vehicles was very minor and caused no damage beyond some scuffing to the plaintiff's bumper.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Injuries and Course of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says that very shortly after the accident she felt a burning sensation in the back of her neck with some pain and stiffness. She went to St. Anthony's Medical Clinic and there saw a Dr. Fretz who recommended muscle relaxants and pain killers. Dr. Fretz told her to see her own doctor in a week's time if needed. The plaintiff says Dr. Fretz told her that she would either be better in a week's time or she would not get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took the week off work following the accident and went to her own family physician, Dr. Graham. The plaintiff said that headaches developed in the first week after the accident, and the pain and burning that came on shortly after the accident continued.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Dr. Graham recommended physiotherapy. She does not recall if Dr. Graham prescribed medications. The plaintiff says Dr. Graham was not inclined to prescribe medications quickly.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advised to apply ice and heat to the affected areas as needed. She continued to see Dr. Graham until January 2002 when Dr. Graham wound up her practice. The plaintiff then began to see Dr. Morin at the walk-in clinic where she worked as a medical office assistant. When Dr. Morin was not available she saw another physician at the clinic.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first two years following the accident, while under the care of Dr. Graham, the plaintiff was referred by Dr. Graham to Dr. Killian, a specialist in rehabilitation. No opinion from Dr. Killian was led by the plaintiff, nor was she called to give evidence, although her consultation letter to Dr. Graham is in the clinical records filed by the defendant. While I do not think that I can accept the contents of the consultation letter as Dr. Killian's opinion, I infer from the unexplained absence of an admissible opinion or evidence from Dr. Killian that her evidence would not support the plaintiff's claims. Additionally, in the first year after the accident Dr. Graham prescribed physiotherapy on more than one occasion.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Graham's report was tendered without objection, her clinical records are part of Exhibit 2, and Dr. Graham was cross-examined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Graham's report is dated June 13, 2000, and covers the plaintiff's progress from the first post-accident visit of January 17, 2000, to April 25, 2000, when Dr. Graham last saw the plaintiff, at least prior to dictating her report, for injuries suffered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her initial examination of January 17, 2000, Dr. Graham found "... that the range of motion of the neck in flexion was approximately 75% of normal, extension was full, lateral bending to the left was 75% and full to the right, and rotation to the rate [sic] was 75% and full to the left". Based on those results of her examination, Dr. Graham's opinion was "... that she had sustained a soft tissue injury to her neck".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Graham saw the plaintiff again January 31, 2000. Physical examination at that time revealed a full range of motion in the plaintiff's neck for flexion, extension, lateral bending to the left and rotation to the right. Dr. Graham referred the plaintiff to physiotherapy and advised her to continue to take Flexeril, which had been prescribed by Dr. Fretz, the clinic physician first consulted by the plaintiff on the day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saw Dr. Graham again February 22, 2000. Dr. Graham says the plaintiff was complaining of good days and bad days, the bad days occurring when she was working a lot on the telephones at her job as a medical office assistant. In her report Dr. Graham says: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However, on observation she appeared to be splinting somewhat and we had an extended conversation about the need to stretch and pull out the muscles, explaining that hurt did not equal harm and that the headaches were secondary to muscle spasm and the treatment would stretch the muscle.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Graham saw the plaintiff on March 7, 2000. The plaintiff told Dr. Graham at that time that she had been off work because of the flu and that the rest had been good for her neck and back. The plaintiff had worked the day she saw Dr. Graham and complained that her neck was stiff and sore but "... better than it had previously been at the end of a working day". Dr. Graham's observation on March 7, 2000, was that "range of motion was full except for lateral bend, which was approximately 75% to the left and 50% to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Of the last examination covered by the report Dr. Graham says that as of April 25, 2000:</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she reported that her neck seemed to be sore in the whole of the posterior aspect but more especially on the right side. She was continuing to experience a lot of headaches, probably affecting her five out of seven days, and she had stopped physiotherapy. Physical examination revealed a range of motion of the neck showed full flexion with some pain at extreme, full extension, lateral bending to the left 75% and to the right full, rotation to the left full and to the right approximately 75%.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Graham's written opinion, based on the above, is summarized in this way: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persistence of specific pain in the right posterior neck corresponds to Ms. Bartley's statement that her neck was turned to the right side at the time of the collision.</w:t>
      </w:r>
    </w:p>
    <w:p>
      <w:pPr>
        <w:spacing w:before="120" w:line="260" w:lineRule="atLeast"/>
        <w:ind w:left="720"/>
        <w:rPr>
          <w:lang w:val="en-US" w:eastAsia="en-US" w:bidi="ar-SA"/>
        </w:rPr>
      </w:pPr>
      <w:r>
        <w:rPr>
          <w:rFonts w:ascii="arial" w:eastAsia="arial" w:hAnsi="arial" w:cs="arial"/>
          <w:color w:val="000000"/>
          <w:sz w:val="20"/>
          <w:lang w:val="en-US" w:eastAsia="en-US" w:bidi="ar-SA"/>
        </w:rPr>
        <w:t>At the present time it appears that Ms. Bartley's recovery is following the standard course of recovery from minor soft tissue injury, in that she is sore at the end of any exertion but that the soreness resolves overnight, she is gradually improving so that the episodes of pain and disability occur less frequently, are of shorter duration and resolve more quickly. I would anticipate in the next three to six months that Ms. Bartley's injuries will essentially resolve without sequela.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Graham saw the plaintiff on November 2, 2000. Assisted by her note of that day, Dr. Graham testified that the plaintiff had told her that there was a big disruption at the medical clinic where the plaintiff was working. Dr. Graham testified that she probably told the plaintiff on that visit that there was no magic cure for her neck. Dr. Graham went on to say that the visit of November 2 was primarily concerned with multiple somatic complaints, the nature of which were not noted and she could not recall. Her note, confirmed by her in evidence, was on that day the accident was only a small factor in the causation of the multiple complaints of November 2,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Graham became the plaintiff's family physician sometime between 1988 and 1990. She was cross-examined in some detail on the plaintiff's pre-accident medical history. She had treated the plaintiff briefly in May and June of 1995 for low back complaint which is not, I find, connected to any injury complained of after the motor vehicle accident and is not relevant to this damage assessment.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Graham also treated the plaintiff from time to time, beginning in the fall of 1995, for stress, complaints of sleep disturbance, and depression. Some of these emotional problems may have been work related, and some appear to have been related to stresses in the plaintiff's domestic relationships. The plaintiff's medical history before the accident includes a hysterectomy. Dr. Graham pointed out in cross-examination that the hysterectomy probably eliminated the cause of mild episodic low back pain of which the plaintiff complained in the mid-1990's.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cross-examination Dr. Graham conceded that the type of stress of which the plaintiff complained before the accident could well have led to complaints of physical pain or symptoms, including neck pain. She was speaking particularly about attendances in the fall of 1998, when the plaintiff had complaints of mood swings and 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Three reports from Dr. Morin, a family physician, were admitted over the objection of defence counsel. In addition, Dr. Morin attended for cross-examination. Dr. Morin began his treatment of the plaintiff in early 2002. At that time Dr. Morin was not in full-time practice as a family physician, but was working as a physician at a walk-in clinic. Dr. Morin explained that as a clinic physician he does not have a regular patient list, but he sees any person who attends the clinic when he is on shift. He says that the plaintiff seems to prefer to seek medical assistance when she knows he is working, and that she knows when he will be working because of her employment as a medical office assistant at the clinic where he works. For that reason he has tended to see the plaintiff more often than other physicians at the clinic and Dr. Morin expects that the plaintiff might view him as her "family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Morin's first report, dated June 11, 2002, is based upon his review of her medical records since her injury and his examination of the plaintiff on June 6, 2002. That examination showed what Dr. Morin described as a "... somewhat tender cervical spine on deep palpation with an almost full range of motion of the cervical spine ...". He also describes guarding which in his evidence he said was a hesitation on the part of the plaintiff to turn her head "because it hurts". Dr. Morin said in this report that the plaintiff's condition appeared in June of 2002 to have plateaued. In his evidence he said he based that observation on his opinion that once two years had passed since an injury to the cervical spine, there is little further improvement that could be expected.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Morin's second report dated May 27, 2004, recites much of the same information as his first report, that is, what he had taken from Dr. Graham's records. He goes on to say: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Ms. Bartley (sic) ongoing neck problems keep her from full employment, as she is unable to function as a M.O.A. (Medical Office Assistant) more than a few hours a day because of the neck discomfort. It has forced her to go on partial disability because of this. I am convinced that the MVA is the cause of her having to go on partial disability. The physiotherapist noted some minor pre-existing neck problemsm (sic) that it did not keep Ms. Bartley to be fully employed as a M.O.A. and on a full day's work, prior to her MVA.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Morin goes on to say that he does not foresee any improvement to the plaintiff's symptoms, as at that time four years had passed since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Morin's final report is dated March 4, 2005. He states that he saw the plaintiff May 31, 2004, "... because of persisting neck pain and inability to handle the relatively heavy work at her work in a recycling plant". He describes an attendance at a Colwood medical clinic on June 8, 2004, for a mid-back injury for which a Workers Compensation Board claim had apparently been made. Dr. Morin saw her for that injury on June 16, 2004, and referred her to physiotherapy. He reassessed her at the Tillicum Medical Clinic in the summer of 2004. He said x-rays of the plaintiff's mid-back were negative. After referring to the opinion of a rehabilitation clinic to which the plaintiff had been referred, Dr. Morin concludes by saying that the plaintiff continues to have neck pain: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relating to her accident of January 2000. She is able to handle light work up to four hours daily but is not able to return to a full day's schedule as she was prior to her injury. Unhappily since five years has elapsed I do not see any further recovery taking place from now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spirited cross-examination, Dr. Morin was asked what physical examinations he had conducted on the plaintiff after June 6, 2002. He conceded that his clinical record of April 6, 2002, which he says was probably the first time he saw the plaintiff in a doctor-patient context, records no results of any physical examination of the plaintiff's neck. Dr. Morin says he always puts his hand on the patient, by which I took him to mean he conducts a physical examination, and he knows he did so on this occasion, but he did not write it down. When pressed on the lack of notes from this attendance, Dr. Morin became defensive and somewhat argumentative.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Similarly, his record for April 18, 2002, notes that the plaintiff has degenerative disc disease in her neck. He says that note was his opinion at the time based on what the plaintiff had told him and what he had read in an x-ray report from a radiologist. He said the plaintiff had showed him how she moved her neck. He conceded that his documentation was "not good".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Morin says he will often see forty patients in a shift at the clinic. He says his memory is quite good, and he can follow up with patients over more than one visit, and recall what their problems are. Some patients, he says, he can recall because he sees them often enough.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Morin saw the plaintiff again on April 25, 2002. He has no note of any recommendation he may have made, but said in evidence that he probably told the plaintiff to use heat.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record of Dr. Morin's June 6, 2002, attendance on the plaintiff is in his opinion letter to counsel of June 11, 2002, dictated shortly after the visit. He says he would have written some notes during his examination of the plaintiff, and used those notes as the basis for his dictation. Once the letter was done, it became his record of that attendance and he discarded the handwritten note. Dr. Morin says he spent a half hour with the plaintiff on June 6, 2002, and the brief reference to the examination results in the letter of June 11, 2002, do not fully record what passed between him and his patient on that occasion. He agreed that the letter does not mention the degenerative disc disease, although he had seen the radiologist report of that condition by then.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cross-examination Dr. Morin was taken to his record of an attendance on the plaintiff on September 15, 2003. The plaintiff complained of neck pain, and Dr. Morin's note is that his examination showed that her head and neck were "ok". When asked about that, Dr. Morin said he was looking for illness or infection, and there was none apparent. He said further that he believes the plaintiff, that he has known her for some time, and that he did not have to twist her head to hurt her neck every time she came to see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Another such attendance was put to Dr. Morin, this one on December 18, 2003. There his record shows the results of an examination of the plaintiff's head and neck as "ok". Dr. Morin said in evidence that meant on examination there were no signs of the illness or complaint that brought the plaintiff to him that day, which he presumed was some form of infection such as tonsillitis. He stated the record in his chart did not relate to any residual effects of her soft tissue injury, as that was not the focus of the visit.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context in which some of this must be weighed is that the plaintiff worked as an assistant in the clinic where Dr. Morin practised. Dr. Morin says that he would often observe the plaintiff at work, and that he would often ask her how she was feeling, in the office, but not in the traditional surroundings of an examining room. He says he occasionally might prescribe something for the plaintiff, again, not in the examining room, but in the general part of the office. It appears that some of the doctor-patient interaction was of this more informal nature, and that Dr. Morin, who readily admits to not being a paragon of record keeping, was less inclined to document the more casual professional contacts that occurred outside the confines of an examining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mid-November 2003 the plaintiff applied to the Province of British Columbia for disability benefits. She completed part of the application, and Dr. Morin completed part. The plaintiff testified that it was at the suggestion of a social worker that she initiated the application. As part of the application the plaintiff typed a page and a half description of her disabilities and the way in which she was affected by them. The disabilities listed by the plaintiff were: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have degenerative disc disease in my neck and upper back.</w:t>
      </w:r>
    </w:p>
    <w:p>
      <w:pPr>
        <w:spacing w:before="120" w:line="260" w:lineRule="atLeast"/>
        <w:ind w:left="720"/>
        <w:rPr>
          <w:lang w:val="en-US" w:eastAsia="en-US" w:bidi="ar-SA"/>
        </w:rPr>
      </w:pPr>
      <w:r>
        <w:rPr>
          <w:rFonts w:ascii="arial" w:eastAsia="arial" w:hAnsi="arial" w:cs="arial"/>
          <w:color w:val="000000"/>
          <w:sz w:val="20"/>
          <w:lang w:val="en-US" w:eastAsia="en-US" w:bidi="ar-SA"/>
        </w:rPr>
        <w:t>I have Arthritis in my right arm in the elbow area.</w:t>
      </w:r>
    </w:p>
    <w:p>
      <w:pPr>
        <w:spacing w:before="120" w:line="260" w:lineRule="atLeast"/>
        <w:ind w:left="720"/>
        <w:rPr>
          <w:lang w:val="en-US" w:eastAsia="en-US" w:bidi="ar-SA"/>
        </w:rPr>
      </w:pPr>
      <w:r>
        <w:rPr>
          <w:rFonts w:ascii="arial" w:eastAsia="arial" w:hAnsi="arial" w:cs="arial"/>
          <w:color w:val="000000"/>
          <w:sz w:val="20"/>
          <w:lang w:val="en-US" w:eastAsia="en-US" w:bidi="ar-SA"/>
        </w:rPr>
        <w:t>I suffer from Chronic Fatigue Syndrome.</w:t>
      </w:r>
    </w:p>
    <w:p>
      <w:pPr>
        <w:spacing w:before="120" w:line="260" w:lineRule="atLeast"/>
        <w:ind w:left="720"/>
        <w:rPr>
          <w:lang w:val="en-US" w:eastAsia="en-US" w:bidi="ar-SA"/>
        </w:rPr>
      </w:pPr>
      <w:r>
        <w:rPr>
          <w:rFonts w:ascii="arial" w:eastAsia="arial" w:hAnsi="arial" w:cs="arial"/>
          <w:color w:val="000000"/>
          <w:sz w:val="20"/>
          <w:lang w:val="en-US" w:eastAsia="en-US" w:bidi="ar-SA"/>
        </w:rPr>
        <w:t>I suffer from Sleep Disorders.</w:t>
      </w:r>
    </w:p>
    <w:p>
      <w:pPr>
        <w:spacing w:before="120" w:line="260" w:lineRule="atLeast"/>
        <w:ind w:left="720"/>
        <w:rPr>
          <w:lang w:val="en-US" w:eastAsia="en-US" w:bidi="ar-SA"/>
        </w:rPr>
      </w:pPr>
      <w:r>
        <w:rPr>
          <w:rFonts w:ascii="arial" w:eastAsia="arial" w:hAnsi="arial" w:cs="arial"/>
          <w:color w:val="000000"/>
          <w:sz w:val="20"/>
          <w:lang w:val="en-US" w:eastAsia="en-US" w:bidi="ar-SA"/>
        </w:rPr>
        <w:t>I suffer from Anxiety Disorder.</w:t>
      </w:r>
    </w:p>
    <w:p>
      <w:pPr>
        <w:spacing w:before="120" w:line="260" w:lineRule="atLeast"/>
        <w:ind w:left="720"/>
        <w:rPr>
          <w:lang w:val="en-US" w:eastAsia="en-US" w:bidi="ar-SA"/>
        </w:rPr>
      </w:pPr>
      <w:r>
        <w:rPr>
          <w:rFonts w:ascii="arial" w:eastAsia="arial" w:hAnsi="arial" w:cs="arial"/>
          <w:color w:val="000000"/>
          <w:sz w:val="20"/>
          <w:lang w:val="en-US" w:eastAsia="en-US" w:bidi="ar-SA"/>
        </w:rPr>
        <w:t>I have irritable Bowel Syndrome.</w:t>
      </w:r>
    </w:p>
    <w:p>
      <w:pPr>
        <w:spacing w:before="120" w:line="260" w:lineRule="atLeast"/>
        <w:ind w:left="720"/>
        <w:rPr>
          <w:lang w:val="en-US" w:eastAsia="en-US" w:bidi="ar-SA"/>
        </w:rPr>
      </w:pPr>
      <w:r>
        <w:rPr>
          <w:rFonts w:ascii="arial" w:eastAsia="arial" w:hAnsi="arial" w:cs="arial"/>
          <w:color w:val="000000"/>
          <w:sz w:val="20"/>
          <w:lang w:val="en-US" w:eastAsia="en-US" w:bidi="ar-SA"/>
        </w:rPr>
        <w:t>I also have a Low Immune System.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Morin, in cross-examination, testified that the plaintiff did not have arthritis in her arm, she did not have chronic fatigue syndrome, and she did not have a low immune system. He said the plaintiff did have a sleep disorder, in that she had trouble getting a full night's sleep. Dr. Morin said that in his portion of the application, he stated that the plaintiff suffered from degenerative disc disease, neck pain and anxiety. In the form itself, Dr. Morin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patient suffers from chronic neck pain which (undecipherable) not allow her to work except for a few hours because of pain in her neck. This condition makes her quite anxious and depressed at times.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Elsewhere in the form, Dr. Morin listed diagnostic codes for anxiety disorders and degenerative disc disease, while showing specific diagnoses as "neck pain. Some degenerative disc disease, anxiety", which he stated had been of "a few years" duration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Dr. Morin's records was a consultation report from the specialist, Dr. Killian, to whom the plaintiff had been referred by Dr. Graham in 2000. Dr. Morin testified that he had read Dr. Killian's consultation letter, but he refused in evidence to comment on findings stated by Dr. Killian in that letter, saying that she should be asked directly, and that it was not for him to comment on her findings.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disruption of the medical clinic referred to was explained further by the plaintiff. In 1999, she started to work as a medical office assistant at a walk-in clinic at Tillicum Mall. The doctors who owned the clinic decided to move it to Burnside Avenue. In the fall of 2000, they apparently had a falling out, and decided to end their business relationship. One of the principals returned to Tillicum Mall to establish another clinic, and the plaintiff remained at the Burnside clinic. The plaintiff testified that this period was a source of some stress for her, as some staff were laid off and for a time she did not know how this would affect her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Another employee at the Burnside clinic was promoted to office manager, and, according to the plaintiff, she was a tyrant, who did not make the plaintiff's life very easy. By that the plaintiff meant that the new office manager assigned the plaintiff to duties requiring a significant time on the telephone, when she knew or ought to have known the plaintiff had a hard time with the telephone because of her neck injury. The plaintiff thought this was very mean of the new office manager, and spoke to her employer about it. She said her employer, who was under his own stresses at the time, "exploded" when she spoke to him about it. The plaintiff testified that she put up with this situation as long as she could, then went on stress leave for about six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testified that she worked close to thirty hours a week before the accident, and at the end of her stress leave she looked for other employment that would give her those same hours. She testified that she bounced around for a time, doing temporary jobs in clinics and doctors' offices, but found it harder and harder to work at jobs requiring a lot of time on the telephone.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fall of 2001 the plaintiff got a three month contract as a job coach working with youth, and said that she very much enjoyed the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Thereafter the plaintiff has worked in medical offices and clinics. She testified that four hours per shift is the most she can do. The impression from her evidence, which was sometimes unclear in its chronology, is that the plaintiff has become progressively less able to work since the accident. She is now considering going back to school to train for a job where she can get up and move around during four hour shifts. The plaintiff says the schooling, if she enrols, will have to be part time. She is researching possible employment situations that would be comfortable for her, where the employer and fellow employees would be sympathetic and would consider taking on someone with a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income records show earnings before and after the accident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133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YEAR</w:t>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INCOME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1998</w:t>
            </w:r>
          </w:p>
        </w:tc>
        <w:tc>
          <w:tcPr>
            <w:tcW w:w="819"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$13,618.00.00; $1,239 Employment Insurance Payments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72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1999</w:t>
            </w:r>
          </w:p>
        </w:tc>
        <w:tc>
          <w:tcPr>
            <w:tcW w:w="2048"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$19,485.00</w:t>
            </w:r>
          </w:p>
        </w:tc>
        <w:tc>
          <w:tcPr>
            <w:tcW w:w="7066"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2000</w:t>
            </w:r>
          </w:p>
        </w:tc>
        <w:tc>
          <w:tcPr>
            <w:tcW w:w="204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$16,418.00</w:t>
            </w:r>
          </w:p>
        </w:tc>
        <w:tc>
          <w:tcPr>
            <w:tcW w:w="706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2001</w:t>
            </w:r>
          </w:p>
        </w:tc>
        <w:tc>
          <w:tcPr>
            <w:tcW w:w="819"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$7,393.00; $1,432.00 Employment Insurance Payments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2002</w:t>
            </w:r>
          </w:p>
        </w:tc>
        <w:tc>
          <w:tcPr>
            <w:tcW w:w="819"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270"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$6,727.00;$5,285.00 Social Assistance Payments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2003</w:t>
            </w:r>
          </w:p>
        </w:tc>
        <w:tc>
          <w:tcPr>
            <w:tcW w:w="819"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$1,830.00; $4,403.00 Social Assistance Payments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836"/>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2004</w:t>
            </w:r>
          </w:p>
        </w:tc>
        <w:tc>
          <w:tcPr>
            <w:tcW w:w="819"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$1,512.99; $3,453.84 from WCB; $7,080.84 disability payments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has been in the habit of recording matters having some significance to her on her calendar. Her calendars for 2000, 2002, and 2003 were included in Exhibit 4. The plaintiff has been unable to locate her calendar for 2001. The calendars show that the plaintiff recorded the days and hours when she was scheduled to work. The calendar for 2000 shows that the plaintiff missed four days work immediately after the accident, and missed no more scheduled work for the balance of the year. There are two gaps, where there was no note of work having been scheduled, and which the plaintiff could not recall. The first is between August 27 and September 16, 2000, the second between November 20 and December 1, 2000. There is no evidence that her injuries accounted for these periods off work, and the plaintiff was quite clear in her evidence that she lost no more than four days off work due to her injuries in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For the plaintiff, it is argued that the admittedly minor accident had an impact on the plaintiff out of proportion to the impact between the vehicles. This is so, it is said, because the plaintiff was in an emotionally vulnerable state at the time of the collision, and because her head was turned to the right, increasing the potential for injury to her neck. Counsel points to the opinion of Dr. Morin, that the plaintiff's condition is unlikely to improve significantly.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defendant argues that there is no convincing evidence to overcome the inherent improbability that disabling pain continues over five years after a very minor impact. The defendant relies on the work pattern after the collision, with no more than four days lost in the year immediately after the accident, followed by increasing loss of work thereafter, and by the meagre medical evidence in support of any connection between continuing disability and the accident, particularly after Dr. Graham ceased treating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plaintiff characterizes her injury as a moderate or significant soft tissue injury and relies on authorities tending to support a non-pecuniary award in the $50,000.00 (Tardiff v. Toews, </w:t>
      </w:r>
      <w:hyperlink r:id="rId751" w:history="1">
        <w:r>
          <w:rPr>
            <w:rFonts w:ascii="arial" w:eastAsia="arial" w:hAnsi="arial" w:cs="arial"/>
            <w:i/>
            <w:color w:val="0077CC"/>
            <w:sz w:val="20"/>
            <w:u w:val="single"/>
            <w:shd w:val="clear" w:color="auto" w:fill="FFFFFF"/>
            <w:lang w:val="en-US" w:eastAsia="en-US" w:bidi="ar-SA"/>
          </w:rPr>
          <w:t>[2004] B.C.J. No. 1601</w:t>
        </w:r>
      </w:hyperlink>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2004 BCSC 1009</w:t>
        </w:r>
      </w:hyperlink>
      <w:r>
        <w:rPr>
          <w:rFonts w:ascii="arial" w:eastAsia="arial" w:hAnsi="arial" w:cs="arial"/>
          <w:color w:val="000000"/>
          <w:sz w:val="20"/>
          <w:lang w:val="en-US" w:eastAsia="en-US" w:bidi="ar-SA"/>
        </w:rPr>
        <w:t xml:space="preserve">; Krell v. Saari, </w:t>
      </w:r>
      <w:hyperlink r:id="rId752" w:history="1">
        <w:r>
          <w:rPr>
            <w:rFonts w:ascii="arial" w:eastAsia="arial" w:hAnsi="arial" w:cs="arial"/>
            <w:i/>
            <w:color w:val="0077CC"/>
            <w:sz w:val="20"/>
            <w:u w:val="single"/>
            <w:shd w:val="clear" w:color="auto" w:fill="FFFFFF"/>
            <w:lang w:val="en-US" w:eastAsia="en-US" w:bidi="ar-SA"/>
          </w:rPr>
          <w:t>[2003] B.C.J. No. 1036</w:t>
        </w:r>
      </w:hyperlink>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2003 BCSC 699</w:t>
        </w:r>
      </w:hyperlink>
      <w:r>
        <w:rPr>
          <w:rFonts w:ascii="arial" w:eastAsia="arial" w:hAnsi="arial" w:cs="arial"/>
          <w:color w:val="000000"/>
          <w:sz w:val="20"/>
          <w:lang w:val="en-US" w:eastAsia="en-US" w:bidi="ar-SA"/>
        </w:rPr>
        <w:t xml:space="preserve">; Dee v. Lessard, </w:t>
      </w:r>
      <w:hyperlink r:id="rId753" w:history="1">
        <w:r>
          <w:rPr>
            <w:rFonts w:ascii="arial" w:eastAsia="arial" w:hAnsi="arial" w:cs="arial"/>
            <w:i/>
            <w:color w:val="0077CC"/>
            <w:sz w:val="20"/>
            <w:u w:val="single"/>
            <w:shd w:val="clear" w:color="auto" w:fill="FFFFFF"/>
            <w:lang w:val="en-US" w:eastAsia="en-US" w:bidi="ar-SA"/>
          </w:rPr>
          <w:t>[2003] B.C.J. No. 247</w:t>
        </w:r>
      </w:hyperlink>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2003 BCSC 182</w:t>
        </w:r>
      </w:hyperlink>
      <w:r>
        <w:rPr>
          <w:rFonts w:ascii="arial" w:eastAsia="arial" w:hAnsi="arial" w:cs="arial"/>
          <w:color w:val="000000"/>
          <w:sz w:val="20"/>
          <w:lang w:val="en-US" w:eastAsia="en-US" w:bidi="ar-SA"/>
        </w:rPr>
        <w:t xml:space="preserve">; Kahle v. Ritter, </w:t>
      </w:r>
      <w:hyperlink r:id="rId754" w:history="1">
        <w:r>
          <w:rPr>
            <w:rFonts w:ascii="arial" w:eastAsia="arial" w:hAnsi="arial" w:cs="arial"/>
            <w:i/>
            <w:color w:val="0077CC"/>
            <w:sz w:val="20"/>
            <w:u w:val="single"/>
            <w:shd w:val="clear" w:color="auto" w:fill="FFFFFF"/>
            <w:lang w:val="en-US" w:eastAsia="en-US" w:bidi="ar-SA"/>
          </w:rPr>
          <w:t>[2002] B.C.J. No. 285</w:t>
        </w:r>
      </w:hyperlink>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2002 BCSC 199</w:t>
        </w:r>
      </w:hyperlink>
      <w:r>
        <w:rPr>
          <w:rFonts w:ascii="arial" w:eastAsia="arial" w:hAnsi="arial" w:cs="arial"/>
          <w:color w:val="000000"/>
          <w:sz w:val="20"/>
          <w:lang w:val="en-US" w:eastAsia="en-US" w:bidi="ar-SA"/>
        </w:rPr>
        <w:t xml:space="preserve">) to $70,000.00 range (Bakken v. Young, </w:t>
      </w:r>
      <w:hyperlink r:id="rId755" w:history="1">
        <w:r>
          <w:rPr>
            <w:rFonts w:ascii="arial" w:eastAsia="arial" w:hAnsi="arial" w:cs="arial"/>
            <w:i/>
            <w:color w:val="0077CC"/>
            <w:sz w:val="20"/>
            <w:u w:val="single"/>
            <w:shd w:val="clear" w:color="auto" w:fill="FFFFFF"/>
            <w:lang w:val="en-US" w:eastAsia="en-US" w:bidi="ar-SA"/>
          </w:rPr>
          <w:t>[2000] B.C.J. No. 1508</w:t>
        </w:r>
      </w:hyperlink>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2000 BCSC 1104</w:t>
        </w:r>
      </w:hyperlink>
      <w:r>
        <w:rPr>
          <w:rFonts w:ascii="arial" w:eastAsia="arial" w:hAnsi="arial" w:cs="arial"/>
          <w:color w:val="000000"/>
          <w:sz w:val="20"/>
          <w:lang w:val="en-US" w:eastAsia="en-US" w:bidi="ar-SA"/>
        </w:rPr>
        <w:t>). The injuries in each of the cases at the lower end of the range were found to be "significant", and in Bakken, the higher end of the range was awarded for soft tissue injuries found to be "moderate".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argues that her income earning capacity should be measured against her 1999 earnings of $19,500.00. Counsel argues that the difference between that amount and her actual earnings in subsequent years, adjusted to reflect other possible causes for a reduction in her earnings, should be the measure of her loss of income or capacity to earn. Plaintiff's counsel acknowledges that the only loss in the year of the accident was $294.84 for the four days lost immediately after the accident. He says that in 2001 the plaintiff earned only $7,393.00 from employment. He concedes that part of the reduction in that year's income can be attributed to the plaintiff's conflict with the new office manager at the clinic, and part to an irritable bowel syndrome she suffered that year. He suggests the accident injuries should be considered responsible for roughly half the reduction in income, and claims $6,000.00 for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For 2002, counsel says the plaintiff earned about $7,500.00 less than she had in 1999, and says that most of that was attributable to the plaintiff's neck injury. He seeks ninety per cent of the loss, or $6,750.00, for 2002.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For 2003, counsel concedes a similar ten per cent reduction in the difference between 1999 income and income actually earned. The difference for that year between what the plaintiff earned and what she had earned in 1999 was $13,250.00. By counsel's calculation, the claim for 2003 is $11,925.00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For 2004, counsel claims $13,000.00, being ninety per cent of the difference between the combined total of the plaintiff's earnings and her worker's compensation benefits for 2004, and her 1999 earnings.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submits a total claim for past wage loss in the amount of $47,919.84.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Plaintiff's counsel argues that the plaintiff will lose an estimated $10,000.00 per year to her age 65, and, relying on the opinion of an economist, Geoffrey Young, says the lost future earning capacity should attract an award of $116,000.00. In the alternative, relying on the approach taken in Brown v. Golaiy </w:t>
      </w:r>
      <w:hyperlink r:id="rId119" w:history="1">
        <w:r>
          <w:rPr>
            <w:rFonts w:ascii="arial" w:eastAsia="arial" w:hAnsi="arial" w:cs="arial"/>
            <w:i/>
            <w:color w:val="0077CC"/>
            <w:sz w:val="20"/>
            <w:u w:val="single"/>
            <w:shd w:val="clear" w:color="auto" w:fill="FFFFFF"/>
            <w:lang w:val="en-US" w:eastAsia="en-US" w:bidi="ar-SA"/>
          </w:rPr>
          <w:t>(1986), 26 B.C.L.R. (3d) 353</w:t>
        </w:r>
      </w:hyperlink>
      <w:r>
        <w:rPr>
          <w:rFonts w:ascii="arial" w:eastAsia="arial" w:hAnsi="arial" w:cs="arial"/>
          <w:color w:val="000000"/>
          <w:sz w:val="20"/>
          <w:lang w:val="en-US" w:eastAsia="en-US" w:bidi="ar-SA"/>
        </w:rPr>
        <w:t>, counsel says the plaintiff should be awarded one year's salary as compensation for her loss of earning capacity, and suggests $21,000.00 as the proper amount.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special damages, for medication, physiotherapy user fees, and exercise rehabilitation payments since the accident, were presented at $1,392.10.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 tendered authorities to support a damage range for non-pecuniary losses in the range of $1,000.00 (Cook v. Webb, </w:t>
      </w:r>
      <w:hyperlink r:id="rId756" w:history="1">
        <w:r>
          <w:rPr>
            <w:rFonts w:ascii="arial" w:eastAsia="arial" w:hAnsi="arial" w:cs="arial"/>
            <w:i/>
            <w:color w:val="0077CC"/>
            <w:sz w:val="20"/>
            <w:u w:val="single"/>
            <w:shd w:val="clear" w:color="auto" w:fill="FFFFFF"/>
            <w:lang w:val="en-US" w:eastAsia="en-US" w:bidi="ar-SA"/>
          </w:rPr>
          <w:t>[2004] B.C.J. No. 663</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2004 BCSC 453</w:t>
        </w:r>
      </w:hyperlink>
      <w:r>
        <w:rPr>
          <w:rFonts w:ascii="arial" w:eastAsia="arial" w:hAnsi="arial" w:cs="arial"/>
          <w:color w:val="000000"/>
          <w:sz w:val="20"/>
          <w:lang w:val="en-US" w:eastAsia="en-US" w:bidi="ar-SA"/>
        </w:rPr>
        <w:t xml:space="preserve">) to $7,500.00 (Booth v. Hedderick, </w:t>
      </w:r>
      <w:hyperlink r:id="rId757" w:history="1">
        <w:r>
          <w:rPr>
            <w:rFonts w:ascii="arial" w:eastAsia="arial" w:hAnsi="arial" w:cs="arial"/>
            <w:i/>
            <w:color w:val="0077CC"/>
            <w:sz w:val="20"/>
            <w:u w:val="single"/>
            <w:shd w:val="clear" w:color="auto" w:fill="FFFFFF"/>
            <w:lang w:val="en-US" w:eastAsia="en-US" w:bidi="ar-SA"/>
          </w:rPr>
          <w:t>[2004] B.C.J. No. 170</w:t>
        </w:r>
      </w:hyperlink>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2004 BCSC 132</w:t>
        </w:r>
      </w:hyperlink>
      <w:r>
        <w:rPr>
          <w:rFonts w:ascii="arial" w:eastAsia="arial" w:hAnsi="arial" w:cs="arial"/>
          <w:color w:val="000000"/>
          <w:sz w:val="20"/>
          <w:lang w:val="en-US" w:eastAsia="en-US" w:bidi="ar-SA"/>
        </w:rPr>
        <w:t>). In Cook the soft tissue injuries were found to be minor, and in Booth they were found to be mild. Counsel argues that the plaintiff here has suffered a minor soft tissue injury at most, and although she may believe that she still has pain from the accident, she has not proven that the collision was a materially contributing cause of her present complaints. He points to the opinion of Dr. Graham, as well as to her clinical notes canvassed in cross-examination, saying that I can be comfortable that Dr. Graham is "nobody's fool" and "can do a proper diagnosis". Mr. Milne says that I should require some compelling evidence to go beyond Dr. Graham's opinion and findings, and he says that leads inexorably to a finding that the plaintiff took six to nine months to recover from her minor injuries, and that length of time, longer than what might otherwise have been expected, was mandated by the plaintiff's emotional fragility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the plaintiff suffered a soft tissue injury to her neck in the accident of January 9, 2000. In spite of the very slight contact between the vehicles, the fact that the plaintiff had her head turned to the right exposed her to a greater risk of injury from a minor impact, and in this case the risk became reality. Although it was not pressed, I find that it is not proven that the plaintiff had degenerative disc disease at the time of the accident. Dr. Graham did not order x-rays and did not comment, and Dr. Morin, who did order x-rays over two years after the accident, was unable to say if the slight degeneration found on the x-rays was present at the time of the accident. There was no suggestion in the evidence that the degeneration was caused by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her report dated about six months after the accident Dr. Graham characterizes the soft tissue injury as "mild". That is consistent with her observation that the plaintiff's course of recovery was as she would have expected it to be. In his cross-examination, Dr. Morin said that he was sure the plaintiff had suffered a soft tissue injury in the accident, but allowed it may have been "very light". The plaintiff testified that her neck did not get back to one hundred per cent in the year after the accident. She said it improved in the first while, and improved more with rest, then it got progressively worse. It is clear that the plaintiff worked as and when she was required to work for the first year, save for the first four days, after the accident, which supports Dr. Graham's prognosis in her report of June 13,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the plaintiff was an emotionally susceptible individual, as is shown by the episodes of stress, sleep disturbance, depression and anxiety that caused her to consult Dr. Graham from time to time in the years before the accident. This emotional susceptibility assumed a greater significance in the plaintiff's complaints beginning in November of 2000 when, after some five months after the last consultation relating to neck pain, the plaintiff attended with multiple somatic complaints of which, according to Dr. Graham, the accident was only a small factor and at a time when her employment situation was in a state of some turmoil.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the accident caused this susceptible plaintiff a soft tissue injury of mild to moderate degree, lasting no more than one year. Any pain or disability suffered thereafter has not been proven to have been caused by the accident or accident-related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non-pecuniary damages for pain, suffering, loss of amenities and enjoyment of life, I award $15,000.00.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no evidence that the plaintiff could reasonably have done any more than she did to improve her situation, or that her losses might have been reduced if she had acted otherwise. Although there was some argument directed at the issue of mitigation, there was no evidentiary basis for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will have her income lost in the first year, $294.84. Any income lost beyond that first year was not caused or contributed to by the accident or injuries suffered in the accident, and is therefore not the responsibility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For special damages for that same year I award $200.00. I point out that the major expense claimed, for rehabilitation at Kinet-X, arose after a back injury was sustained when the plaintiff lifted something heavy on a job in 2004, and had nothing to do with the injuries sustained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Unless there is a reason for counsel to speak to a reason the usual order for costs should not be made, the plaintiff shall have her costs in accordance with Rule 66.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JOHNSTON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Blueberry River First Nation v. Cheveldave, [2018] B.C.J. No. 1075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May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S22853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Fort St. John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1075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920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Blueberry River First Nation, Blueberry Trust Society as Trustee of the Blueberry Trust, Blueberry River Enterprises Limited Partnership, Blueberry River Enterprises GP Ltd. and Blueberry River Enterprises Ltd., Plaintiffs, and Cecil Cheveldave, Brita Laird, David Laird, David Laird operating as Woodbridge Professional, Jason Miles Steiner, 0891653 B.C. Ltd., Joseph Apsassin, Lillian Apsassin, Apsassin Construction operating as Apsassin &amp; Sons Contracting, Apsassin Family Consultants operating as Apsassin &amp; Sons Contracting, Patrick Chipesia, Nig Creek Contracting Ltd., Shakir Alwarid, Alwarid &amp; Associates Consulting Ltd., Mark Totten &amp; Associates Inc. operating as Totten &amp; Associates, 0851799 BC Ltd., operating as Creever Trading Post, Jane Doe, John Doe, ABC Corp. and XYZ Corp., Defendants, and Wayne Yahey and Randy Yahey,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7"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2" w:name="Keywords_38"/>
      <w:bookmarkEnd w:id="27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Fiduciary duty — Application by defendant Alwarid for summary dismissal of plaintiffs' claim against him and judgment on his counterclaim allowed — Alwarid provided consulting services to plaintiff First Nation — He was paid $563,870 for $7 million he brought in — Alwarid never became fiduciary of Band insofar as its trust monies were concerned — Evidence did not establish Alwarid was party to any conspiracy — Alwarid was entitled to judgment on counterclaim for his final invoice — Plaintiffs were not justified in maintaining case against Alwarid in conspiracy or breach of fiduciary duty — Alwarid was entitled to special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Conspiracy — Practice and procedure — Pleadings — Discovery — Costs — Application by defendant Alwarid for summary dismissal of plaintiffs' claim against him and judgment on his counterclaim allowed — Alwarid provided consulting services to plaintiff First Nation — He was paid $563,870 for $7 million he brought in — Alwarid never became fiduciary of Band insofar as its trust monies were concerned — Evidence did not establish Alwarid was party to any conspiracy — Alwarid was entitled to judgment on counterclaim for his final invoice — Plaintiffs were not justified in maintaining case against Alwarid in conspiracy or breach of fiduciary duty — Alwarid was entitled to special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3" w:name="Case Summary_36"/>
            <w:bookmarkEnd w:id="2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Alwarid for the summary dismissal of the plaintiffs' claim against him and judgment on his counterclaim. In 2010, Alwarid and the plaintiff Blueberry River First Nation entered into an agreement in which Alwarid agreed to negotiate with government agencies and private sector companies on the Band's behalf. While working for the Band, Alwarid warned it not to take inappropriate steps with its trust. In 2015, an accounting report determined that $3,628,990 had been transferred from the Band's trust to the Band's general account and ultimately received by the 21 defendants listed in the Band's claim. It determined Alwarid was paid $563,870 in fees for the $7 million he brought in for the Band. The Band alleged Alwarid, along with the other defendants, fraudulently obtained the funds. At the examination for discovery of the Band's representative, it was admitted they had no indication Alwarid was involved in the conspiracy alleged in its claim or that he took any secret profit or misappropriated property as pleaded. Alwarid claimed $3,978 for his final invoice that was not paid.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4" w:name="Holdings of Court_34"/>
            <w:bookmarkEnd w:id="27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Addressing Alwarid's applications by summary trial achieved the interests of justice including access to justice, proportionality and timeliness. Any power Alwarid had could not be exercised unilaterally so as to affect the Band's legal or practical interests. Alwarid never became a fiduciary of the Band insofar as its trust monies were concerned. The evidence did not establish Alwarid was party to any conspiracy. Alwarid was entitled to judgment on the counterclaim for his final invoice. The plaintiffs were not justified in pleading or maintaining the case against Alwarid in conspiracy or breach of fiduciary duty. Alwarid was entitled to special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5" w:name="Legislation Cited_28"/>
      <w:bookmarkEnd w:id="2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8"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Indian Act, </w:t>
      </w:r>
      <w:hyperlink r:id="rId765" w:history="1">
        <w:r>
          <w:rPr>
            <w:rFonts w:ascii="arial" w:eastAsia="arial" w:hAnsi="arial" w:cs="arial"/>
            <w:i/>
            <w:color w:val="0077CC"/>
            <w:sz w:val="20"/>
            <w:u w:val="single"/>
            <w:shd w:val="clear" w:color="auto" w:fill="FFFFFF"/>
            <w:lang w:val="en-US" w:eastAsia="en-US" w:bidi="ar-SA"/>
          </w:rPr>
          <w:t>R.S.C. 1985, c. I-5,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Society Act, </w:t>
      </w:r>
      <w:hyperlink r:id="rId766"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6" w:name="Counsel_39"/>
      <w:bookmarkEnd w:id="27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9"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David Rolf, Q.C., K. Colleen Verville, Adam L. Kaukas.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Alwarid Defendants: John W. Bilawich.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7" w:name="Judgment_39"/>
      <w:bookmarkEnd w:id="277"/>
      <w:r>
        <w:pict>
          <v:line id="_x0000_s1220" style="position:absolute;z-index:2518517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 THE PARTIES, THE ALWARID-BRFN WRITTEN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CLAIMS AS PLEADED AGAINST MR. ALWARID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FACTS, INCLUDING THE MNP REPORT,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RELATED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 on the Summary</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Trial Application of the Alwarid</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Defendants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8" w:name="G.K. MACINTOSH J."/>
            <w:bookmarkEnd w:id="278"/>
            <w:r>
              <w:rPr>
                <w:rFonts w:ascii="arial" w:eastAsia="arial" w:hAnsi="arial" w:cs="arial"/>
                <w:b/>
                <w:color w:val="000000"/>
                <w:sz w:val="30"/>
                <w:lang w:val="en-US" w:eastAsia="en-US" w:bidi="ar-SA"/>
              </w:rPr>
              <w:t>G.K. MACINTOSH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 THE PARTIES, THE ALWARID-BRFN WRITTEN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Shakir Alwarid and Alwarid &amp; Associates Consulting Ltd., seek the dismissal of the Plaintiffs' claims against them, which the Plaintiffs quantify at $3,620,990.12. These two Defendants also counterclaim for $4,355.49, which is the amount of their unpaid invoice to the Plaintiff, Blueberry River First Nation ("BRFN" or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purposes of this case, these two Defendants can be treated as one. The Defendant, Alwarid &amp; Associates Consulting Ltd., is a corporate vehicle used by the Defendant Shakir Alwarid for carrying on his business. Mr. Alwarid and his wife are the only directors and owners of the company. All the facts in the case involve Mr. Alwarid alone insofar as these two Defendants are concerned. In these reasons, I will refer to both Defendants simply as Alwarid or Mr. Alwarid.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Alwarid seeks relief by summary trial. The Plaintiffs oppose the summary trial application on the merits and on the ground that the dispute is not suitable for summary trial adjudication. Concerning the merits, the Plaintiffs accept that even though this is Mr. Alwarid's application, they still need to prove their case against him on the balance of probabilities. The Plaintiffs' primary submission in the suitability analysis is that their claims against Alwarid cannot properly be extracted from an adjudication of their claims against all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BRFN is a band within the meaning of s. 2 of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xml:space="preserve">. The Blueberry Trust Society is the trustee of the Blueberry Trust (the "Trust"). The Society was formed to administer the Trust under the </w:t>
      </w:r>
      <w:r>
        <w:rPr>
          <w:rFonts w:ascii="arial" w:eastAsia="arial" w:hAnsi="arial" w:cs="arial"/>
          <w:i/>
          <w:color w:val="000000"/>
          <w:sz w:val="20"/>
          <w:lang w:val="en-US" w:eastAsia="en-US" w:bidi="ar-SA"/>
        </w:rPr>
        <w:t>Society Act</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 I gather from counsel's submissions that the funds in the Trust came from payments to the BRFN by the Federal Government resulting from the settlement of land claims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remaining three Plaintiffs had relatively little involvement in the facts relevant to the present applications. I will describe them and their roles below to the limited extent that may be called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Alwarid and the BRFN entered into an agreement in writing dated August 18, 2010 (the "Agreement"). Mr. Alwarid agreed to negotiate with government agencies and private sector companies on the Band's behalf, as seen in clause 1.1 of the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Engagement, Term and Termination</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Contractor [Alwarid] agrees to work under the direction of a negotiating team to be appointed by the Chief and Counsel of the First Nation, and until then, under the direction of the Chief and Counsel of the First Nation, on the negotiation of impact benefit agreements and consultation Protocols with resources and infrastructure developers, and specifically BC Hydro on their proposed site C and TransCanada on their proposed Alaska Highway Pipeline project and any other projects the Chief and Council may assign.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Agreement specified that Mr. Alwarid was an independent contractor. Clauses 4.4 and 4.5 elaborated on his independence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Independent Contractor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Nothing in this Agreement shall be construed in such a manner as to make the Contractor an employee, servant, agent or partner of the First Nation or to create a joint venture between the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Neither party will have the authority to bind or shall attempt to bind the other party to any contract or the performance of any obligation to a third party.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2.4 of the Agreement, under the title, "Obligations of the Contractor",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agrees that he shall be responsible for securing revenues from either government or industry out of which he shall be paid and agrees that he shall not be paid unless and until he secures such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reciprocal obligations of the Band were found in clauses 3.1 and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Obligations of the First Nation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Nation shall pay the invoices of the Contractor, to be submitted on a monthly basis and detailing his work on behalf of the First Nation, at a rate of $190 per hour for his work. It shall be the responsibility of the First Nation to process and pay all such invoices, but only from revenues secured by the Contractor from government or industry, which shall be set aside to cover such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First Nation also agrees to pay the expenses of the Contractor incurred in the performance of his duties under this Agreement, upon the submission of original receipts for those expenses. Those expenses are to be paid only from the revenues secured by the Contractor from government or industry that are set aside to cover his services.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Alwarid was eminently qualified and experienced to perform his work for the Band. He had worked for the Band in 2002-2004 to the Band's full satisfaction. His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from 1974 to the present, shows him in senior government positions, including Assistant Deputy Minister, and Deputy Minister, in Saskatchewan and in the Yukon, and in other senior positions with the governments of Manitoba and the Northwest Territories. He had been the Chief Economist for the Saskatchewan Oil &amp; Gas Corporation, the President of Yukon Energy Corporation, and the President &amp; C.E.O. of Nunavut Power Corporation. He had represented numerous bands as chief negotiator in most regions of western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will be seen later in these reasons that the Band, under its leadership up to December, 2013, was also entirely satisfied with Mr. Alwarid's work in 2010-2013, that is, with the work giving rise to the Band's present action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CLAIMS AS PLEADED AGAINST MR. ALWARID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Amended Notice of Civil Claim, filed February 22, 2016, names approximately 21 Defendants plus four Jane Doe individual and corporate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naming the parties, the next paragraph in the pleading provides: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or any one or more of them, have wrongfully, fraudulently and without color of right taken or received and converted to his or her or their own use, or to the use of another person or persons presently unknown to the Plaintiffs the total sum of $3,620,990.12.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Paragraph 23 of the pleading says in part that the fraudulently obtained funds were received by the Defendants between April 1, 2010 and December 31, 2013. Paragraphs 26-40 state, for the most part, how much of the $3,620,990.12 each Defendant received. Paragraph 29 pleads, regarding Alwarid: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Alwarid &amp; Associates or its owner Alwarid, received a total of $563,870.00, allegedly, for negotiation of impact benefit agreements. The agreement with BRFN was that Alwarid was to provide services at $190.00 per hour. There is no substantiation or authorization that Alwarid &amp; Associates or its owner, Alwarid, provided services to BRFN commensurate with the payment they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Paragraphs 41-44 make allegations against all the Defendants: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misappropriated the total sum of $3,620,990.12 and have received that sum to their benefit, despite not having provided the Plaintiffs with any services, work or materials. The Defendants have received these monies despite there being no legitimate business reason for them to have received these monies.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facilitate the misappropriated funds, as detailed in paragraphs 22 to 41 above, the Defendants colluded, conspired and created a culture of corruption at BRFN.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two or more Defendants conspired and colluded by committing the following acts by agreement or common design for the predominant purpose of intentionally cause harm to the Plaintiffs: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Threatening financial officers within BRFN to write cheques to certain parties in order to facilitate the misappropriation;</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Threatening financial officers within BRFN to create and maintain financial records such as invoices and spreadsheets to facilitate the misappropriation;</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Forcing financial officers to forgive loans properly owing to BRFN;</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Refusing to provide financial back-up and substantiation when required by third-parties;</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Removing people from BRFN who would not participate in the corruption;</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Isolating people within BRFN in order to facilitate the corruption;</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Negotiating kick-backs from third-parties in order to balance misappropriated funds;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may be proven at a Trial of this matter.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above, the Plaintiffs have suffered damages in the sum of $3,620,990.12.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For examination for discovery, the Plaintiffs eventually produced Celia Sterrett, after declining to produce a Mr. Ron Paracuelles on medical grounds. Mr. Paracuelles was the Band's Financial Officer at the relevant times. The Band's counsel, at Ms. Sterrett's discovery, took the position that she appeared as the authorized representative of all the Plaintiffs. Pursuant to an outstanding information request from Ms. Sterrett's examination for discovery, </w:t>
      </w:r>
      <w:r>
        <w:rPr>
          <w:rFonts w:ascii="arial" w:eastAsia="arial" w:hAnsi="arial" w:cs="arial"/>
          <w:color w:val="000000"/>
          <w:sz w:val="20"/>
          <w:u w:val="single"/>
          <w:lang w:val="en-US" w:eastAsia="en-US" w:bidi="ar-SA"/>
        </w:rPr>
        <w:t>the Plaintiffs responded that they have no indication that Mr. Alwarid was involved in the facts alleged in paragraph 43(a)--(h) of the pleading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paragraph 45 of the pleading, the Plaintiffs describe Mr. Alwarid as one of eight "Fiduciary Defendants"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Alwarid, Chipesia, Cheveldave, Laird, Steiner, Joseph, Malcolm and Russell (the "Fiduciary Defendants'") owed the following fiduciary duties:</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in good faith and in the best interest of their beneficiaries;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inform themselves and to keep themselves informed of the financial affairs and activities of the beneficiaries;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manager and administer those financial affairs and activities in the best interest of their beneficiaries;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act so as to put themselves in a position in which their personal interests did or might conflict with the interests of their beneficiaries;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make or receive or facilitate a secret profit or secret payment from or to third parties contrary to the interests of their beneficiaries: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account for any such secret profits or payments; and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may be proven at a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Alwarid is named as one of three Defendants as follows in paragraph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at all material times, Alwarid, Cheveldave, Laird, Steiner were given authority, discretion and authorization to act on behalf of the Plaintiffs when conducting the business of the Plaintiffs. Inherent in this authority and discretion is a fiduciary obligation to act in the best interest of the Plaintiffs. Alwarid, Cheveldave, Laird and Steiner failed to administer their position of authority in the best interests of the Plaintiffs and to make decisions about the financial affairs of the Plaintiff in a manner consistent with a prudent and responsible fiduciary. Contrary to this obligation, they have placed themselves in a conflict of interest and made secret profit as a result of their positions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Plaintiffs responded to an information request from the Sterrett discovery by saying that </w:t>
      </w:r>
      <w:r>
        <w:rPr>
          <w:rFonts w:ascii="arial" w:eastAsia="arial" w:hAnsi="arial" w:cs="arial"/>
          <w:color w:val="000000"/>
          <w:sz w:val="20"/>
          <w:u w:val="single"/>
          <w:lang w:val="en-US" w:eastAsia="en-US" w:bidi="ar-SA"/>
        </w:rPr>
        <w:t>the Plaintiffs have no evidence that Mr. Alwarid took any "secret profit" as pleaded in paragraph 47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balance of the pleading is largely against the so-called "Fiduciary Defendants" as seen in paragraphs 49, 50 and 52-56:</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Fiduciary Defendants were subject to the Constitution of Blueberry Trust Society governing conduct of the trust monies held in the Trust ("the Trust Funds") which indicate,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Dispositions under the Trust must be consistent with the Trust Purposes, as defined in Article 2.1 of the Trust, including such things as recreational, cultural, community and administrative benefit in favour of BRFN.</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disbursing the Trust Funds, the Society must obtain a detailed budget for all proposed expenditures and obtaining agreement from the recipient of the funds that they will report in detail on how the funds are actually spent;</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Administration of the Trust Funds must be in accordance with the investment policy established by the Trust;</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must not make any loans or borrow money except in limited circumstances and after obtaining professional advice;</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of the Society must retain custody of all accounts pertaining to the Trust Funds;</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Director or Officer of the Society must be remunerated for being or acting as Director or Officer of the Society.</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Defendants, either individually or through their respective corporations, Apsassin, Alwarid, Nia, 089 and Woodbridge Professional, were negligent, committed a breach of trust, and breached their fiduciary duties to the Plaintiffs, some particulars of which include:</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misappropriated band funds and Trust Funds for personal use;</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properly conduct and supervise the financial affairs of the Plaintiffs as would a reasonable and prudent fiduciary;</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acting in a conflict of interest position by providing services to one or more of the Plaintiffs;</w:t>
      </w:r>
    </w:p>
    <w:p>
      <w:pPr>
        <w:numPr>
          <w:numId w:val="3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ensure the prudent maintenance of the Plaintiffs' financial books and records in an accurate and organized manner, thereby jeopardizing the Plaintiffs' financial stability;</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utilized the Plaintiffs' bank accounts in a confusing and unauthorized manner and failing to keep any substantiating accounting evidence to justify such withdrawals;</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claimed personal expenses that were not related to their work for the Plaintiffs;</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account, adequately or at all, for personal expenses;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wrongfully misappropriated the Plaintiffs' property;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which may be proven at a Trial of this matter.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Fiduciary Defendants' actions were wrongfully motivated by an impermissible personal desire that their personal interests be held above that of the Plaintiffs.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Fiduciary Defendants' actions were directly contrary to the BRFN Governance Manual insofar as the personal interests of the Fiduciary Defendants' were incompatible with their unbiased exercise of judgment on behalf of BRFN.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Defendants committed a breach of trust, misappropriated and converted to their own use or uses inconsistent with the purpose of the Trust, the sum of $3,620,990.12.</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Defendants assented to, or acquiesced in, conduct that they knew, or reasonably ought to have known, amounted to a breach of trust and are responsible for causing, converting and misappropriating the Trust Funds that the Defendants received, to uses inconsistent with the Trust.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all of the above, the Plaintiffs have suffered damages in the sum of $3.620.990.12.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Regarding paragraph 49, </w:t>
      </w:r>
      <w:r>
        <w:rPr>
          <w:rFonts w:ascii="arial" w:eastAsia="arial" w:hAnsi="arial" w:cs="arial"/>
          <w:color w:val="000000"/>
          <w:sz w:val="20"/>
          <w:u w:val="single"/>
          <w:lang w:val="en-US" w:eastAsia="en-US" w:bidi="ar-SA"/>
        </w:rPr>
        <w:t>there is no evidence to indicate that Mr. Alwarid was in any way subject to the Constitution of the Blueberry Trust Society</w:t>
      </w:r>
      <w:r>
        <w:rPr>
          <w:rFonts w:ascii="arial" w:eastAsia="arial" w:hAnsi="arial" w:cs="arial"/>
          <w:color w:val="000000"/>
          <w:sz w:val="20"/>
          <w:lang w:val="en-US" w:eastAsia="en-US" w:bidi="ar-SA"/>
        </w:rPr>
        <w:t xml:space="preserve">. Regarding paragraph 50(d) in the pleading, </w:t>
      </w:r>
      <w:r>
        <w:rPr>
          <w:rFonts w:ascii="arial" w:eastAsia="arial" w:hAnsi="arial" w:cs="arial"/>
          <w:color w:val="000000"/>
          <w:sz w:val="20"/>
          <w:u w:val="single"/>
          <w:lang w:val="en-US" w:eastAsia="en-US" w:bidi="ar-SA"/>
        </w:rPr>
        <w:t>Ms. Sterrett was asked in discovery whether the Plaintiffs were alleging that Mr. Alwarid was responsible for maintaining the financial books and records of any of the Plaintiffs, to which she replied, no. She gave the same negative answer concerning Mr. Alwarid for paragraphs 50(e) and 50(f)</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Regarding paragraph 50(h) and 54, </w:t>
      </w:r>
      <w:r>
        <w:rPr>
          <w:rFonts w:ascii="arial" w:eastAsia="arial" w:hAnsi="arial" w:cs="arial"/>
          <w:color w:val="000000"/>
          <w:sz w:val="20"/>
          <w:u w:val="single"/>
          <w:lang w:val="en-US" w:eastAsia="en-US" w:bidi="ar-SA"/>
        </w:rPr>
        <w:t>the Plaintiffs responded to an outstanding discovery request by advising they have no evidence of Mr. Alwarid misappropriating property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Regarding paragraph 53, </w:t>
      </w:r>
      <w:r>
        <w:rPr>
          <w:rFonts w:ascii="arial" w:eastAsia="arial" w:hAnsi="arial" w:cs="arial"/>
          <w:color w:val="000000"/>
          <w:sz w:val="20"/>
          <w:u w:val="single"/>
          <w:lang w:val="en-US" w:eastAsia="en-US" w:bidi="ar-SA"/>
        </w:rPr>
        <w:t>Mr. Alwarid was not party to, or governed by, the BRFN Governance Manual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pleading seeks relief in Part 2 jointly and severally against all the Defendants under 14 headings.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Supreme Court Rule 3-7(18) calls for particulars in claims such as this one. The sub-rule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particulars necessary</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party pleading relies on misrepresentation, fraud, breach of trust, wilful default or undue influence, or if particulars may be necessary, full particulars, with dates and items if applicable, </w:t>
      </w:r>
      <w:r>
        <w:rPr>
          <w:rFonts w:ascii="arial" w:eastAsia="arial" w:hAnsi="arial" w:cs="arial"/>
          <w:color w:val="000000"/>
          <w:sz w:val="20"/>
          <w:u w:val="single"/>
          <w:lang w:val="en-US" w:eastAsia="en-US" w:bidi="ar-SA"/>
        </w:rPr>
        <w:t>must be stated in the pleading</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Alwarid demanded particulars on December 2, 2016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Rule 3-7(18)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we require that you provide particulars of every transaction, including by date, item and amount, of every transaction involving conspiracy, fraud or breach of trust for which any of the Plaintiffs or any of them allege the Defendants Shakir Alwarid or Alwarid &amp; Associates Consulting Ltd. were involved or responsible</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responded on February 3, 2017: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Rule 3-7(20), the plaintiffs respond as follows: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allege that the following payments, individually or cumulatively, were transactions from the plaintiffs to Alwarid &amp; Associates Consulting Ltd. and its owner, Shakir Alwarid, involving conspiracy, fraud, or breach of trust: [They go on to list payments from BRFN to Alwarid &amp; Associates totalling $563,870.31.]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sum of $563,870 is simply the total of the payments the Band made to Mr. Alwarid for his work on the Band's behalf from August 2010 to December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February 4, 2017, the Alwarid Defendants wrote to the Plaintiffs asking the Plaintiffs to confirm that their claims against the Alwarid Defendants are limited to the transactions in their Response to Demand for Particulars, and do not include the balance of the transactions identified in the Amended Notice of Civil Claim. The text of the request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clients go on to identify transactions totaling about $563,870.31 paid to Alwarid &amp; Associates Consulting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we correct in interpreting this as meaning that the Plaintiffs are not alleging that Mr. Alwarid and Alwarid &amp; Associates Consulting Ltd. were involved in or responsible for transactions other than those expressly listed in the Response to our clients' Demand for Particulars?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need clarity on this point because the Response to Demand for Particulars appears to represent a significant change in the allegations made against our clients. The Amended Notice of Civil Claim contains sweeping allegations that all Defendants (including our clients) were party to and responsible for conspiracy, fraud and breach of trust relating the global sum of $3,620,990.12. However, the Response to our clients' Demand for Particulars only alleges about $563,870.31 in transactions to Mr. Alwarid or Alwarid &amp; Associates Consulting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that our clients understand which damages figure is being claimed as against them. The difference between the two is obviously significant.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Plaintiffs are still alleging that our clients were somehow involved in or responsible for transactions other than the ones you have identified as being from the plaintiffs to Mr. Alwarid or Alwarid &amp; Associates Consulting Ltd., then we still require particulars of those other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failed to respond despite several follow-up requests.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 discovery of Ms. Sterrett, as the authorized representative of all the Plaintiffs, the issue was raised again, and was left with her as an information request, answered as follows:</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plaintiffs are suggesting that Alwarid &amp; Associates or Mr. Alwarid received any portion of the $3,628,990.12, beyond what is set out in this Response to Demand for Particulars, then identify which amounts and dates of transfer (page 90)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currently know of only the $563,870.31 that is set out in the Response to Demand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those circumstances, I am restricting the Plaintiffs' claim against Alwarid to $563,870. I should add that there is no evidence that Mr. Alwarid ever sought or obtained any money apart from the $563,870.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summary above contains the full exchange regarding particulars in this case. Notwithstanding the obligatory nature of Supreme Court Rule 3-7(18), quoted earlier, the Plaintiffs have never particularized any of the wrongdoing they have alleged against Mr. Alwarid. Mr. Alwarid did not bring an application to strike portions of the Amended Notice of Civil Claim for want of particulars. Instead, in this application, he simply points to the absence of any particulars against him, either in the pleading, in formal particulars, or in the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FACTS, INCLUDING THE MNP REPORT,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case against Alwarid is largely, if not entirely, based on a document called the MNP Report, the Plaintiffs' discovery of Mr. Alwarid, and, to a lesser extent, if at all, the transcript of a phone call to Mr. Alwarid by an MNP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said little in the summary trial about how their claim arose. The balance of this paragraph captures my understanding of what happened, but nothing in this paragraph is intended to constitute a finding of fact. It is only background. Plaintiffs' counsel said that there are two first nations within the Band. The inference to be drawn was that there is some tension within the Band as a result, but that point was not made clear. Band elections are held every two years. In the election held on December 13, 2013, three of the Defendants were voted out. They were the Chief from that time, Joseph Apsassin, and two Councillors from that time, Russell Apsassin and Malcolm Apsassin. The new Chief and Council, in place after the December 13, 2013 election, hired MNP, who are accountants based in Edmonton, to investigate all the Band's financial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purpose and scope of the MNP retainer was set out in its letter of March 4, 2014, addressed to the Band's new Chief and Council: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understand that our investigation and forensic accounting services are required in connection with concerns regarding the Client's financial activities during the period April 1, 2010 to December 31, 2013, inclusive of the Client's wholly-owned programs and businesses.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Scope of Engagement and Approach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our discussion with you, it is anticipated that this engagement will include examination of concerns of overspending, conflict of interest, mismanagement, breach of fiduciary duty, and other wrongdoing concerns with the Client's Band Office and wholly-owned Blueberry River Enterprises Inc. ("BRE"), Pink Mountain Ranch Guiding &amp; Outfitting ("Pink Mtn"), and Blueberry Trust Society ("BTS"). The scope of the work will be defined further as the engagement progresses.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MNP Report was submitted on March 12, 2015. The Report traced the flow of funds, in the millions of dollars, from the Trust into the Band's general account or other accounts controlled by one or more of the Band member Defendants. (In the Band's governance structure, the directors of the Trust are the Band's Chief and Councillors, or some of its Councillors, in place at any particular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Perhaps needless to say, Mr. Alwarid was never a director of the Trust, a Councillor, or a Band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Band's thesis in this lawsuit is that all the Defendants conspired, and committed the other pleaded torts, to wrongly take $3,628,990 out of the Trust and spend it, contrary to the provisions in the Band's 27-page Declaration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amount of $3,628,990 is the result of the work summarized in the MNP Report. MNP determined that $3,628,990 came out of the Trust and went into the Band's general account or other accounts controlled by one or more of the Defendant Band members. MNP also determined that the Defendants, taken as a whole, received $3,628,990. However, that is really all that MNP did. </w:t>
      </w:r>
      <w:r>
        <w:rPr>
          <w:rFonts w:ascii="arial" w:eastAsia="arial" w:hAnsi="arial" w:cs="arial"/>
          <w:color w:val="000000"/>
          <w:sz w:val="20"/>
          <w:u w:val="single"/>
          <w:lang w:val="en-US" w:eastAsia="en-US" w:bidi="ar-SA"/>
        </w:rPr>
        <w:t>MNP did not purport to conduct a forensic investigation to determine if any of the money left the Trust in violation of the Declaration of Trust or as a result of any of the torts which are alleged in the pleading. It is therefore perhaps unnecessary to add, MNP made no effort to determine who did what among all or any of the Defendants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Taking Mr. Alwarid as an example, all that the MNP Report showed was that at times in the August 18, 2010 to December 31, 2013 period, Mr. Alwarid received out of the Band's </w:t>
      </w:r>
      <w:r>
        <w:rPr>
          <w:rFonts w:ascii="arial" w:eastAsia="arial" w:hAnsi="arial" w:cs="arial"/>
          <w:color w:val="000000"/>
          <w:sz w:val="20"/>
          <w:u w:val="single"/>
          <w:lang w:val="en-US" w:eastAsia="en-US" w:bidi="ar-SA"/>
        </w:rPr>
        <w:t>general account</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not out of the Trust</w:t>
      </w:r>
      <w:r>
        <w:rPr>
          <w:rFonts w:ascii="arial" w:eastAsia="arial" w:hAnsi="arial" w:cs="arial"/>
          <w:color w:val="000000"/>
          <w:sz w:val="20"/>
          <w:lang w:val="en-US" w:eastAsia="en-US" w:bidi="ar-SA"/>
        </w:rPr>
        <w:t>) $563,870, the amount he had invoiced the Band for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MNP never investigated Mr. Alwarid or his conduct in any way. (It had one phone call with him, on the eve of releasing its report, which I will refer to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MNP never examined or assessed the extensive work Mr. Alwarid did to earn the $563,870, in order to determine whether the work was done satisfactorily and for good value. (Mr. Alwarid filed the affidavits of the Band Chief, the Band Administrator and the Executive Assistant to the Chief and Band Council in place when Mr. Alwarid did his work for the Band. Their evidence is uncontradicted in describing the high quality and value of Mr. Alwarid's work in the 2010-2013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Significantly, MNP never attempted to determine how much money Mr. Alwarid raised for the Band in 2010-2013, or when he raised it. </w:t>
      </w:r>
      <w:r>
        <w:rPr>
          <w:rFonts w:ascii="arial" w:eastAsia="arial" w:hAnsi="arial" w:cs="arial"/>
          <w:color w:val="000000"/>
          <w:sz w:val="20"/>
          <w:u w:val="single"/>
          <w:lang w:val="en-US" w:eastAsia="en-US" w:bidi="ar-SA"/>
        </w:rPr>
        <w:t>As against his total fees of $563,870, plus a final relatively small invoice, Mr. Alwarid brought in for the Band approximately $7.1 million from the parties with whom he negotiated on the Band's behalf</w:t>
      </w:r>
      <w:r>
        <w:rPr>
          <w:rFonts w:ascii="arial" w:eastAsia="arial" w:hAnsi="arial" w:cs="arial"/>
          <w:color w:val="000000"/>
          <w:sz w:val="20"/>
          <w:lang w:val="en-US" w:eastAsia="en-US" w:bidi="ar-SA"/>
        </w:rPr>
        <w:t xml:space="preserve">. (That figure would be considerably larger if the new Band leaders, elected in December 2013, had not cancelled other third-party agreements Mr. Alwarid had also negotiated for the Band.) All of that money came to the Band before it started this lawsuit. The above is relevant given clauses 2.4, 3.1 and 3.2 in the Agreement, quoted above at para. [6] of these reasons. </w:t>
      </w:r>
      <w:r>
        <w:rPr>
          <w:rFonts w:ascii="arial" w:eastAsia="arial" w:hAnsi="arial" w:cs="arial"/>
          <w:color w:val="000000"/>
          <w:sz w:val="20"/>
          <w:u w:val="single"/>
          <w:lang w:val="en-US" w:eastAsia="en-US" w:bidi="ar-SA"/>
        </w:rPr>
        <w:t>Moreover, the evidence shows that Mr. Alwarid had brought in approximately $2 million to the Band from third parties BEFORE the first of the money from the Trust, approximately $76,000, was paid into the Band's general account</w:t>
      </w:r>
      <w:r>
        <w:rPr>
          <w:rFonts w:ascii="arial" w:eastAsia="arial" w:hAnsi="arial" w:cs="arial"/>
          <w:color w:val="000000"/>
          <w:sz w:val="20"/>
          <w:lang w:val="en-US" w:eastAsia="en-US" w:bidi="ar-SA"/>
        </w:rPr>
        <w:t>. Unfortunately, MNP was not asked to, and did not, examine that point in its Report. (The first Trust money, $76,407, did not enter the Band's general account until late June of 2012, long after Mr. Alwarid had begun his work and had been sending his monthly invoices, for which he was being paid. Mr. Alwarid had brought in $2 million from third parties in the course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examined Mr. Alwarid in discovery for the first time on the eve of this hearing, on April 6 and 7, 2018. They read in many of his answers as part of their case on these applications. Speaking generally, I am of the view that the Alwarid discovery evidence read in did not strengthen the Plaintiffs' case but did contain evidence supportive of Mr. Alwarid's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next several paragraphs of these reasons, [44]--[48], summarize the Alwarid discovery evidence submitted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2002-2004, Mr. Alwarid worked for the Band as an independent contractor, primarily in negotiating with industry and governments to reach agreements concerning oil and gas, and forestry rights. He also served as a general advisor to the Chief and Council at that time. (I note that Mr. Alwarid's role in 2010-2013 evolved in the same way, from negotiating only to negotiating and also giving the Chief and Council general advice.) In his role as an advisor in 2002-2004, Mr. Alwarid advised the Band on budgeting and planning. He was aware of the Band's Trust in 2002-2004. He was not employed to work for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2010, it was the Chief who hired Mr. Alwarid. He was hired pursuant to the Agreement referred to in para. [6] of these reasons. Each month, to receive payments, Mr. Alwarid faxed his invoices to the BRFN Finance Officer, Ron Paracuelles, and they were paid, apart from the final invoice (which is the subject of the Alwarid counterclaim). The Agreement did not allow for a 2% charge as an expense component, but the Band agreed to pay it. (I add that portion from the discovery evidence because, in oral submissions, the Band sought to make an issue of Mr. Alwarid charging for expenses in a manner not set out or contemplated in the Agreement. The fact is that both sides to the Agreement, the Band and Mr. Alwarid, were apparently content to make that small adjustment in how Mr. Alwarid was compensated for his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2010-2013, Mr. Alwarid was not made aware of the Band's internal processes for reviewing his accounts before they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in 2002-2004, in 2010-2013, Mr. Alwarid gave advice on budgeting issues in addition to negotiating for the Band with third parties. As he testified in discovery, </w:t>
      </w:r>
      <w:r>
        <w:rPr>
          <w:rFonts w:ascii="arial" w:eastAsia="arial" w:hAnsi="arial" w:cs="arial"/>
          <w:color w:val="000000"/>
          <w:sz w:val="20"/>
          <w:u w:val="single"/>
          <w:lang w:val="en-US" w:eastAsia="en-US" w:bidi="ar-SA"/>
        </w:rPr>
        <w:t>he did not become involved in the operation of the Trust. He was on the periphery of Trust issues. He testified that Band members were saying that the Trust was being wasted, and he told the Chief and the Council not to be wasteful of the Trust money. He told them of his concern that they were not complying with the Trust</w:t>
      </w:r>
      <w:r>
        <w:rPr>
          <w:rFonts w:ascii="arial" w:eastAsia="arial" w:hAnsi="arial" w:cs="arial"/>
          <w:color w:val="000000"/>
          <w:sz w:val="20"/>
          <w:lang w:val="en-US" w:eastAsia="en-US" w:bidi="ar-SA"/>
        </w:rPr>
        <w:t xml:space="preserve">. Because of that concern, Mr. Alwarid located a solicitor, a Mr. Roger Smith, and caused him to be retained in order to legally advise the Chief and Council about the Trust. (The Band followed that advice and retained Smith.) Mr. Alwarid told Mr. Smith of the Trust problem and he, Smith, reported to the Chief and the Councillors. </w:t>
      </w:r>
      <w:r>
        <w:rPr>
          <w:rFonts w:ascii="arial" w:eastAsia="arial" w:hAnsi="arial" w:cs="arial"/>
          <w:color w:val="000000"/>
          <w:sz w:val="20"/>
          <w:u w:val="single"/>
          <w:lang w:val="en-US" w:eastAsia="en-US" w:bidi="ar-SA"/>
        </w:rPr>
        <w:t>Mr. Alwarid had never seen the Trust documents which were shown to him in his discovery. Mr. Alwarid repeated, later in his discovery, that he formed the view that the Trust was wasted and misused, and added that Roger Smith, the lawyer he brought in, warned the Band about the misuse of Trust money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t>
      </w:r>
      <w:r>
        <w:rPr>
          <w:rFonts w:ascii="arial" w:eastAsia="arial" w:hAnsi="arial" w:cs="arial"/>
          <w:color w:val="000000"/>
          <w:sz w:val="20"/>
          <w:u w:val="single"/>
          <w:lang w:val="en-US" w:eastAsia="en-US" w:bidi="ar-SA"/>
        </w:rPr>
        <w:t>Mr. Alwarid further testified in discovery that he was against the Band paying its expenses out of Trust funds. He told them that was wrong, the auditor told them that was wrong and Roger Smith told them that was wrong</w:t>
      </w:r>
      <w:r>
        <w:rPr>
          <w:rFonts w:ascii="arial" w:eastAsia="arial" w:hAnsi="arial" w:cs="arial"/>
          <w:color w:val="000000"/>
          <w:sz w:val="20"/>
          <w:lang w:val="en-US" w:eastAsia="en-US" w:bidi="ar-SA"/>
        </w:rPr>
        <w:t>. (It is common ground that Mr. Alwarid never held any position in the Trust.) Later in the discovery, Mr. Alwarid pointed out that he had very little knowledge about the Trust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emphasize that the Plaintiffs read in as part of their case all of Mr. Alwarid's discovery evidence I have summarized above at paras. [44]--[48]. Only the portions in brackets in those paragraphs are my own additions. In my view, the Alwarid discovery evidence is damaging to the Plaintiffs' case. It accords entirely with what Mr. Alwarid said on his own behalf in his own affidavits. From the discovery evidence adopted by the Plaintiffs, not only was Mr. Alwarid not party to any breach of trust, conspiracy or breach of fiduciary duty; by contrast, he told the Chief and Council that the Trust should not be used for Band expenses and he caused a solicitor to come in who gave the Band concurring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mentioned earlier that the only other component of the Plaintiffs' case against Mr. Alwarid was a phone call between him and an MNP employee on February 23, 2015, about three weeks before MNP published its voluminous Report on March 12, 2015. (The MNP employee did not tell Mr. Alwarid that she was taping their phone call. As Mr. Alwarid said in his discovery evidence, he had not been paid his final invoice at the time of the call and may have been exaggerating somewhat when he spoke with her. The better description would be that he was rather outspoken in the call.) Mr. Alwarid did not implicate himself in any way, directly or indirectly, during the phone call. To the extent the call could be viewed as being relevant, Mr. Alwarid exonerated himself. He was highly critical of the Band's processes, or lack of them, for evaluating, planning and budgeting. He told the MNP employee of his concern about the Trust, and how it was being used improperly. He told her that Roger Smith warned the Band about the Trust. He gave MNP Smith's phone number. Incidentally, the phone call transcript goes on to set out in considerable detail the successful negotiation work Mr. Alwarid did on the Band's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There is nothing further to the Plaintiffs' case against Mr. Alwarid. I do not see any case against him. He was a capable and successful negotiator on the Band's behalf in 2002-2004 and 2010-2013. In 2010-2013, he raised $7.1 million for the Band. As noted before, there would have been more money, but the new Band leaders cancelled the relevant agreements. In both periods, Mr. Alwarid's work expanded at the Band's request to include his advice in various matters. He was paid at his agreed hourly rate, except that the Plaintiffs refused to pay him his final invoice of $4,355 after the changing of the guard at the Band. I believe Mr. Alwarid has been dragged into a political fight between former and present Band leaders, when he is innocent.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Before turning to the law and to the suitability-for-summary-trial analysis, I will refer at least summarily to Mr. Alwarid's own evidence. Following is a summary of the evidence in the affidavits of the former Chief and two former Band staff which Mr. Alwarid tendered as part of his case. (The Plaintiffs elected to cross-examine none of these witnesses on their affidavits, and tendered no opposing affidavit evidence.) To summarize the evidence of the three witnesses, I am adopting below the written submissions by Mr. Alwarid's counsel, which accurately summarize their affidavits: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Joseph Apsassin</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not challenged former Chief Joseph Apsassin's evidence.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Apsassin was duly elected Chief of BRFN between December 2009 and December 2013. While Chief he was also a duly appointed Trustee of the Trust and a director of BRE-BC.</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confirms that the Alwarid Defendants had previously provided consulting services to BRFN between 2002 and 2004. He was Chief at that time. He worked closely with Mr. Alwarid and developed a strong, positive, constructive working relationship with him. Mr. Alwarid proved himself to be extremely knowledgeable, experienced and hardworking. Invoices for services performed at the time were accepted and paid. He was satisfied with the services provided.</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2010 he approached Mr. Alwarid to inquire about the Alwarid Defendants again providing consulting services to BRFN. This led to the Consulting Agreement. He signed on behalf of BRFN.</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is aware that Mr. Alwarid regularly had to travel to numerous locations across BC and occasionally outside BC in the course of his work for BRFN. Mr. Alwarid regularly travelled to BRFN's band office to meet with him and Councillors. Mr. Alwarid also travelled to numerous other locations on BRFN business, often accompanied by him and select Councillors for meetings and conferences related to matters Mr. Alwarid was working on. He is aware that Mr. Alwarid frequently met with representatives of entities he was negotiating with on BRFN's behalf.</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in his capacity as Chief and the majority of BRFN's Councillors were consistently satisfied with the Alwarid Defendants' efforts and results achieved on behalf of BRFN.</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reviewed Mr. Alwarid's Affidavit #1 and I confirms that: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 of entities which Mr. Alwarid indicates that he dealt with in the course of his duties for BRFN appears to be accurate.</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 of invoices attached as Exhibit "C" which the Alwarid Defendants rendered to BRFN appears to be accurate.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directly involved in many of the matters described or he discussed them with Mr. Alwarid or received contemporaneous reports from him regarding the progress being made on various matters that the Alwarid Defendants undertook for BRFN at the time.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his knowledge and observations of Mr. Alwarid's efforts for BRFN between July 2010 and December 2013, he believes that the charges in the Alwarid Defendants' accounts to BRFN fairly and accurately describe the services provided to BRFN and the hours, fees and disbursements indicated in the accounts were reasonable. It is his view that BRFN received good value for the services provided. He was and remains of the view that the Alwarid Defendants' invoices were properly due and owing by BRFN.</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of the matters described in the accounts led to agreements between BRFN and parties indicated or between the plaintiff BRE-BC and the parties indicated. Agreements were generally brought before Chief and Council and they voted on resolutions indicating whether or not we accepted them.</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or BRFN staff authorized by him as Chief and authorized by Council reviewed the accounts rendered by the Alwarid Defendants at the time, duly approved them and authorized payment of them.</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BRFN received good value for the services provided. In many instances, the parties BRFN was negotiating with were providing up front "capacity funding" to cover BRFN's costs of negotiations and costs of legal services BRFN had to incur to get advice, review and draft agreements the Alwarid Defendants were negotiating for BRFN.</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Draft agreements that the Alwarid Defendants were negotiating for BRFN with BC Hydro / BC Government would have provided generous financial and other benefits to BRFN had they been approved by BRFN's Chief and Council. The draft Reconciliation Agreement between BRFN and BC Government, for example, contemplated that BFRN would receive $1 million in "implementation funding", among other benefits.</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Alwarid was responsible for helping to bring a considerable amount of new money and other benefits into BRFN (and some through agreements assigned to BRE) through agreements he negotiated. He does not have access to BRFN or BRE-BC financial records at present, so he cannot state exactly how much. He knows that the amount considerably exceeds the amount that the Alwarid Defendants invoiced to BFRN and that BRFN paid for their services.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that Mr. Alwarid negotiated with BC Hydro / BC Government and TCPL ultimately were not approved by Chief and Council due to leadership changes arising from the 2013 Election. Had he been re-elected, it was his intention to support approval of the draft agreements the Alwarid Defendants had helped to negotiate. Unfortunately, he was not re-elected. Marvin Yahey Sr. was elected as the new Chief.</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2013 Election, the new Chief and Council rejected the BC Hydro / BC Government Site C and TCPL draft agreements that the Alwarid Defendants had been negotiating for the preceding several years. A majority of the new Council opposed the projects, including new Chief Marvin Yahey and Councillors Lisa Hotte (reelected), Wayne Yahey (re-elected) and Norma Pyle. The new Council pushed out or terminated contractors and the majority of the employees who were working for BRFN under the previous administration. The scope of this "purge" was extensive.</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Between July 2010 and the election of December 2013, he and the majority of Councillors were satisfied with and appreciated the efforts and results achieved by the Alwarid Defendants on behalf of BFRN. At no point prior to the December 2013 Election did he or the majority of Council take issue with the services that the Alwarid Defendants provided or the accounts they rendered to BFRN.</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BRFN cheques which were made payable to Alwarid &amp; Associates for services rendered were signed by persons who were authorized signatories of BRFN at the material time, after review by BRFN's Band Manager and by the Finance Director Ron Paracuelles in the normal course of their duties and after receiving Mr. Paracuelles' recommendation they be paid.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Alwarid Defendants did not have signing authority on either the BRFN bank accounts or Trust bank accounts. The payments that BRFN made or authorized to be made by others to the Alwarid Defendants were approved by me as Chief and by the majority of Council at the time, after review by the Band Manager. He considered the invoices to be properly due and payable.</w:t>
      </w:r>
    </w:p>
    <w:p>
      <w:pPr>
        <w:numPr>
          <w:numId w:val="7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majority of the payments made by BRFN directly to the Alwarid Defendants were made by cheque which had to be signed by two authorized signatories of BRFN - namely him as Chief and one other Councillor or by two Councillors. </w:t>
      </w:r>
      <w:r>
        <w:rPr>
          <w:rFonts w:ascii="arial" w:eastAsia="arial" w:hAnsi="arial" w:cs="arial"/>
          <w:b/>
          <w:color w:val="000000"/>
          <w:sz w:val="20"/>
          <w:lang w:val="en-US" w:eastAsia="en-US" w:bidi="ar-SA"/>
        </w:rPr>
        <w:t>He was and remains satisfied that all payments which were made to the Alwarid Defendants were for services which fell within the scope of the Consulting Agreement or which had otherwise been requested by him in my capacity as Chief and by authorized Councillors</w:t>
      </w:r>
      <w:r>
        <w:rPr>
          <w:rFonts w:ascii="arial" w:eastAsia="arial" w:hAnsi="arial" w:cs="arial"/>
          <w:color w:val="000000"/>
          <w:sz w:val="20"/>
          <w:lang w:val="en-US" w:eastAsia="en-US" w:bidi="ar-SA"/>
        </w:rPr>
        <w:t>.</w:t>
      </w:r>
    </w:p>
    <w:p>
      <w:pPr>
        <w:numPr>
          <w:numId w:val="7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Alwarid Defendants were independent contractors as set out in the Consulting Agreement. They were working with designated representatives identified by the Chief and Council and/or lawyers and other professionals working on the various projects and matters that BRFN requested they work on. The Alwarid Defendants had no authority to make decisions regarding issuance of cheques or payment of Alwarid &amp; Associates invoices.</w:t>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Alwarid Defendants received payment from BRFN or from others on its behalf for all of the invoices attached as Exhibit "C" to Mr. Alwarid's Affidavit except for Invoice 15-060 dated January 21, 2014 for the sum of $4,355.49. He confirms that it relates to work that he as Chief and that Council as it was composed before the 2013 Election requested the Alwarid Defendants perform. It is his view that BRFN should have paid the Alwarid Defendants the amount indicated in the invoice.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David Laird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not challenged Mr. Laird's evidence.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Laird was BRFN Band Administrator between 2011 and 2013. The Alwarid Defendants were already engaged as consultants when he started. He continued to work regularly with Mr. Alwarid until approximately mid-December 2013 on BRFN business.</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Alwarid primarily worked directly with BRFN's Chief and designated Councillors. Mr. Laird was frequently asked to and did take part in meetings and phone conversations that Council had with Mr. Alwarid. As the senior administrator attending Council Meetings, he regularly received and reviewed progress reports and draft agreements Mr. Alwarid was negotiating and was involved in Chief and Council's reviews of those, their deliberations about whether to make counter-offers or to consider resolutions on whether to accept agreements negotiated by the Alwarid Defendants or to pass them along to the Plaintiff BRE-BC.</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received and reviewed the accounts the Alwarid Defendants issued to BRFN. BRFN's Finance Director, </w:t>
      </w:r>
      <w:r>
        <w:rPr>
          <w:rFonts w:ascii="arial" w:eastAsia="arial" w:hAnsi="arial" w:cs="arial"/>
          <w:b/>
          <w:color w:val="000000"/>
          <w:sz w:val="20"/>
          <w:lang w:val="en-US" w:eastAsia="en-US" w:bidi="ar-SA"/>
        </w:rPr>
        <w:t>Ron Paracuelles</w:t>
      </w:r>
      <w:r>
        <w:rPr>
          <w:rFonts w:ascii="arial" w:eastAsia="arial" w:hAnsi="arial" w:cs="arial"/>
          <w:color w:val="000000"/>
          <w:sz w:val="20"/>
          <w:lang w:val="en-US" w:eastAsia="en-US" w:bidi="ar-SA"/>
        </w:rPr>
        <w:t>, was the person within BRFN responsible for reviewing and approving them and recommending to Chief and Council whether they ought to be paid.</w:t>
      </w:r>
    </w:p>
    <w:p>
      <w:pPr>
        <w:numPr>
          <w:numId w:val="8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course of his duties he became aware, directly or indirectly, of more or less all of the work that the Alwarid Defendants did for BRFN between about March 2011 and December 2013.</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BRFN's Executive Assistant to Chief and Council, Danielle Talbot, was the person primarily responsible for maintaining BRFN's records relating to the work the Alwarid Defendants were doing for BRFN, including keeping copies of their accounts to BRFN and for keeping files on the various parties BRFN was negotiating and contracting with. A second copy of the accounts that the Alwarid Defendants rendered to BRFN were also kept in BRFN's accounting office. </w:t>
      </w:r>
      <w:r>
        <w:rPr>
          <w:rFonts w:ascii="arial" w:eastAsia="arial" w:hAnsi="arial" w:cs="arial"/>
          <w:b/>
          <w:color w:val="000000"/>
          <w:sz w:val="20"/>
          <w:lang w:val="en-US" w:eastAsia="en-US" w:bidi="ar-SA"/>
        </w:rPr>
        <w:t>He was aware of this established practice as well as aware of the in-flow of funds that were coming to BRFN from time to time as a result of the Alwarid Defendants' efforts</w:t>
      </w:r>
      <w:r>
        <w:rPr>
          <w:rFonts w:ascii="arial" w:eastAsia="arial" w:hAnsi="arial" w:cs="arial"/>
          <w:color w:val="000000"/>
          <w:sz w:val="20"/>
          <w:lang w:val="en-US" w:eastAsia="en-US" w:bidi="ar-SA"/>
        </w:rPr>
        <w: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Alwarid regularly had to travel to numerous locations across BC and occasionally outside BC in the course of the work the Alwarid Defendants were doing for BRFN. Mr. Alwarid was very popular with many band members. Whenever he visited the BRFN's band office, it generated considerable excitement. He was treated with respect by most of the BRFN leadership and he treated them with respect in return. The band occasionally put on large lunches when he visited which were open to everyone in the community. He also travelled to numerous other locations, often accompanied by the Chief and select Councillors for meetings and conferences related to matters he was working on for BRFN. He frequently met with representatives of entities he was negotiating with on BRFN's behalf.</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Chief and majority of BRFN's Councillors consistently expressed satisfaction with the Alwarid Defendants' efforts and results they achieved on behalf of BRFN.</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reviewed Alwarid #1 and confirms that the list of entities which Mr. Alwarid indicates that he dealt with in the course of his duties for BRFN appears accurate. The list of invoices the Alwarid Defendants rendered to BRFN appears accurate.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his observations of Mr. Alwarid's efforts for BRFN between March 2011 and December 2013, he believe that the charges in the Alwarid Defendants' accounts rendered to BRFN during that period fairly and accurately describe the services provided to BRFN during that period and that the hours, fees and disbursements indicated in the accounts were reasonable. It is his view that BRFN received good value for the services that the Alwarid Defendants provided. He was and remains of the view that the Alwarid Defendants' invoices were properly due and owing by BRFN.</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Draft agreements that the Alwarid Defendants were negotiating for BRFN with BC Hydro / BC Government would have provided generous financial and other benefits to BRFN had they been approved by Chief and Council. The draft Reconciliation Agreement between BRFN and BC Government, for example, contemplated that BFRN would receive $1 million in "implementation funding", among other benefits. BFRN was also given "capacity funding" for negotiations. This paid BRFN's costs for the Alwarid Defendants' services as lead negotiator and the cost of legal counsel to review and comment on draft agreements. BRFN did not actually have to pay from its own funds for a significant portion of the sums paid to the Alwarid Defendants during the 2010 - 2013 period.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Alwarid was responsible for helping to bring a considerable amount of new money and other benefits into BRFN (and some through agreements assigned to BRE-BC) through agreements he negotiated for BRFN. He does not have access to BRFN or BRE-BC financial records at present, so he cannot state exactly how much. He believes that the amount considerably exceeded the amount that the Alwarid Defendants invoiced to BFRN and that BRFN paid for their services.</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that Mr. Alwarid negotiated with BC Hydro / BC Government and TCPL ultimately were not approved by Chief and Council due to changes arising from the 2013 Election. His understanding from his discussions and interactions with Chief and Council was that the majority of Council prior to the 2013 Election Council supported the draft agreements the Alwarid Defendants had helped to negotiate.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my discussions and observations of BRFN's Chief and the majority of Council between March 2011 and December 2013, the majority were fully satisfied with and greatly appreciated the efforts and results achieved by the Alwarid Defendants on behalf of BFRN at that time.</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the Alwarid Defendants have signing authority on either the BRFN bank accounts or Trust bank accounts.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BRFN cheques which were made payable to Alwarid &amp; Associates in payment of invoices for services rendered were signed by persons who were authorized signatories of BRFN at the material time, after review by BRFN's Finance Director Ron Paracuelles in the normal course of his duties and after receiving his recommendation they be paid.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Danielle Talbot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not challenged Ms. Talbot's evidence.</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former Executive Assistant to the Chief and Council of BRFN. She worked for BRFN between about 2005 and 2013, for eight years and through four Councils. Her position and duties did not change except for a period of about 6 months during which she was also briefly Acting Band Manager (prior to 2010). She left her position with BRFN effective December 13, 2013.</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duties included all manner of Executive Assistant and administrative duties for Chief and Council members. She attended formal meetings of Chief and Council to take minutes, made travel arrangements for Chief and Council members, received and sent correspondence and she maintained files for various matters in which BRFN was involved.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about mid-2010 to December 2013, the Alwarid Defendants were consultants who worked with BRFN under the direction of Chief and Council as its Chief Negotiator with numerous government agencies, crown corporations and private businesses.</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course of her duties for BRFN, she worked closely with Mr. Alwarid. She had frequent telephone and email communications with him. She occasionally made travel arrangements for him and coordinated those with travel arrangements for Chief, Council members and BRFN staff.</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received some of Alwarid &amp; Associates' invoices to BRFN for services rendered and directed them to appropriate personnel within BRFN for consideration and payment. She was responsible for creating and maintaining files and correspondence for some of the agreements negotiated by or with the assistance of Mr. Alwarid. She was not responsible for administering or paying the invoices. From time to time she received correspondence from Mr. Alwarid requesting assistance to get overdue invoices when the Finance Department had not responded to his requests for payment.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responsible for creating and maintaining files for the agreements negotiated by or with the assistance of Mr. Alwarid and correspondence, BRFN resolutions and the like. A related, more comprehensive set of files with all of the other agreements made or that were being negotiated or pending and awaiting completion was kept by the Band Manager. Copies of completed agreements with monetary benefits due to BRFN were kept by the Finance Department so they could monitor them and ensure BRFN received the benefits due to the band.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normal process when a new agreement negotiated by or with the assistance of the Alwarid Defendants came up for consideration was that it would be added as an agenda item at a formal meeting of Chief and Council members. If approved, a formal resolution was prepared and signed by Chief and Council members who voted in favour and the agreement would be signed. She would then add the Resolution and Agreement to BRFN's Resolutions Binder, according to the calendar year. The approved Council meeting minutes would also have a copy of the executed agreements in them for the Chief, Council, Band Manager and Mr. Alwarid, as Chief Negotiator for BRFN, to keep in their personal files.</w:t>
      </w:r>
    </w:p>
    <w:p>
      <w:pPr>
        <w:numPr>
          <w:numId w:val="10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normally present when BRFN Chief and Council formally met to discuss and vote on matters, including matters that the Alwarid Defendants were working on and agreements they had negotiated for BRFN. She was not present for matters which Chief and Council occasionally referred to the Plaintiff BRE-BC and is board of directors. BRE-BC had its own separate administrative assistant.</w:t>
      </w:r>
    </w:p>
    <w:p>
      <w:pPr>
        <w:numPr>
          <w:numId w:val="10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reviewed Alwarid #1 and confirms that his list of negotiations and agreements as set out in paragraphs 31 to 35 inclusive of his affidavit appear to be accurate.</w:t>
      </w:r>
    </w:p>
    <w:p>
      <w:pPr>
        <w:numPr>
          <w:numId w:val="10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her observations of the amount of time and energy that she observed Mr. Alwarid put into his work for BRFN and based on the results and the results he was able to achieve for BRFN, it appeared to her that Mr. Alwarid was consistently dedicated and diligent in the services he provided and he appeared to achieve good results for BRFN.</w:t>
      </w:r>
    </w:p>
    <w:p>
      <w:pPr>
        <w:numPr>
          <w:numId w:val="10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comments she heard from Chief and most Council members from time to time, they appeared to be satisfied with Mr. Alwarid's efforts and performance and continued to request his services up to the change of leadership in the 2013 Election.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Before turning to the applicable law governing Mr. Alwarid's liability, I briefly summarize his counterclaim. Mr. Alwarid claims $4,355. It is simply his final invoice to the Band for his final work in 2013. It remains unpaid because by the time it would have been processed, the new Band leadership was in place. It appears from the evidence that Mr. Alwarid accidentally double-charged for two disbursements on that invoice. The two accidental double-charges total $377. Mr. Alwarid's counterclaim of $4,355 is allowed, subject to being reduced by $377, resulting in his counterclaim being allowed at $3,978.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RELATED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Plaintiffs did not submit a written argument, but in their oral submissions, grounded their case against Mr. Alwarid in </w:t>
      </w:r>
      <w:r>
        <w:rPr>
          <w:rFonts w:ascii="arial" w:eastAsia="arial" w:hAnsi="arial" w:cs="arial"/>
          <w:color w:val="000000"/>
          <w:sz w:val="20"/>
          <w:u w:val="single"/>
          <w:lang w:val="en-US" w:eastAsia="en-US" w:bidi="ar-SA"/>
        </w:rPr>
        <w:t>breach of fiduciary duty and conspiracy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asserting that Mr. Alwarid breached a </w:t>
      </w:r>
      <w:r>
        <w:rPr>
          <w:rFonts w:ascii="arial" w:eastAsia="arial" w:hAnsi="arial" w:cs="arial"/>
          <w:color w:val="000000"/>
          <w:sz w:val="20"/>
          <w:u w:val="single"/>
          <w:lang w:val="en-US" w:eastAsia="en-US" w:bidi="ar-SA"/>
        </w:rPr>
        <w:t>fiduciary duty</w:t>
      </w:r>
      <w:r>
        <w:rPr>
          <w:rFonts w:ascii="arial" w:eastAsia="arial" w:hAnsi="arial" w:cs="arial"/>
          <w:color w:val="000000"/>
          <w:sz w:val="20"/>
          <w:lang w:val="en-US" w:eastAsia="en-US" w:bidi="ar-SA"/>
        </w:rPr>
        <w:t xml:space="preserve">, the Plaintiffs relied primarily on </w:t>
      </w:r>
      <w:r>
        <w:rPr>
          <w:rFonts w:ascii="arial" w:eastAsia="arial" w:hAnsi="arial" w:cs="arial"/>
          <w:i/>
          <w:color w:val="000000"/>
          <w:sz w:val="20"/>
          <w:lang w:val="en-US" w:eastAsia="en-US" w:bidi="ar-SA"/>
        </w:rPr>
        <w:t>Hodgkinson v. Sims</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and in particular, para. 30 from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are very different from those at bar. Mr. Sims was a seasoned, professional investment advisor who recommended to Mr. Hodgkinson that he invest in buildings then called MURBs pursuant to a government-sponsored tax reduction incentive. Sims did not disclose to Hodgkinson that he, Sims, was in a financial relationship with the developers of the buildings. The more MURBs Sims sold to Hodgkinson, the more money he made from the developers. Four of the seven judges in the Supreme Court of Canada found that Sims owed and breached a fiduciary duty to Hodgkinson.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Paragraph 30 from the majority judgment, written by La Forest J.,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conceptual approach to fiduciary duties was given analytical structure in the dissenting reasons of Wilson J. in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p. 136, who there proposed a three-step analysis to guide the courts in identifying new fiduciary relationships. She stated that relationships in which a fiduciary obligation has been imposed are marked by the following three characteristics: (1) scope for the exercise of some discretion or power; (2) that power or discretion can be exercised unilaterally so as to effect the beneficiary's legal or practical interests; and, (3) a peculiar vulnerability to the exercise of that discretion or power. Although the majority held on the facts that there was no fiduciary obligation, Wilson J.'s mode of analysis has been followed as a "rough and ready guide" in identifying new categories of fiduciary relationships; see </w:t>
      </w:r>
      <w:r>
        <w:rPr>
          <w:rFonts w:ascii="arial" w:eastAsia="arial" w:hAnsi="arial" w:cs="arial"/>
          <w:i/>
          <w:color w:val="000000"/>
          <w:sz w:val="20"/>
          <w:lang w:val="en-US" w:eastAsia="en-US" w:bidi="ar-SA"/>
        </w:rPr>
        <w:t xml:space="preserve">Lac Minerals, </w:t>
      </w:r>
      <w:hyperlink r:id="rId76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i/>
          <w:color w:val="000000"/>
          <w:sz w:val="20"/>
          <w:lang w:val="en-US" w:eastAsia="en-US" w:bidi="ar-SA"/>
        </w:rPr>
        <w:t>, supra, per</w:t>
      </w:r>
      <w:r>
        <w:rPr>
          <w:rFonts w:ascii="arial" w:eastAsia="arial" w:hAnsi="arial" w:cs="arial"/>
          <w:color w:val="000000"/>
          <w:sz w:val="20"/>
          <w:lang w:val="en-US" w:eastAsia="en-US" w:bidi="ar-SA"/>
        </w:rPr>
        <w:t xml:space="preserve"> Sopinka J., at p. 599, and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 Forest J., at p. 646; </w:t>
      </w:r>
      <w:r>
        <w:rPr>
          <w:rFonts w:ascii="arial" w:eastAsia="arial" w:hAnsi="arial" w:cs="arial"/>
          <w:i/>
          <w:color w:val="000000"/>
          <w:sz w:val="20"/>
          <w:lang w:val="en-US" w:eastAsia="en-US" w:bidi="ar-SA"/>
        </w:rPr>
        <w:t>Canson, supra</w:t>
      </w:r>
      <w:r>
        <w:rPr>
          <w:rFonts w:ascii="arial" w:eastAsia="arial" w:hAnsi="arial" w:cs="arial"/>
          <w:color w:val="000000"/>
          <w:sz w:val="20"/>
          <w:lang w:val="en-US" w:eastAsia="en-US" w:bidi="ar-SA"/>
        </w:rPr>
        <w:t xml:space="preserve">, at p. 543; and </w:t>
      </w:r>
      <w:r>
        <w:rPr>
          <w:rFonts w:ascii="arial" w:eastAsia="arial" w:hAnsi="arial" w:cs="arial"/>
          <w:i/>
          <w:color w:val="000000"/>
          <w:sz w:val="20"/>
          <w:lang w:val="en-US" w:eastAsia="en-US" w:bidi="ar-SA"/>
        </w:rPr>
        <w:t xml:space="preserve">M. (K.) v. M. (H.), </w:t>
      </w:r>
      <w:hyperlink r:id="rId732"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pp. 63-64. Wilson J.'s guidelines constitute </w:t>
      </w:r>
      <w:r>
        <w:rPr>
          <w:rFonts w:ascii="arial" w:eastAsia="arial" w:hAnsi="arial" w:cs="arial"/>
          <w:i/>
          <w:color w:val="000000"/>
          <w:sz w:val="20"/>
          <w:lang w:val="en-US" w:eastAsia="en-US" w:bidi="ar-SA"/>
        </w:rPr>
        <w:t>indicia</w:t>
      </w:r>
      <w:r>
        <w:rPr>
          <w:rFonts w:ascii="arial" w:eastAsia="arial" w:hAnsi="arial" w:cs="arial"/>
          <w:color w:val="000000"/>
          <w:sz w:val="20"/>
          <w:lang w:val="en-US" w:eastAsia="en-US" w:bidi="ar-SA"/>
        </w:rPr>
        <w:t xml:space="preserve"> that help recognize a fiduciary relationship rather than ingredients that define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On the facts at bar, Mr. Alwarid was never given the scope for the exercise of some discretion or power. He had no power over the Trust for example. He could not, and did not, attempt to vote in the Trust. Nor did he ever encourage others to do so. To the contrary, as seen above. In any event, any power Mr. Alwarid did have could not be exercised unilaterally so as to affect the Band's legal or practical interests. The absence of any peculiar vulnerability to him on the part of the Chief and Council is apparent in that they ignored his advice, and that of Mr. Smith, the lawyer, in telling the Band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to use the Trust monies. Counsel for the Plaintiffs alluded to Band members being generally vulnerable, but I note from the MNP Report that the Band spent $788,000 on lawyers in the 2010-2013 period. That likely included payment to Roger Smith, who tried to help the Band do the right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short, none of Wilson J.'s three characteristics of a fiduciary relationship, as seen above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xml:space="preserve">, are present on the facts of this case. (The only place in the factual matrix from which Mr. Alwarid could be a fiduciary, and I make no finding on the point, would be in his work for the Band negotiating with governments, energy companies,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 xml:space="preserve">. However, no complaint is made against him related to that work, understandably. As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2009 SCC 48</w:t>
        </w:r>
      </w:hyperlink>
      <w:r>
        <w:rPr>
          <w:rFonts w:ascii="arial" w:eastAsia="arial" w:hAnsi="arial" w:cs="arial"/>
          <w:color w:val="000000"/>
          <w:sz w:val="20"/>
          <w:lang w:val="en-US" w:eastAsia="en-US" w:bidi="ar-SA"/>
        </w:rPr>
        <w:t>, makes clear, the existence of fiduciary responsibilities in one aspect of a relationship are not simply transferable to other aspects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 xml:space="preserve"> also makes clear that fiduciary duties are to be imposed only on those who had expressly or impliedly undertaken them. Fiduciary relationships do not arise out of thin air. There is nothing in the facts of this case to indicate that Mr. Alwarid ever became a fiduciary of the Band insofar as its Trust monies are concerned. Certainly, he was not a fiduciary or trustee expressly. Nor was he impliedly. There is no evidence to suggest that. He was simply an advisor, albeit one who was not listened to on the relevant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As noted above, the Plaintiffs frame their alternative argument against Mr. Alwarid in </w:t>
      </w:r>
      <w:r>
        <w:rPr>
          <w:rFonts w:ascii="arial" w:eastAsia="arial" w:hAnsi="arial" w:cs="arial"/>
          <w:color w:val="000000"/>
          <w:sz w:val="20"/>
          <w:u w:val="single"/>
          <w:lang w:val="en-US" w:eastAsia="en-US" w:bidi="ar-SA"/>
        </w:rPr>
        <w:t>conspiracy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Plaintiffs began that argument with the description of conspiracy found in </w:t>
      </w:r>
      <w:r>
        <w:rPr>
          <w:rFonts w:ascii="arial" w:eastAsia="arial" w:hAnsi="arial" w:cs="arial"/>
          <w:i/>
          <w:color w:val="000000"/>
          <w:sz w:val="20"/>
          <w:lang w:val="en-US" w:eastAsia="en-US" w:bidi="ar-SA"/>
        </w:rPr>
        <w:t>Cement LaFarge</w:t>
      </w:r>
      <w:r>
        <w:rPr>
          <w:rFonts w:ascii="arial" w:eastAsia="arial" w:hAnsi="arial" w:cs="arial"/>
          <w:color w:val="000000"/>
          <w:sz w:val="20"/>
          <w:lang w:val="en-US" w:eastAsia="en-US" w:bidi="ar-SA"/>
        </w:rPr>
        <w:t xml:space="preserve">, as quoted and discussed by the Alberta Court of Appeal at paras. 19-25 in </w:t>
      </w:r>
      <w:r>
        <w:rPr>
          <w:rFonts w:ascii="arial" w:eastAsia="arial" w:hAnsi="arial" w:cs="arial"/>
          <w:i/>
          <w:color w:val="000000"/>
          <w:sz w:val="20"/>
          <w:lang w:val="en-US" w:eastAsia="en-US" w:bidi="ar-SA"/>
        </w:rPr>
        <w:t>D'Agnone v. D'Agnone</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2017 ABCA 35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Appeal of finding of civil conspiracy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tort of conspiracy requires the defendants to have an agreement to engage in a course of conduct with the predominant purpose of injuring the plaintiff, or if the conduct of the defendants is unlawful, to have acted knowingly or having ought to have known that injury to the plaintiff is likely to result: </w:t>
      </w:r>
      <w:r>
        <w:rPr>
          <w:rFonts w:ascii="arial" w:eastAsia="arial" w:hAnsi="arial" w:cs="arial"/>
          <w:i/>
          <w:color w:val="000000"/>
          <w:sz w:val="20"/>
          <w:lang w:val="en-US" w:eastAsia="en-US" w:bidi="ar-SA"/>
        </w:rPr>
        <w:t>Cement LaFarge v BC Lightweight Aggregate</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Cement LaFarge</w:t>
      </w:r>
      <w:r>
        <w:rPr>
          <w:rFonts w:ascii="arial" w:eastAsia="arial" w:hAnsi="arial" w:cs="arial"/>
          <w:color w:val="000000"/>
          <w:sz w:val="20"/>
          <w:lang w:val="en-US" w:eastAsia="en-US" w:bidi="ar-SA"/>
        </w:rPr>
        <w:t>, the court acknowledged that "the scope of the tort of conspiracy is far from clear", but it may be found where parties combine and effect loss in the following manner:</w:t>
      </w:r>
    </w:p>
    <w:p>
      <w:pPr>
        <w:numPr>
          <w:numId w:val="10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10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Mraiche Investment Corporation v McLennan Ross LLP</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2012 ABCA 95</w:t>
        </w:r>
      </w:hyperlink>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524 AR 151</w:t>
        </w:r>
      </w:hyperlink>
      <w:r>
        <w:rPr>
          <w:rFonts w:ascii="arial" w:eastAsia="arial" w:hAnsi="arial" w:cs="arial"/>
          <w:color w:val="000000"/>
          <w:sz w:val="20"/>
          <w:lang w:val="en-US" w:eastAsia="en-US" w:bidi="ar-SA"/>
        </w:rPr>
        <w:t xml:space="preserve"> at para 40, this Court adopted the somewhat restated test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following elements must be proved:</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between two or more persons;</w:t>
      </w:r>
    </w:p>
    <w:p>
      <w:pPr>
        <w:numPr>
          <w:numId w:val="10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concerted action taken pursuant to the agreement;</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if the action is lawful there must be evidence that the conspirators intended to cause damage to the plaintiff;</w:t>
      </w:r>
    </w:p>
    <w:p>
      <w:pPr>
        <w:numPr>
          <w:numId w:val="10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unlawful, there must at least be evidence that the conspirators knew or ought to have known that their action would injure the plaintiff (constructive intent);</w:t>
      </w:r>
    </w:p>
    <w:p>
      <w:pPr>
        <w:numPr>
          <w:numId w:val="1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damage suffered by the plaintiff;</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tort of conspiracy requires an agreement that is acted on and causes injury to the plaintiff. The agreement may be inferred and need not be in any specific form, or even constitute a binding contract: Lewis 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5th ed (Toronto: Carswell, 2012) at 731. Proving an agreement to a conspiracy is often dependent on circumstantial evidence. However, to be party to a conspiracy, more than mere knowledge that a conspiracy exists is required: see GHL Fridman,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xml:space="preserve">, 3rd ed (Toronto: Carswell, 2010) at 728, citing </w:t>
      </w:r>
      <w:r>
        <w:rPr>
          <w:rFonts w:ascii="arial" w:eastAsia="arial" w:hAnsi="arial" w:cs="arial"/>
          <w:i/>
          <w:color w:val="000000"/>
          <w:sz w:val="20"/>
          <w:lang w:val="en-US" w:eastAsia="en-US" w:bidi="ar-SA"/>
        </w:rPr>
        <w:t>Western Ontario Natural Gas Company Limited v Aikens et al</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[1946] OR 661</w:t>
        </w:r>
      </w:hyperlink>
      <w:r>
        <w:rPr>
          <w:rFonts w:ascii="arial" w:eastAsia="arial" w:hAnsi="arial" w:cs="arial"/>
          <w:color w:val="000000"/>
          <w:sz w:val="20"/>
          <w:lang w:val="en-US" w:eastAsia="en-US" w:bidi="ar-SA"/>
        </w:rPr>
        <w:t xml:space="preserve"> (H Ct J). The facts of the alleged agreement must be known and intention to be part of the alleged agreement must be found: </w:t>
      </w:r>
      <w:r>
        <w:rPr>
          <w:rFonts w:ascii="arial" w:eastAsia="arial" w:hAnsi="arial" w:cs="arial"/>
          <w:i/>
          <w:color w:val="000000"/>
          <w:sz w:val="20"/>
          <w:lang w:val="en-US" w:eastAsia="en-US" w:bidi="ar-SA"/>
        </w:rPr>
        <w:t>Maguire v Calgary (City)</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1983 ABCA 121</w:t>
        </w:r>
      </w:hyperlink>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146 DLR (3d) 350</w:t>
        </w:r>
      </w:hyperlink>
      <w:r>
        <w:rPr>
          <w:rFonts w:ascii="arial" w:eastAsia="arial" w:hAnsi="arial" w:cs="arial"/>
          <w:color w:val="000000"/>
          <w:sz w:val="20"/>
          <w:lang w:val="en-US" w:eastAsia="en-US" w:bidi="ar-SA"/>
        </w:rPr>
        <w:t>. There must be intentional participation with a view to furthering the common design and purpose.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first form of civil conspiracy identified above, predominant purpose conspiracy, requires that the predominant purpose of the defendants' conduct is to cause injury to the plaintiff, using lawful or unlawful means, and that the plaintiff suffers loss caused by the defendants' conduct: see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74, </w:t>
      </w:r>
      <w:hyperlink r:id="rId776" w:history="1">
        <w:r>
          <w:rPr>
            <w:rFonts w:ascii="arial" w:eastAsia="arial" w:hAnsi="arial" w:cs="arial"/>
            <w:i/>
            <w:color w:val="0077CC"/>
            <w:sz w:val="20"/>
            <w:u w:val="single"/>
            <w:shd w:val="clear" w:color="auto" w:fill="FFFFFF"/>
            <w:lang w:val="en-US" w:eastAsia="en-US" w:bidi="ar-SA"/>
          </w:rPr>
          <w:t>[2013] 3 SCR 477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second form, unlawful means conspiracy, requires that the alleged co-conspirators do something contrary to law to further their agreement. Unlawful means have been held to include fraud, perjury and breach of court orders: see </w:t>
      </w:r>
      <w:r>
        <w:rPr>
          <w:rFonts w:ascii="arial" w:eastAsia="arial" w:hAnsi="arial" w:cs="arial"/>
          <w:i/>
          <w:color w:val="000000"/>
          <w:sz w:val="20"/>
          <w:lang w:val="en-US" w:eastAsia="en-US" w:bidi="ar-SA"/>
        </w:rPr>
        <w:t>Le Soleil Hospitality Inc. v Louie</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2011 BCCA 305</w:t>
        </w:r>
      </w:hyperlink>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308 BCAC 122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Pro-Sys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2011 BCCA 187</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331 DLR (4th) 631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third characterization of civil conspiracy includes knowing assistance in breach of trust. This requires that there be a trust, that the trustee perpetuate a dishonest and fraudulent breach of trust, and that the respondent participate in and have actual knowledge of the trustee's dishonest and fraudulent breach of trust: see </w:t>
      </w:r>
      <w:r>
        <w:rPr>
          <w:rFonts w:ascii="arial" w:eastAsia="arial" w:hAnsi="arial" w:cs="arial"/>
          <w:i/>
          <w:color w:val="000000"/>
          <w:sz w:val="20"/>
          <w:lang w:val="en-US" w:eastAsia="en-US" w:bidi="ar-SA"/>
        </w:rPr>
        <w:t>Sorrel 1985 Limited Partnership v Sorrel Resources Ltd</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2000 ABCA 256</w:t>
        </w:r>
      </w:hyperlink>
      <w:r>
        <w:rPr>
          <w:rFonts w:ascii="arial" w:eastAsia="arial" w:hAnsi="arial" w:cs="arial"/>
          <w:color w:val="000000"/>
          <w:sz w:val="20"/>
          <w:lang w:val="en-US" w:eastAsia="en-US" w:bidi="ar-SA"/>
        </w:rPr>
        <w:t xml:space="preserve"> at para 73, </w:t>
      </w:r>
      <w:hyperlink r:id="rId779" w:history="1">
        <w:r>
          <w:rPr>
            <w:rFonts w:ascii="arial" w:eastAsia="arial" w:hAnsi="arial" w:cs="arial"/>
            <w:i/>
            <w:color w:val="0077CC"/>
            <w:sz w:val="20"/>
            <w:u w:val="single"/>
            <w:shd w:val="clear" w:color="auto" w:fill="FFFFFF"/>
            <w:lang w:val="en-US" w:eastAsia="en-US" w:bidi="ar-SA"/>
          </w:rPr>
          <w:t>277 AR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at 812. The knowledge requirement for this type of liability is actual knowledge; recklessness or wilful blindness will also suffice: </w:t>
      </w:r>
      <w:r>
        <w:rPr>
          <w:rFonts w:ascii="arial" w:eastAsia="arial" w:hAnsi="arial" w:cs="arial"/>
          <w:i/>
          <w:color w:val="000000"/>
          <w:sz w:val="20"/>
          <w:lang w:val="en-US" w:eastAsia="en-US" w:bidi="ar-SA"/>
        </w:rPr>
        <w:t>Belmont Finance Corporation v Williams Furniture Ltd, (No 2)</w:t>
      </w:r>
      <w:r>
        <w:rPr>
          <w:rFonts w:ascii="arial" w:eastAsia="arial" w:hAnsi="arial" w:cs="arial"/>
          <w:color w:val="000000"/>
          <w:sz w:val="20"/>
          <w:lang w:val="en-US" w:eastAsia="en-US" w:bidi="ar-SA"/>
        </w:rPr>
        <w:t xml:space="preserve">, [1980] 1 All ER 393 at pp 130, 136; </w:t>
      </w:r>
      <w:r>
        <w:rPr>
          <w:rFonts w:ascii="arial" w:eastAsia="arial" w:hAnsi="arial" w:cs="arial"/>
          <w:i/>
          <w:color w:val="000000"/>
          <w:sz w:val="20"/>
          <w:lang w:val="en-US" w:eastAsia="en-US" w:bidi="ar-SA"/>
        </w:rPr>
        <w:t>re Montagu's Settlement Trusts</w:t>
      </w:r>
      <w:r>
        <w:rPr>
          <w:rFonts w:ascii="arial" w:eastAsia="arial" w:hAnsi="arial" w:cs="arial"/>
          <w:color w:val="000000"/>
          <w:sz w:val="20"/>
          <w:lang w:val="en-US" w:eastAsia="en-US" w:bidi="ar-SA"/>
        </w:rPr>
        <w:t xml:space="preserve">, [1987] Ch 264 at pp 271-272, 285; </w:t>
      </w:r>
      <w:r>
        <w:rPr>
          <w:rFonts w:ascii="arial" w:eastAsia="arial" w:hAnsi="arial" w:cs="arial"/>
          <w:i/>
          <w:color w:val="000000"/>
          <w:sz w:val="20"/>
          <w:lang w:val="en-US" w:eastAsia="en-US" w:bidi="ar-SA"/>
        </w:rPr>
        <w:t>Carl-Zeiss-Stiftung v Herbert Smith &amp; Co (No. 2)</w:t>
      </w:r>
      <w:r>
        <w:rPr>
          <w:rFonts w:ascii="arial" w:eastAsia="arial" w:hAnsi="arial" w:cs="arial"/>
          <w:color w:val="000000"/>
          <w:sz w:val="20"/>
          <w:lang w:val="en-US" w:eastAsia="en-US" w:bidi="ar-SA"/>
        </w:rPr>
        <w:t xml:space="preserve"> (1968), [1969] 2 All ER 367 at 379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First, as seen above at paras. [12] and [13] of these reasons, the Plaintiffs have no indication that Mr. Alwarid was involved in the facts alleged in para. 43 of the Amended Notice of Civil Claim, which is the conspiracy pleading. The evidence taken from the applications as a whole leads to the same conclusion, that Mr. Alwarid was not party to any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Paragraph 22 from </w:t>
      </w:r>
      <w:r>
        <w:rPr>
          <w:rFonts w:ascii="arial" w:eastAsia="arial" w:hAnsi="arial" w:cs="arial"/>
          <w:i/>
          <w:color w:val="000000"/>
          <w:sz w:val="20"/>
          <w:lang w:val="en-US" w:eastAsia="en-US" w:bidi="ar-SA"/>
        </w:rPr>
        <w:t>D'Agnone</w:t>
      </w:r>
      <w:r>
        <w:rPr>
          <w:rFonts w:ascii="arial" w:eastAsia="arial" w:hAnsi="arial" w:cs="arial"/>
          <w:color w:val="000000"/>
          <w:sz w:val="20"/>
          <w:lang w:val="en-US" w:eastAsia="en-US" w:bidi="ar-SA"/>
        </w:rPr>
        <w:t>, quoted above, observes that the tort of conspiracy requires an agreement that is acted on, and injures the plaintiff(s). Not only is there no evidence of any such agreement, the evidence is to the contrary, that Mr. Alwarid, and through him, the lawyer Mr. Smith, advised the Band leaders not to take any inappropriate steps with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Plaintiffs also cited </w:t>
      </w:r>
      <w:r>
        <w:rPr>
          <w:rFonts w:ascii="arial" w:eastAsia="arial" w:hAnsi="arial" w:cs="arial"/>
          <w:i/>
          <w:color w:val="000000"/>
          <w:sz w:val="20"/>
          <w:lang w:val="en-US" w:eastAsia="en-US" w:bidi="ar-SA"/>
        </w:rPr>
        <w:t>Air Canada v. M&amp;L Travel</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Gold v. Rosenberg</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[1997] 3 S.C.R. 767</w:t>
        </w:r>
      </w:hyperlink>
      <w:r>
        <w:rPr>
          <w:rFonts w:ascii="arial" w:eastAsia="arial" w:hAnsi="arial" w:cs="arial"/>
          <w:color w:val="000000"/>
          <w:sz w:val="20"/>
          <w:lang w:val="en-US" w:eastAsia="en-US" w:bidi="ar-SA"/>
        </w:rPr>
        <w:t>; to argue, as a matter of law, that Mr. Alwarid could be liable in conspiracy for offering knowing assistance to the Chief and Council in depleting the Trust. That argument, however, suffers on the facts, where it is seen that Mr. Alwarid did nothing to assist any other Defendant in this way. He was concerned that Band member Defendants may not be abiding by the Trust, which was why he brought in Roger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Plaintiffs also argued </w:t>
      </w:r>
      <w:r>
        <w:rPr>
          <w:rFonts w:ascii="arial" w:eastAsia="arial" w:hAnsi="arial" w:cs="arial"/>
          <w:color w:val="000000"/>
          <w:sz w:val="20"/>
          <w:u w:val="single"/>
          <w:lang w:val="en-US" w:eastAsia="en-US" w:bidi="ar-SA"/>
        </w:rPr>
        <w:t>unjust enrichment</w:t>
      </w:r>
      <w:r>
        <w:rPr>
          <w:rFonts w:ascii="arial" w:eastAsia="arial" w:hAnsi="arial" w:cs="arial"/>
          <w:color w:val="000000"/>
          <w:sz w:val="20"/>
          <w:lang w:val="en-US" w:eastAsia="en-US" w:bidi="ar-SA"/>
        </w:rPr>
        <w:t xml:space="preserve"> against Mr. Alwarid, but conceded that to succeed on that basis, they would first need to show either breach of fiduciary duty or conspiracy before the juristic reason could disappear for Mr. Alwarid retaining the money he was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To summarize to this point, in my view, the Plaintiffs have no case against Mr. Alwarid. The facts, stated earlier in these reasons, are against them, as is the law, summarized immediately above in this part of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To introduce this analysis, it is important in this case to recall that it is incumbent in a summary trial application for the respondent(s) to prepare properly in opposing it. I adopt here pages 22-24, paragraphs 9 and 10, in Mr. Alwarid's written argument:</w:t>
      </w:r>
      <w:r>
        <w:rPr>
          <w:rFonts w:ascii="arial" w:eastAsia="arial" w:hAnsi="arial" w:cs="arial"/>
          <w:sz w:val="20"/>
          <w:lang w:val="en-US" w:eastAsia="en-US" w:bidi="ar-SA"/>
        </w:rPr>
        <w:cr/>
      </w:r>
    </w:p>
    <w:p>
      <w:pPr>
        <w:numPr>
          <w:numId w:val="1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application for summary trial is set down, the parties are obliged to take every reasonable step to put themselves in the best position possible. </w:t>
      </w:r>
      <w:r>
        <w:rPr>
          <w:rFonts w:ascii="arial" w:eastAsia="arial" w:hAnsi="arial" w:cs="arial"/>
          <w:color w:val="000000"/>
          <w:sz w:val="20"/>
          <w:u w:val="single"/>
          <w:lang w:val="en-US" w:eastAsia="en-US" w:bidi="ar-SA"/>
        </w:rPr>
        <w:t>A party cannot, by failing to take such steps, frustrate the benefits of a summary trial process</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Everest Canadian Properties Ltd. v. Mallman</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It is trite law that where an application for summary determination under Rule 18A is set down, the parties are obliged to take every reasonable step to put themselves in the best position possible. As this court noted in </w:t>
      </w:r>
      <w:r>
        <w:rPr>
          <w:rFonts w:ascii="arial" w:eastAsia="arial" w:hAnsi="arial" w:cs="arial"/>
          <w:i/>
          <w:color w:val="000000"/>
          <w:sz w:val="20"/>
          <w:lang w:val="en-US" w:eastAsia="en-US" w:bidi="ar-SA"/>
        </w:rPr>
        <w:t>Anglo Canadian Shipping Co. v. Pulp, Paper &amp; Woodworkers of Canada, Local 8</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at 382, a party cannot, by failing to take such steps, frustrate the benefits of the summary trial process. Where the application is brought by a plaintiff, the defendant may not simply insist on a full trial in hopes that with the benefit of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'something might turn up': see </w:t>
      </w:r>
      <w:r>
        <w:rPr>
          <w:rFonts w:ascii="arial" w:eastAsia="arial" w:hAnsi="arial" w:cs="arial"/>
          <w:i/>
          <w:color w:val="000000"/>
          <w:sz w:val="20"/>
          <w:lang w:val="en-US" w:eastAsia="en-US" w:bidi="ar-SA"/>
        </w:rPr>
        <w:t>Hamilton v. Sutherland</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(1992), 68 B.C.L.R. (2d) 115</w:t>
        </w:r>
      </w:hyperlink>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[1992] 5 W.W.R. 151</w:t>
        </w:r>
      </w:hyperlink>
      <w:r>
        <w:rPr>
          <w:rFonts w:ascii="arial" w:eastAsia="arial" w:hAnsi="arial" w:cs="arial"/>
          <w:color w:val="000000"/>
          <w:sz w:val="20"/>
          <w:lang w:val="en-US" w:eastAsia="en-US" w:bidi="ar-SA"/>
        </w:rPr>
        <w:t xml:space="preserve"> (B.C.C.A.) at paras. 66-7. </w:t>
      </w:r>
      <w:r>
        <w:rPr>
          <w:rFonts w:ascii="arial" w:eastAsia="arial" w:hAnsi="arial" w:cs="arial"/>
          <w:color w:val="000000"/>
          <w:sz w:val="20"/>
          <w:u w:val="single"/>
          <w:lang w:val="en-US" w:eastAsia="en-US" w:bidi="ar-SA"/>
        </w:rPr>
        <w:t xml:space="preserve">The same is true of a plaintiff where the defence has brought the R.18A motion. In this instance, it was not realistic for Everest to hope that the Court at the summary trial would of its own volition decline to proceed because it was being asked to determine issues of dishonesty, or because the possibility of certain </w:t>
      </w:r>
      <w:r>
        <w:rPr>
          <w:rFonts w:ascii="arial" w:eastAsia="arial" w:hAnsi="arial" w:cs="arial"/>
          <w:i/>
          <w:color w:val="000000"/>
          <w:sz w:val="20"/>
          <w:u w:val="single"/>
          <w:lang w:val="en-US" w:eastAsia="en-US" w:bidi="ar-SA"/>
        </w:rPr>
        <w:t>viva voce</w:t>
      </w:r>
      <w:r>
        <w:rPr>
          <w:rFonts w:ascii="arial" w:eastAsia="arial" w:hAnsi="arial" w:cs="arial"/>
          <w:color w:val="000000"/>
          <w:sz w:val="20"/>
          <w:u w:val="single"/>
          <w:lang w:val="en-US" w:eastAsia="en-US" w:bidi="ar-SA"/>
        </w:rPr>
        <w:t xml:space="preserve"> evidence had been discussed in a different context</w:t>
      </w:r>
      <w:r>
        <w:rPr>
          <w:rFonts w:ascii="arial" w:eastAsia="arial" w:hAnsi="arial" w:cs="arial"/>
          <w:color w:val="000000"/>
          <w:sz w:val="20"/>
          <w:lang w:val="en-US" w:eastAsia="en-US" w:bidi="ar-SA"/>
        </w:rPr>
        <w:t>. [Emphasis added in these reasons on the Alwarid application.]</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Brown v. Douglas</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2011 BCCA 521</w:t>
        </w:r>
      </w:hyperlink>
      <w:r>
        <w:rPr>
          <w:rFonts w:ascii="arial" w:eastAsia="arial" w:hAnsi="arial" w:cs="arial"/>
          <w:color w:val="000000"/>
          <w:sz w:val="20"/>
          <w:lang w:val="en-US" w:eastAsia="en-US" w:bidi="ar-SA"/>
        </w:rPr>
        <w:t xml:space="preserve"> at paras 29 and 30: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 should also advert briefly to an argument made by the plaintiffs at the oral hearing of this appeal - that the summary trial judge should not have proceeded at all under R. 18A in the face of their lack of evidence as to what counsel referred to as "proof of damages". (As seen above, the phrase "evidence of quantum" would have been more accurate.) It was said that in the circumstances, the summary trial judge should have dismissed the defendants' motion for judgment and permitted the plaintiffs to address this matter on a later occasion. In this regard, the plaintiffs cited the comments of this court in </w:t>
      </w:r>
      <w:r>
        <w:rPr>
          <w:rFonts w:ascii="arial" w:eastAsia="arial" w:hAnsi="arial" w:cs="arial"/>
          <w:i/>
          <w:color w:val="000000"/>
          <w:sz w:val="20"/>
          <w:lang w:val="en-US" w:eastAsia="en-US" w:bidi="ar-SA"/>
        </w:rPr>
        <w:t>Placer Development Ltd. v. Skyline Explorations Ltd.</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where Taggart J.A. described three options available to counsel faced with an application brought against his or her client under R. 18A. These options were:</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agree that the case is an appropriate case for a summary trial and he may decide to seek judgment on the merits in favour of his client.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decide that it is a wholly inappropriate case for summary trial and he may decide to oppose the application for summary trial on the basis of material already filed and on the basis of additional material including affidavits that tend to show that the case is inappropriate for disposition under the rule.</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decide that the case is an inappropriate case for summary trial but he may decide to file affidavits and other material tending to show that while it is not an appropriate case for summary trial, if there is to be a summary trial the judgment should be in favour of his client. [At 384-5.]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went on to observe that the language of what was then R. 18A(3) - more latterly, R. 18A(11) and now R. 9-7(11) - clothes the judge with a "broad discretion" to refuse to proceed where the judge is unable to find the facts necessary to decide the issues of fact or law or if it would be unjust to decide the issues.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w:t>
      </w:r>
      <w:r>
        <w:rPr>
          <w:rFonts w:ascii="arial" w:eastAsia="arial" w:hAnsi="arial" w:cs="arial"/>
          <w:b/>
          <w:color w:val="000000"/>
          <w:sz w:val="20"/>
          <w:lang w:val="en-US" w:eastAsia="en-US" w:bidi="ar-SA"/>
        </w:rPr>
        <w:t xml:space="preserve">The authorities are clear, however, that (as counsel for the plaintiffs acknowledged at the hearing of this appeal) counsel acting on behalf of the respondent to an application for summary judgment who takes the second course described in </w:t>
      </w:r>
      <w:r>
        <w:rPr>
          <w:rFonts w:ascii="arial" w:eastAsia="arial" w:hAnsi="arial" w:cs="arial"/>
          <w:b/>
          <w:i/>
          <w:color w:val="000000"/>
          <w:sz w:val="20"/>
          <w:lang w:val="en-US" w:eastAsia="en-US" w:bidi="ar-SA"/>
        </w:rPr>
        <w:t>Placer</w:t>
      </w:r>
      <w:r>
        <w:rPr>
          <w:rFonts w:ascii="arial" w:eastAsia="arial" w:hAnsi="arial" w:cs="arial"/>
          <w:b/>
          <w:color w:val="000000"/>
          <w:sz w:val="20"/>
          <w:lang w:val="en-US" w:eastAsia="en-US" w:bidi="ar-SA"/>
        </w:rPr>
        <w:t xml:space="preserve"> "runs a risk". This is the risk that the court will not agree that the case is not appropriate for summary trial and may give judgment against his or her client</w:t>
      </w:r>
      <w:r>
        <w:rPr>
          <w:rFonts w:ascii="arial" w:eastAsia="arial" w:hAnsi="arial" w:cs="arial"/>
          <w:color w:val="000000"/>
          <w:sz w:val="20"/>
          <w:lang w:val="en-US" w:eastAsia="en-US" w:bidi="ar-SA"/>
        </w:rPr>
        <w:t xml:space="preserve">. This point was made in </w:t>
      </w:r>
      <w:r>
        <w:rPr>
          <w:rFonts w:ascii="arial" w:eastAsia="arial" w:hAnsi="arial" w:cs="arial"/>
          <w:i/>
          <w:color w:val="000000"/>
          <w:sz w:val="20"/>
          <w:lang w:val="en-US" w:eastAsia="en-US" w:bidi="ar-SA"/>
        </w:rPr>
        <w:t>Inspiration Management, supra</w:t>
      </w:r>
      <w:r>
        <w:rPr>
          <w:rFonts w:ascii="arial" w:eastAsia="arial" w:hAnsi="arial" w:cs="arial"/>
          <w:color w:val="000000"/>
          <w:sz w:val="20"/>
          <w:lang w:val="en-US" w:eastAsia="en-US" w:bidi="ar-SA"/>
        </w:rPr>
        <w:t xml:space="preserve">, where the Chief Justice observed at 214 that "There is no room in the proper construction of R. 18A for a respondent's veto." The point was also made at greater length in </w:t>
      </w:r>
      <w:r>
        <w:rPr>
          <w:rFonts w:ascii="arial" w:eastAsia="arial" w:hAnsi="arial" w:cs="arial"/>
          <w:i/>
          <w:color w:val="000000"/>
          <w:sz w:val="20"/>
          <w:lang w:val="en-US" w:eastAsia="en-US" w:bidi="ar-SA"/>
        </w:rPr>
        <w:t>Anglo Canadian Shipping Co. v. Pulp, Paper and Woodworkers of Canada, Local 8</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There a plaintiff had sued for judgment under R. 18A, giving the defendant two months' notice of its application</w:t>
      </w:r>
      <w:r>
        <w:rPr>
          <w:rFonts w:ascii="arial" w:eastAsia="arial" w:hAnsi="arial" w:cs="arial"/>
          <w:color w:val="000000"/>
          <w:sz w:val="20"/>
          <w:lang w:val="en-US" w:eastAsia="en-US" w:bidi="ar-SA"/>
        </w:rPr>
        <w:t>. The defendant did not examine the plaintiff for discovery within that period and on the day scheduled for trial, argued that it had been prevented from exploring arguments it might wish to make with respect to mitigation. The trial judge nevertheless granted judgment to the plaintiff under R. 18A and awarded damages of some $42,000. On appeal, this court rejected the defendant's argument that judgment should not have been granted. Lambert J.A. stated: [Emphasis in original.]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summary trial procedure contemplated by R. 18A cannot be open to being frustrated by one of the parties delaying the pre-trial procedures until it is too late for the summary procedure to use them effectively.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not suggesting that there was any intentional delay in this case. But it must be the case that if adequate notice is given to an opposing party that a summary trial application is going to be brought on, </w:t>
      </w:r>
      <w:r>
        <w:rPr>
          <w:rFonts w:ascii="arial" w:eastAsia="arial" w:hAnsi="arial" w:cs="arial"/>
          <w:b/>
          <w:color w:val="000000"/>
          <w:sz w:val="20"/>
          <w:u w:val="single"/>
          <w:lang w:val="en-US" w:eastAsia="en-US" w:bidi="ar-SA"/>
        </w:rPr>
        <w:t>there then falls on that party an obligation to take every reasonable step to complete as much of the pre-trial procedures as is necessary to put him into the best mastery of the facts that is reasonably possible before the summary trial proceedings are heard. He cannot, by failing to take those pre-trial procedures, frustrate the benefits of the summary trial rule</w:t>
      </w:r>
      <w:r>
        <w:rPr>
          <w:rFonts w:ascii="arial" w:eastAsia="arial" w:hAnsi="arial" w:cs="arial"/>
          <w:color w:val="000000"/>
          <w:sz w:val="20"/>
          <w:lang w:val="en-US" w:eastAsia="en-US" w:bidi="ar-SA"/>
        </w:rPr>
        <w:t>. [Emphasis added by counsel for Mr. Alwarid.]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In my opinion, it is not in this case appropriate that the judgment be set aside, on the ground that sufficient facts were not available to one of the parties to lay before the court on the summary trial application. [At 381-2.;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Those passages have application here. The Plaintiffs have taken almost no steps to move this case along, or apparently to prepare for the present applications, despite the extremely serious allegations they have brought against Mr. Alwarid and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filed their Notice of Civil Claim in March of 2015. Almost a year later, in February 2016, they amended the Notice of Civil Claim. In April 2016, all or many of the Defendants, in four groupings, filed Responses to Civil Claim. Little happened after that. It is true that the Plaintiffs, in April 2016, issued a List of Documents (approximately 2,800 pages) and almost a year later, in February 2017, an Amended List (approximately 37,500 pages) but even those steps were largely listing compilations of invoices and accounts MNP had collected for its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Alwarid delivered his summary trial application October 27, 2017. On December 8, 2017, his summary trial application was set for when it was heard, April 30 and May 1-3,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appear to have done little, from October 27, 2017 to April 30, 2018, to prepare their case for these applications. In January 2018, they successfully resisted presenting for discovery the witness Mr. Alwarid requested, and offered instead Ms. Sterrett. The Plaintiffs postponed her being discovered from late January, to February 14, 2018. Mr. Alwarid offered himself for discovery on February 27, 2018, which the Plaintiffs changed first to March 5 and 6, and then to April 6 and 7, 2018, nearing the hearing date. I have summarized earlier in these reasons the evidence the Plaintiffs relied on in these applications. They did not seek to cross-examine on any of the affidavits Mr. Alwarid relied on. In the result, in my view, the Plaintiffs came to the applications with a weak position, rolling the dice to avoid the dismissal of their claim by arguing that the applications were not suitable for summary trial disposition. The evidence in three affidavits tendered for Mr. Alwarid, summarized above, is very unlikely to change if there is a full trial. In other words, the Plaintiffs at trial would face Mr. Alwarid being supported by those who represented the Plaintiffs at the time Mr. Alwarid was dealing with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the Court recognized that summary dispute mechanisms are only appropriate where it is in the interests of justice to proceed summarily. As seen at para. 60 in that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"interest of justice" inquiry goes further, and also considers the consequences of the motion in the context of the litigation as a whole. For example, if some of the claims against some of the parties will proceed to trial in any event, it may not be in the interest of justice to use the new fact-finding powers to grant summary judgment against a single defendant. Such partial summary judgment may run the risk of duplicative proceedings or inconsistent findings of fact and therefore the use of the powers may not be in the interest of justice. </w:t>
      </w:r>
      <w:r>
        <w:rPr>
          <w:rFonts w:ascii="arial" w:eastAsia="arial" w:hAnsi="arial" w:cs="arial"/>
          <w:color w:val="000000"/>
          <w:sz w:val="20"/>
          <w:u w:val="single"/>
          <w:lang w:val="en-US" w:eastAsia="en-US" w:bidi="ar-SA"/>
        </w:rPr>
        <w:t>On the other hand, the resolution of an important claim against a key party could significantly advance access to justice, and be the most proportionate, timely and cost effective approach</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for the Plaintiffs acknowledged that Mr. Alwarid's state of health could be a relevant factor in the suitability analysis. Mr. Alwarid is retired and in poor and declining health. His own affidavit evidence concerning his health (and the possible impact of the claims on his reputation) is correctly summarized as follows, at paragraphs 36-38 of his counsel's written submissions:</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Alwarid has been diagnosed with Progressive Supernuclear Palsy, a form of Parkinson's Disease, which is now relatively advanced. This is a progressive degenerative condition which has been gradually getting worse. He is now at a stage where he has difficulty controlling his body, such that he falls frequently. His falls can cause him further significant injury. His condition also negatively affects his ability to speak, making it increasingly difficult for him to give understandable oral evidence.</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also recently been diagnosed with a recurrence of lymph cancer. He previously had lymphoma cancer in or about 1994 but was successful in fighting this off. At present his medical team is monitoring his white blood cell count. He may eventually have to start a new round of treatment with chemotherapy or other therapies, as the specialist may recommend. He is concerned this could eventually have a negative impact on his ability to remember details and to testify at Trial.</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that have been made against the Alwarid Defendants could cause serious damage to his professional reputation. It is frustrating that the Plaintiffs have made no real effort to move their case against him or any of the Defendants forward since starting the action except in reaction to the Alwarid Defendants summary trial application. If they are going to maintain such serious allegations against a professional person, they are obliged to prosecute them expeditiously.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submitted that Mr. Alwarid should have submitted a doctor's opinion, which he did not. However, I have no reason not to accept Mr. Alwarid's own description of his circumstances, particularly when they were not meaningfully challenged when he was examined in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mindful as well of how serious are the Plaintiffs' allegations against Mr. Alwarid's professional reputation. The fact he is retired does not remove the stress and blemish of those allegations. The nature of the allegations adds weight to Mr. Alwarid's submission that the disposition of the case against him should be timely.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Court has now devoted four hearing days to the Plaintiffs' claims against Mr. Alwarid, and has been able to form a clear picture of the case against him, or the absence of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Addressing Mr. Alwarid's applications by summary trial, in my view, achieves interests of justice, including access to justice, proportionality and timeliness. If there is a full trial of the Plaintiffs' claims against the other Defendants, it will only begin in April of 2019, and likely will run for eight weeks. Given the nature and size of the claims, an appeal would be likely. In my view, it would not be just to subject Mr. Alwarid to that process, particularly given the absence of any case against him shown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Several decisions by our Court of Appeal give guidance for determining whether summary trial is appropriate. In </w:t>
      </w:r>
      <w:r>
        <w:rPr>
          <w:rFonts w:ascii="arial" w:eastAsia="arial" w:hAnsi="arial" w:cs="arial"/>
          <w:i/>
          <w:color w:val="000000"/>
          <w:sz w:val="20"/>
          <w:lang w:val="en-US" w:eastAsia="en-US" w:bidi="ar-SA"/>
        </w:rPr>
        <w:t>Girchuru v. Pallai</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at paras. 30-31, the Court summarized the law relating to the suitability of a case for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 court confirmed that the court under this rule "tries the issues raised by the pleadings on affidavits", that "a triable issue or arguable defence will not always defeat a summary trial application", and that </w:t>
      </w:r>
      <w:r>
        <w:rPr>
          <w:rFonts w:ascii="arial" w:eastAsia="arial" w:hAnsi="arial" w:cs="arial"/>
          <w:b/>
          <w:color w:val="000000"/>
          <w:sz w:val="20"/>
          <w:lang w:val="en-US" w:eastAsia="en-US" w:bidi="ar-SA"/>
        </w:rPr>
        <w:t>"cases will be decided summarily if the court is able to find the facts necessary for that purpose, even though there may be disputed issues of fact and law" provided that the judge does not find "it is unjust to do so"</w:t>
      </w:r>
      <w:r>
        <w:rPr>
          <w:rFonts w:ascii="arial" w:eastAsia="arial" w:hAnsi="arial" w:cs="arial"/>
          <w:color w:val="000000"/>
          <w:sz w:val="20"/>
          <w:lang w:val="en-US" w:eastAsia="en-US" w:bidi="ar-SA"/>
        </w:rPr>
        <w:t xml:space="preserve"> (p. 211). In determining the latter issue (whether it would be unjust to proceed summarily), the Chief Justice identified a number of relevant factors to consider (at p. 215):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it will be unjust to give judgment the chambers judge is entitled to consider, inter alia, the </w:t>
      </w:r>
      <w:r>
        <w:rPr>
          <w:rFonts w:ascii="arial" w:eastAsia="arial" w:hAnsi="arial" w:cs="arial"/>
          <w:b/>
          <w:color w:val="000000"/>
          <w:sz w:val="20"/>
          <w:lang w:val="en-US" w:eastAsia="en-US" w:bidi="ar-SA"/>
        </w:rPr>
        <w:t>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To this list has been added other factors including </w:t>
      </w:r>
      <w:r>
        <w:rPr>
          <w:rFonts w:ascii="arial" w:eastAsia="arial" w:hAnsi="arial" w:cs="arial"/>
          <w:b/>
          <w:color w:val="000000"/>
          <w:sz w:val="20"/>
          <w:lang w:val="en-US" w:eastAsia="en-US" w:bidi="ar-SA"/>
        </w:rPr>
        <w:t>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790"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Greater Vancouver Water District v. Bilfinger Berger AG</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2015 BCSC 485</w:t>
        </w:r>
      </w:hyperlink>
      <w:r>
        <w:rPr>
          <w:rFonts w:ascii="arial" w:eastAsia="arial" w:hAnsi="arial" w:cs="arial"/>
          <w:color w:val="000000"/>
          <w:sz w:val="20"/>
          <w:lang w:val="en-US" w:eastAsia="en-US" w:bidi="ar-SA"/>
        </w:rPr>
        <w:t>, Madam Justice Griffin, as she then was, reviewed the history and evolution of the summary trial rule in British Columbia. She summarized as follows in relation to a summary trial application brought in respect of only a portion of a case:</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court can find the facts necessary to decide the issues of fact or law;</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would be unjust to decide the issues by way of summary trial, considering amongst other things:</w:t>
      </w:r>
    </w:p>
    <w:p>
      <w:pPr>
        <w:numPr>
          <w:numId w:val="1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implications of determining only some of the issues in the litigation, which requires consideration of such things as:</w:t>
      </w:r>
    </w:p>
    <w:p>
      <w:pPr>
        <w:numPr>
          <w:numId w:val="1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duplication or inconsistent findings, which relates to whether the issues are intertwined with issues remaining for trial;</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for multiple appeals; and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novelty of the issues to be determined;</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urgency;</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prejudice likely to arise by reason of delay; and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 conventional trial in relation to the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To this list have been added other factors including the cost of the litigation, the time for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790"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my view, the facts of the case at bar all point to the factors listed in </w:t>
      </w:r>
      <w:r>
        <w:rPr>
          <w:rFonts w:ascii="arial" w:eastAsia="arial" w:hAnsi="arial" w:cs="arial"/>
          <w:i/>
          <w:color w:val="000000"/>
          <w:sz w:val="20"/>
          <w:lang w:val="en-US" w:eastAsia="en-US" w:bidi="ar-SA"/>
        </w:rPr>
        <w:t>Greater Vancouver Water District</w:t>
      </w:r>
      <w:r>
        <w:rPr>
          <w:rFonts w:ascii="arial" w:eastAsia="arial" w:hAnsi="arial" w:cs="arial"/>
          <w:color w:val="000000"/>
          <w:sz w:val="20"/>
          <w:lang w:val="en-US" w:eastAsia="en-US" w:bidi="ar-SA"/>
        </w:rPr>
        <w:t xml:space="preserve">, and in </w:t>
      </w:r>
      <w:r>
        <w:rPr>
          <w:rFonts w:ascii="arial" w:eastAsia="arial" w:hAnsi="arial" w:cs="arial"/>
          <w:i/>
          <w:color w:val="000000"/>
          <w:sz w:val="20"/>
          <w:lang w:val="en-US" w:eastAsia="en-US" w:bidi="ar-SA"/>
        </w:rPr>
        <w:t>Dahl</w:t>
      </w:r>
      <w:r>
        <w:rPr>
          <w:rFonts w:ascii="arial" w:eastAsia="arial" w:hAnsi="arial" w:cs="arial"/>
          <w:color w:val="000000"/>
          <w:sz w:val="20"/>
          <w:lang w:val="en-US" w:eastAsia="en-US" w:bidi="ar-SA"/>
        </w:rPr>
        <w:t>, supporting summary disposition of the Alwarid applications. I adopt here paragraphs 12-26, at pages 25-27, in the argument submitted by Mr. Alwarid:</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Can the Court find necessary facts to decide issues</w:t>
      </w:r>
      <w:r>
        <w:rPr>
          <w:rFonts w:ascii="arial" w:eastAsia="arial" w:hAnsi="arial" w:cs="arial"/>
          <w:color w:val="000000"/>
          <w:sz w:val="20"/>
          <w:lang w:val="en-US" w:eastAsia="en-US" w:bidi="ar-SA"/>
        </w:rPr>
        <w:t xml:space="preserve"> -- Yes. The affidavit material tendered in support of this application is comprehensive and for the most part uncontradicted by any evidence tendered by the Plaintiffs. The Plaintiffs have not tendered direct evidence to support their claims against the Alwarid Defendants.</w:t>
      </w:r>
    </w:p>
    <w:p>
      <w:pPr>
        <w:numPr>
          <w:numId w:val="1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Implications of determining some issues in the litigation</w:t>
      </w:r>
      <w:r>
        <w:rPr>
          <w:rFonts w:ascii="arial" w:eastAsia="arial" w:hAnsi="arial" w:cs="arial"/>
          <w:color w:val="000000"/>
          <w:sz w:val="20"/>
          <w:lang w:val="en-US" w:eastAsia="en-US" w:bidi="ar-SA"/>
        </w:rPr>
        <w:t xml:space="preserve"> -- The issues between BRFN and the Alwarid Defendants are discrete and narrow. The Plaintiffs focus on the Consulting Agreement arrangement between BRFN and the Alwarid Defendants and on amounts BRFN paid to Alwarid &amp; Associates for the invoices rendered, reviewed and approved by then BRFN Chief, Council and administrative staff. The balance of the issues in the litigation do not involve the Alwarid Defendants.</w:t>
      </w:r>
    </w:p>
    <w:p>
      <w:pPr>
        <w:numPr>
          <w:numId w:val="1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argue for a broader scope of liability based, it appears, primarily on breach of trust, but this is simply not available based on the narrow scope of the Plaintiffs' Response to Demand for Particulars identifying the specific transactions are relied on, the fact that Mr. Alwarid never had authority to make decisions in relation to the Trust or to effect transfers of Trust funds, the Alwarid Defendants never received Trust funds and the complete absence of evidence concerning what substantive information or advice supposedly passed from Mr. Alwarid to Chief and Council / Trustees about the Trust.</w:t>
      </w:r>
    </w:p>
    <w:p>
      <w:pPr>
        <w:numPr>
          <w:numId w:val="1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Amount involved - $563,870.30</w:t>
      </w:r>
      <w:r>
        <w:rPr>
          <w:rFonts w:ascii="arial" w:eastAsia="arial" w:hAnsi="arial" w:cs="arial"/>
          <w:color w:val="000000"/>
          <w:sz w:val="20"/>
          <w:lang w:val="en-US" w:eastAsia="en-US" w:bidi="ar-SA"/>
        </w:rPr>
        <w:t xml:space="preserve"> representing payments BRFN made to Alwarid &amp; Associates on accounts rendered for services provided by the Alwarid Defendants over a 3 1/2 year period. This is about 16% of the claim advanced against other Defendants.</w:t>
      </w:r>
    </w:p>
    <w:p>
      <w:pPr>
        <w:numPr>
          <w:numId w:val="1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claimed and nature of the claim against the Alwarid Defendants is distinct and separate from the other claims. None of the other Defendants were involved in these transactions in their personal capacities.</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Complexity</w:t>
      </w:r>
      <w:r>
        <w:rPr>
          <w:rFonts w:ascii="arial" w:eastAsia="arial" w:hAnsi="arial" w:cs="arial"/>
          <w:color w:val="000000"/>
          <w:sz w:val="20"/>
          <w:lang w:val="en-US" w:eastAsia="en-US" w:bidi="ar-SA"/>
        </w:rPr>
        <w:t xml:space="preserve"> -- The core issues between the Plaintiffs the Alwarid Defendants are simple. Were consulting services requested and provided satisfactorily? Did the invoices submitted fairly reflect services provided and expenses incurred? Were the invoices reviewed and approved for payment before they were paid? Did BRFN receive an new funds sufficient to cover cost of Alwarid consulting services?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potentially more complex issues raised by the Plaintiffs such as conspiracy, fraud, misappropriation and breach of trust are all issues for which the Plaintiffs have never bothered to do actual investigations, inquiries or examinations for discovery. Their examination of Mr. Alwarid only occurred at the last possible moment after the Plaintiffs were backed into a corner by the timing of the summary trial application. No other examinations have been pursued yet.</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case involves alleged wrongs which were known to the new Chief and Council by about January 2014. The MNP Report was finalized by March 2015. This action started in May 2015. Amendments were made in February 2016. The Defendants all promptly filed Responses to Civil Claim once they were actually served. Pleadings closed by about mid-2016.</w:t>
      </w:r>
    </w:p>
    <w:p>
      <w:pPr>
        <w:numPr>
          <w:numId w:val="1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have been dragging their feet prosecuting their claim. The Plaintiffs have had </w:t>
      </w:r>
      <w:r>
        <w:rPr>
          <w:rFonts w:ascii="arial" w:eastAsia="arial" w:hAnsi="arial" w:cs="arial"/>
          <w:b/>
          <w:color w:val="000000"/>
          <w:sz w:val="20"/>
          <w:lang w:val="en-US" w:eastAsia="en-US" w:bidi="ar-SA"/>
        </w:rPr>
        <w:t>two years</w:t>
      </w:r>
      <w:r>
        <w:rPr>
          <w:rFonts w:ascii="arial" w:eastAsia="arial" w:hAnsi="arial" w:cs="arial"/>
          <w:color w:val="000000"/>
          <w:sz w:val="20"/>
          <w:lang w:val="en-US" w:eastAsia="en-US" w:bidi="ar-SA"/>
        </w:rPr>
        <w:t xml:space="preserve"> since pleadings closed to get on with discovery of documents and examinations for discovery. They have chosen not to do so.</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Urgency / Prejudice Likely To Arise Because of Delay</w:t>
      </w:r>
      <w:r>
        <w:rPr>
          <w:rFonts w:ascii="arial" w:eastAsia="arial" w:hAnsi="arial" w:cs="arial"/>
          <w:color w:val="000000"/>
          <w:sz w:val="20"/>
          <w:lang w:val="en-US" w:eastAsia="en-US" w:bidi="ar-SA"/>
        </w:rPr>
        <w:t xml:space="preserve"> -- Mr. Alwarid is retired and suffers from a form of Parkinsons Disease and a recurrence of cancer. His capacity to testify has been diminishing at an accelerated rate. He does not need the stress of this litigation alleging without foundation that he is a conspirator, fraud, thief and breached trust when he is already dealing with serious, life-altering health issues.</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taking the case forward to a conventional trial in relation to the amount involved</w:t>
      </w:r>
      <w:r>
        <w:rPr>
          <w:rFonts w:ascii="arial" w:eastAsia="arial" w:hAnsi="arial" w:cs="arial"/>
          <w:color w:val="000000"/>
          <w:sz w:val="20"/>
          <w:lang w:val="en-US" w:eastAsia="en-US" w:bidi="ar-SA"/>
        </w:rPr>
        <w:t xml:space="preserve"> -- The alternative to this 4-day summary trial is a 40+ day full trial to be held in Fort St John sometime in 2019. A full trial with attendant travel and accommodation expenses for his Vancouver based legal counsel (and potentially himself travelling from Whitehorse with an attendant) would be grossly disproportionate and a crippling expense for a retired person with serious medical issues.</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significant that $3 million+ of the $3.6 million involved in the claim is not claimed against the Alwarid Defendants, meaning that the majority of the full trial will not involve Alwarid issues. There is no reason to make the Alwarid Defendants sit through the trial of issues between the Plaintiffs and $(approximately$) 16 or so other defendants.</w:t>
      </w:r>
    </w:p>
    <w:p>
      <w:pPr>
        <w:numPr>
          <w:numId w:val="14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Whether credibility is a critical factor in the determination of the dispute</w:t>
      </w:r>
      <w:r>
        <w:rPr>
          <w:rFonts w:ascii="arial" w:eastAsia="arial" w:hAnsi="arial" w:cs="arial"/>
          <w:color w:val="000000"/>
          <w:sz w:val="20"/>
          <w:lang w:val="en-US" w:eastAsia="en-US" w:bidi="ar-SA"/>
        </w:rPr>
        <w:t xml:space="preserve"> -- There are no significant credibility issues raised on this dispute. The Plaintiffs have not tendered any conflicting direct evidence and they have not bothered to examine for discovery the former Chief and former Councillor defendants. They have merely engaged in what amounts to a critique of Mr. Alwarid's sworn evidence.</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Would the application result in litigation in slices</w:t>
      </w:r>
      <w:r>
        <w:rPr>
          <w:rFonts w:ascii="arial" w:eastAsia="arial" w:hAnsi="arial" w:cs="arial"/>
          <w:color w:val="000000"/>
          <w:sz w:val="20"/>
          <w:lang w:val="en-US" w:eastAsia="en-US" w:bidi="ar-SA"/>
        </w:rPr>
        <w:t xml:space="preserve"> -- No. The damage figures attached to the Alwarid Defendant issues relate to the services they provided BRFN and paid by BRFN. The suggestion that there may be a broader claim is simply not on because the Plaintiffs Response to Demand for Particulars does not identify any other amounts / transactions beyond amounts BRFN paid Alwarid &amp; Associates.</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Readiness / State of Preparation of Plaintiffs' case</w:t>
      </w:r>
      <w:r>
        <w:rPr>
          <w:rFonts w:ascii="arial" w:eastAsia="arial" w:hAnsi="arial" w:cs="arial"/>
          <w:color w:val="000000"/>
          <w:sz w:val="20"/>
          <w:lang w:val="en-US" w:eastAsia="en-US" w:bidi="ar-SA"/>
        </w:rPr>
        <w:t xml:space="preserve"> - The Alwarid Defendants' summary trial application was served on the Plaintiffs in late October 2017. They have had more than </w:t>
      </w:r>
      <w:r>
        <w:rPr>
          <w:rFonts w:ascii="arial" w:eastAsia="arial" w:hAnsi="arial" w:cs="arial"/>
          <w:b/>
          <w:color w:val="000000"/>
          <w:sz w:val="20"/>
          <w:lang w:val="en-US" w:eastAsia="en-US" w:bidi="ar-SA"/>
        </w:rPr>
        <w:t>6 months</w:t>
      </w:r>
      <w:r>
        <w:rPr>
          <w:rFonts w:ascii="arial" w:eastAsia="arial" w:hAnsi="arial" w:cs="arial"/>
          <w:color w:val="000000"/>
          <w:sz w:val="20"/>
          <w:lang w:val="en-US" w:eastAsia="en-US" w:bidi="ar-SA"/>
        </w:rPr>
        <w:t xml:space="preserve"> to arrange any examination for discovery desired. They waited until April 6/7, 2018 to examine Mr. Alwarid and have made no arrangements to examine any other defendants. One must presume that they did not think that examination of other defendants would assist them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 cited this Court's decision in </w:t>
      </w:r>
      <w:r>
        <w:rPr>
          <w:rFonts w:ascii="arial" w:eastAsia="arial" w:hAnsi="arial" w:cs="arial"/>
          <w:i/>
          <w:color w:val="000000"/>
          <w:sz w:val="20"/>
          <w:lang w:val="en-US" w:eastAsia="en-US" w:bidi="ar-SA"/>
        </w:rPr>
        <w:t>Infowest Services Inc. v. British Columbia et al.</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2004 BCSC 1165</w:t>
        </w:r>
      </w:hyperlink>
      <w:r>
        <w:rPr>
          <w:rFonts w:ascii="arial" w:eastAsia="arial" w:hAnsi="arial" w:cs="arial"/>
          <w:color w:val="000000"/>
          <w:sz w:val="20"/>
          <w:lang w:val="en-US" w:eastAsia="en-US" w:bidi="ar-SA"/>
        </w:rPr>
        <w:t xml:space="preserve">, for the point that a court will be reluctant to grant relief by summary trial to one defendant in a complicated claim of civil conspiracy against many defendants. The Court in </w:t>
      </w:r>
      <w:r>
        <w:rPr>
          <w:rFonts w:ascii="arial" w:eastAsia="arial" w:hAnsi="arial" w:cs="arial"/>
          <w:i/>
          <w:color w:val="000000"/>
          <w:sz w:val="20"/>
          <w:lang w:val="en-US" w:eastAsia="en-US" w:bidi="ar-SA"/>
        </w:rPr>
        <w:t>Infowest</w:t>
      </w:r>
      <w:r>
        <w:rPr>
          <w:rFonts w:ascii="arial" w:eastAsia="arial" w:hAnsi="arial" w:cs="arial"/>
          <w:color w:val="000000"/>
          <w:sz w:val="20"/>
          <w:lang w:val="en-US" w:eastAsia="en-US" w:bidi="ar-SA"/>
        </w:rPr>
        <w:t xml:space="preserve"> observed that the plaintiff there alleged "a civil conspiracy of Byzantine proportions" (para. 25), and accepted the plaintiff's submission that the case presented "as an unconstructed jigsaw puzzle of conspiracy" (para. 49). At para. 55, the Court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slightly different context, Chief Justice McEachern, in </w:t>
      </w:r>
      <w:r>
        <w:rPr>
          <w:rFonts w:ascii="arial" w:eastAsia="arial" w:hAnsi="arial" w:cs="arial"/>
          <w:i/>
          <w:color w:val="000000"/>
          <w:sz w:val="20"/>
          <w:lang w:val="en-US" w:eastAsia="en-US" w:bidi="ar-SA"/>
        </w:rPr>
        <w:t>Thomson v. Kootenay Lake District Hospital &amp; Health Services</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(1985), 68 B.C.L.R. 142</w:t>
        </w:r>
      </w:hyperlink>
      <w:r>
        <w:rPr>
          <w:rFonts w:ascii="arial" w:eastAsia="arial" w:hAnsi="arial" w:cs="arial"/>
          <w:color w:val="000000"/>
          <w:sz w:val="20"/>
          <w:lang w:val="en-US" w:eastAsia="en-US" w:bidi="ar-SA"/>
        </w:rPr>
        <w:t xml:space="preserve"> (S.C.), refused to grant judgment on a Rule 18A application brought by one of three defendants, saying (at 143-144):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I regard the application therefore as a summary trial on affidavit evidence, I should have regard for the principle that in some classes of cases it has always been considered wise and fair, and therefore presumably just, not to grant a non-suit where there are co-actors who are both defendants. The reason for this, of course, is to prevent the remaining defendant from throwing blame on the absent defendant to the prejudice of the plaintiff. That situation could arise in this case if I accede to the motion. I therefore regard it as prejudicial to the plaintiff in her case against the remaining defendant to accede to the motion, and, as this creates a risk of injustice, I think I should not grant the application.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 do not suggest that this rule of practice should always be followed where there are joint defendants. Each case is different and there may be many cases where it would be unjust not to dismiss an action even though there are two or more defendants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the case at bar falls within the qualification stated by Chief Justice McEachern, underlined above. The Plaintiffs have not examined a single other Defendant in discovery in this case, or otherwise marshalled any meaningful evidence against Mr. Alwarid. They argued that some of his billing records make reference to discussing the Trust with the Band. That is wholly consistent with the fact that the Band asked him to confer on matters in addition to third-party negotiations, and the fact that he expressed to the Band his concern about the Trust, and brought in the lawyer, Roger Smith, to counsel the Band on that question. Mr. Alwarid was made a director or officer of one of the "Enterprise" Plaintiffs, but he was not even aware of that. Nothing turns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the case at bar, while conspiracy is pleaded widely, and somewhat vaguely, it is clear that there are different groupings of Defendants in this case. Those who were on the Band Council, and were therefore also effectively the Band trustees, cannot be viewed in the same light as Mr. Alwarid, who only endeavoured to serve the Band as a whole, in its best interests. In my view, the Plaintiffs cannot have elected to accept, unchallenged, the evidence tendered by Mr. Alwarid on these applications, and at the same time argue that he must be left in the case notwithstanding the absence of evidence against him. Looking at Mr. Alwarid's case, there is not the "Byzantine" conspiracy, which the Court was addressing in </w:t>
      </w:r>
      <w:r>
        <w:rPr>
          <w:rFonts w:ascii="arial" w:eastAsia="arial" w:hAnsi="arial" w:cs="arial"/>
          <w:i/>
          <w:color w:val="000000"/>
          <w:sz w:val="20"/>
          <w:lang w:val="en-US" w:eastAsia="en-US" w:bidi="ar-SA"/>
        </w:rPr>
        <w:t>Infowest</w:t>
      </w:r>
      <w:r>
        <w:rPr>
          <w:rFonts w:ascii="arial" w:eastAsia="arial" w:hAnsi="arial" w:cs="arial"/>
          <w:color w:val="000000"/>
          <w:sz w:val="20"/>
          <w:lang w:val="en-US" w:eastAsia="en-US" w:bidi="ar-SA"/>
        </w:rPr>
        <w:t xml:space="preserve">. The case at bar is one of the relatively few envisioned by Chief Justice McEachern in </w:t>
      </w:r>
      <w:r>
        <w:rPr>
          <w:rFonts w:ascii="arial" w:eastAsia="arial" w:hAnsi="arial" w:cs="arial"/>
          <w:i/>
          <w:color w:val="000000"/>
          <w:sz w:val="20"/>
          <w:lang w:val="en-US" w:eastAsia="en-US" w:bidi="ar-SA"/>
        </w:rPr>
        <w:t>Thomson</w:t>
      </w:r>
      <w:r>
        <w:rPr>
          <w:rFonts w:ascii="arial" w:eastAsia="arial" w:hAnsi="arial" w:cs="arial"/>
          <w:color w:val="000000"/>
          <w:sz w:val="20"/>
          <w:lang w:val="en-US" w:eastAsia="en-US" w:bidi="ar-SA"/>
        </w:rPr>
        <w:t>, quoted above, where it would be unjust to require Mr. Alwarid to remain in the case as it wends through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Alwarid seeks special costs. The Plaintiffs seek costs in their favour at the ordinary scale. It is not every case in which a plaintiff pleads conspiracy and breach of fiduciary duty unsuccessfully that the plaintiff will have to pay special costs. There are cases in which such pleadings were warranted, and it was reasonable to maintain them to and including the time of the hearing, despite the fact that they failed. The case against Mr. Alwarid, however, was not of that kind. There was never a case against him in conspiracy or for breach of fiduciary duty. If, at some early stage, there was some appearance of Mr. Alwarid conspiring or breaching a fiduciary duty, that view could no longer be reasonably maintained after Mr. Alwarid was discovered, and after he tendered his affidavit evidence on these applications. The Plaintiffs simply sued numerous contractors, whom the Band had paid up to December 2013, because certain Band leaders allegedly had used trust funds improperly in that period. Beyond that, the Plaintiffs did not examine the facts applicable to individual Defendants, including Mr. Alwarid, before pleading against them or maintaining the case against them at later stages.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 party who makes, maintains and pursues allegations of dishonesty, fraud, conspiracy and moral turpitude, without any reasonable evidentiary basis for doing so, exposes itself to liability for special costs. As this Court said in </w:t>
      </w:r>
      <w:r>
        <w:rPr>
          <w:rFonts w:ascii="arial" w:eastAsia="arial" w:hAnsi="arial" w:cs="arial"/>
          <w:i/>
          <w:color w:val="000000"/>
          <w:sz w:val="20"/>
          <w:lang w:val="en-US" w:eastAsia="en-US" w:bidi="ar-SA"/>
        </w:rPr>
        <w:t>International Hi-Tech Industries Ltd. v. FANUC Robotics Canada Ltd.</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2007 BCSC 1724</w:t>
        </w:r>
      </w:hyperlink>
      <w:r>
        <w:rPr>
          <w:rFonts w:ascii="arial" w:eastAsia="arial" w:hAnsi="arial" w:cs="arial"/>
          <w:color w:val="000000"/>
          <w:sz w:val="20"/>
          <w:lang w:val="en-US" w:eastAsia="en-US" w:bidi="ar-SA"/>
        </w:rPr>
        <w:t>, at paras.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costs are punitive and are intended as well to encompass an element of deterrence: </w:t>
      </w:r>
      <w:r>
        <w:rPr>
          <w:rFonts w:ascii="arial" w:eastAsia="arial" w:hAnsi="arial" w:cs="arial"/>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(1992), 74 B.C.L.R. (2d) 311</w:t>
        </w:r>
      </w:hyperlink>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12 C.P.C. (3d) 319</w:t>
        </w:r>
      </w:hyperlink>
      <w:r>
        <w:rPr>
          <w:rFonts w:ascii="arial" w:eastAsia="arial" w:hAnsi="arial" w:cs="arial"/>
          <w:color w:val="000000"/>
          <w:sz w:val="20"/>
          <w:lang w:val="en-US" w:eastAsia="en-US" w:bidi="ar-SA"/>
        </w:rPr>
        <w:t xml:space="preserve">). The purpose of awarding them is to chastise and discourage reprehensible conduct. Accordingly, the focus of the inquiry is on the party's blame-worthiness and intent: </w:t>
      </w:r>
      <w:r>
        <w:rPr>
          <w:rFonts w:ascii="arial" w:eastAsia="arial" w:hAnsi="arial" w:cs="arial"/>
          <w:i/>
          <w:color w:val="000000"/>
          <w:sz w:val="20"/>
          <w:lang w:val="en-US" w:eastAsia="en-US" w:bidi="ar-SA"/>
        </w:rPr>
        <w:t>Bank of Credit and Commerce International (Overseas) Ltd. v. Akbar et al</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2001 BCCA 204</w:t>
        </w:r>
      </w:hyperlink>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86 B.C.L.R. (3d) 312</w:t>
        </w:r>
      </w:hyperlink>
      <w:r>
        <w:rPr>
          <w:rFonts w:ascii="arial" w:eastAsia="arial" w:hAnsi="arial" w:cs="arial"/>
          <w:color w:val="000000"/>
          <w:sz w:val="20"/>
          <w:lang w:val="en-US" w:eastAsia="en-US" w:bidi="ar-SA"/>
        </w:rPr>
        <w:t>, at para.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law demonstrates a wide variety of circumstances that have resulted in the awarding of special costs. The failure to prove allegations of fraud will not automatically result in such an award (see: </w:t>
      </w:r>
      <w:r>
        <w:rPr>
          <w:rFonts w:ascii="arial" w:eastAsia="arial" w:hAnsi="arial" w:cs="arial"/>
          <w:i/>
          <w:color w:val="000000"/>
          <w:sz w:val="20"/>
          <w:lang w:val="en-US" w:eastAsia="en-US" w:bidi="ar-SA"/>
        </w:rPr>
        <w:t>307527 B.C. Ltd. v. Langley</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2005 BCCA 161</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210 B.C.A.C. 155</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However, where the totality of the circumstances reveal that allegations of fraud have been made frivolously, are without foundation, or made in circumstances where the alleging party had access to information sufficient to conclude that the defendant was merely negligent or had committed no wrongdoing at all, the allegations themselves are seen to be reprehensible warranting an order of special costs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Chaplin v. Sun Life Assurance Company of Canada et 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2004 BCSC 116</w:t>
        </w:r>
      </w:hyperlink>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 C.P.C. (6th) 271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Hamilton v. Open Window Bakery Ltd.</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[2004] 1 S.C.R. 303</w:t>
        </w:r>
      </w:hyperlink>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235 D.L.R.(4th) 193</w:t>
        </w:r>
      </w:hyperlink>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To the same effect, see </w:t>
      </w:r>
      <w:r>
        <w:rPr>
          <w:rFonts w:ascii="arial" w:eastAsia="arial" w:hAnsi="arial" w:cs="arial"/>
          <w:i/>
          <w:color w:val="000000"/>
          <w:sz w:val="20"/>
          <w:lang w:val="en-US" w:eastAsia="en-US" w:bidi="ar-SA"/>
        </w:rPr>
        <w:t>Ip v. Insurance Corporation of British Columbia</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[1994] B.C.J. No. 81</w:t>
        </w:r>
      </w:hyperlink>
      <w:r>
        <w:rPr>
          <w:rFonts w:ascii="arial" w:eastAsia="arial" w:hAnsi="arial" w:cs="arial"/>
          <w:color w:val="000000"/>
          <w:sz w:val="20"/>
          <w:lang w:val="en-US" w:eastAsia="en-US" w:bidi="ar-SA"/>
        </w:rPr>
        <w:t xml:space="preserve"> (S.C.), at paras. 8-9; </w:t>
      </w:r>
      <w:r>
        <w:rPr>
          <w:rFonts w:ascii="arial" w:eastAsia="arial" w:hAnsi="arial" w:cs="arial"/>
          <w:i/>
          <w:color w:val="000000"/>
          <w:sz w:val="20"/>
          <w:lang w:val="en-US" w:eastAsia="en-US" w:bidi="ar-SA"/>
        </w:rPr>
        <w:t>Worldwide Treasure Adventures Inc. v. Ralph</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[1996] B.C.J. No. 154</w:t>
        </w:r>
      </w:hyperlink>
      <w:r>
        <w:rPr>
          <w:rFonts w:ascii="arial" w:eastAsia="arial" w:hAnsi="arial" w:cs="arial"/>
          <w:color w:val="000000"/>
          <w:sz w:val="20"/>
          <w:lang w:val="en-US" w:eastAsia="en-US" w:bidi="ar-SA"/>
        </w:rPr>
        <w:t xml:space="preserve"> (S.C.), at paras. 18 and 19; and </w:t>
      </w:r>
      <w:r>
        <w:rPr>
          <w:rFonts w:ascii="arial" w:eastAsia="arial" w:hAnsi="arial" w:cs="arial"/>
          <w:i/>
          <w:color w:val="000000"/>
          <w:sz w:val="20"/>
          <w:lang w:val="en-US" w:eastAsia="en-US" w:bidi="ar-SA"/>
        </w:rPr>
        <w:t>Albion Securities Co. v. Milne</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2000 BCSC 921</w:t>
        </w:r>
      </w:hyperlink>
      <w:r>
        <w:rPr>
          <w:rFonts w:ascii="arial" w:eastAsia="arial" w:hAnsi="arial" w:cs="arial"/>
          <w:color w:val="000000"/>
          <w:sz w:val="20"/>
          <w:lang w:val="en-US" w:eastAsia="en-US" w:bidi="ar-SA"/>
        </w:rPr>
        <w:t>, at paras. 22-23.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view, in the circumstances of this case, the Plaintiffs were not justified in pleading or maintaining the case against Mr. Alwarid in conspiracy, or for breach of fiduciary duty, with the result that Mr. Alwarid is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To conclude:</w:t>
      </w:r>
      <w:r>
        <w:rPr>
          <w:rFonts w:ascii="arial" w:eastAsia="arial" w:hAnsi="arial" w:cs="arial"/>
          <w:sz w:val="20"/>
          <w:lang w:val="en-US" w:eastAsia="en-US" w:bidi="ar-SA"/>
        </w:rPr>
        <w:cr/>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Alwarid's applications are suitable for disposition by summary trial;</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Alwarid's application to have the case against him dismissed is allowed;</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Alwarid's application for judgment on his final invoice is allowed in the amount of $3,978; and</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Alwarid is entitled to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1"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Chancery Estate Holdings Corp. v. Sahara Real Estate Investment Inc., [2011] B.C.J. No. 1504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24-26 and May 9-12,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S094923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1504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1067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R.P.R. (5th) 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2063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547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Chancery Estate Holdings Corp. and Nizar Valji, Plaintiffs, and Sahara Real Estate Investment Inc., Sahara Jetha, Safana Jetha and Karim Kassam, Defendants, and M. Ali Lakhani, Lakhani &amp; Company and Nazlin A. Nathu,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2"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9" w:name="Keywords_39"/>
      <w:bookmarkEnd w:id="279"/>
      <w:r>
        <w:rPr>
          <w:rFonts w:ascii="arial" w:eastAsia="arial" w:hAnsi="arial" w:cs="arial"/>
          <w:b/>
          <w:color w:val="000000"/>
          <w:sz w:val="20"/>
          <w:lang w:val="en-US" w:eastAsia="en-US" w:bidi="ar-SA"/>
        </w:rPr>
        <w:t>Civil litigation — Civil procedure — Pleadings — Striking out pleadings or allegations — Grounds — False, frivolous, vexatious or abuse of process — Res judicata — Application by the plaintiffs to strike the counterclaim allowed — The parties were involved in a joint venture property purchase — Disputes between the parties led to the current action as well as two previous proceedings which had been settled — The defendants now alleged by counterclaim that one of the plaintiffs, the defendant Jetha's former lawyer, had breached his fiduciary duty by failing to ensure that she obtained competent independent legal advice from her subsequent lawyers — However, Jetha should have advanced such claims during the previous proceedings and it was now too late to do so.</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and solicitors — Relationship with client — Application by the plaintiffs to strike the counterclaim allowed — The parties were involved in a joint venture property purchase — Disputes between the parties led to the current action as well as two previous proceedings which had been settled — The defendants now alleged by counterclaim that one of the plaintiffs, the defendant Jetha's former lawyer, had breached his fiduciary duty by failing to ensure that she obtained competent independent legal advice from her subsequent lawyers — However, Jetha should have advanced such claims during the previous proceedings and it was now too late to do so.</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Duties — Professions — Legal — Barristers and solicitors — Application by the plaintiffs to strike the counterclaim allowed — The parties were involved in a joint venture property purchase — Disputes between the parties led to the current action as well as two previous proceedings which had been settled — The defendants now alleged by counterclaim that one of the plaintiffs, the defendant Jetha's former lawyer, had breached his fiduciary duty by failing to ensure that she obtained competent independent legal advice from her subsequent lawyers — However, Jetha should have advanced such claims during the previous proceedings and it was now too late to do so.</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0" w:name="Case Summary_37"/>
            <w:bookmarkEnd w:id="2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to strike certain paragraphs of the statement of defence as well as the entire counterclaim. The parties were involved in a joint venture property purchase of two residential apartment buildings in August 2005. Disputes arose between the parties to the joint venture, leading to three proceedings. In the first proceeding, the defendant Jetha, who had a majority interest, denied that the other parties to the joint venture had a beneficial interest in the property as they claimed. However, shortly thereafter, Jetha commenced partition proceedings and admitted that each party to the joint venture had a beneficial interest in the property. After extensive negotiations, the parties settled the first two proceedings. Pursuant to the settlement agreements, the property was sold. However, disputes then arose over the division of the profits of the sale and in July 2009 the plaintiffs commenced the current action. Jetha and the other defendants alleged by counterclaim that her former lawyer, one of the plaintiffs, breached his fiduciary duty by failing to ensure that she obtained competent independent legal advice from her three subsequent lawyers and, therefore, the plaintiffs were not entitled to any profits from the sale of the property. The plaintiffs took the position that such claims should have been dealt with in the first two proceedings and that the claims were barred by the doctrine of res judicata and were frivolous, vexatious and an abuse of process.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1" w:name="Holdings of Court_35"/>
            <w:bookmarkEnd w:id="28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Jetha's argument that her former lawyer failed to provide any information of importance to her subsequent lawyers was flawed as she admittedly gave all facts and anything of value to her successive counsel. Furthermore, her former lawyer believed from what she told him that she had obtained independent legal advice. In any event, Jetha should have advanced such claims during the first or second proceedings and it was now too late to do so.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2" w:name="Legislation Cited_29"/>
      <w:bookmarkEnd w:id="28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3"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810" w:history="1">
        <w:r>
          <w:rPr>
            <w:rFonts w:ascii="arial" w:eastAsia="arial" w:hAnsi="arial" w:cs="arial"/>
            <w:i/>
            <w:color w:val="0077CC"/>
            <w:sz w:val="20"/>
            <w:u w:val="single"/>
            <w:shd w:val="clear" w:color="auto" w:fill="FFFFFF"/>
            <w:lang w:val="en-US" w:eastAsia="en-US" w:bidi="ar-SA"/>
          </w:rPr>
          <w:t>RSBC 1996, CHAPTER 253, s. 8</w:t>
        </w:r>
      </w:hyperlink>
      <w:r>
        <w:rPr>
          <w:rFonts w:ascii="arial" w:eastAsia="arial" w:hAnsi="arial" w:cs="arial"/>
          <w:color w:val="000000"/>
          <w:sz w:val="20"/>
          <w:lang w:val="en-US" w:eastAsia="en-US" w:bidi="ar-SA"/>
        </w:rPr>
        <w:t>(3)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Partition of Property Act, </w:t>
      </w:r>
      <w:r>
        <w:rPr>
          <w:rFonts w:ascii="arial" w:eastAsia="arial" w:hAnsi="arial" w:cs="arial"/>
          <w:i/>
          <w:color w:val="000000"/>
          <w:sz w:val="20"/>
          <w:lang w:val="en-US" w:eastAsia="en-US" w:bidi="ar-SA"/>
        </w:rPr>
        <w:t>RSBC 1996, CHAPTER 347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Partnership Act, </w:t>
      </w:r>
      <w:r>
        <w:rPr>
          <w:rFonts w:ascii="arial" w:eastAsia="arial" w:hAnsi="arial" w:cs="arial"/>
          <w:i/>
          <w:color w:val="000000"/>
          <w:sz w:val="20"/>
          <w:lang w:val="en-US" w:eastAsia="en-US" w:bidi="ar-SA"/>
        </w:rPr>
        <w:t>RSBC 1996, CHAPTER 348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9-5(1), Rule 9-5(1)(b), Rule 9-5(1)(d)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3" w:name="Counsel_40"/>
      <w:bookmarkEnd w:id="28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4"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D.G. Fredricksen.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A.J.P. Winstanley.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4" w:name="Judgment_40"/>
      <w:bookmarkEnd w:id="284"/>
      <w:r>
        <w:pict>
          <v:line id="_x0000_s1225"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THE KEY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THE EVIDENCE</w:t>
      </w:r>
      <w:r>
        <w:rPr>
          <w:rFonts w:ascii="arial" w:eastAsia="arial" w:hAnsi="arial" w:cs="arial"/>
          <w:sz w:val="20"/>
          <w:lang w:val="en-US" w:eastAsia="en-US" w:bidi="ar-SA"/>
        </w:rPr>
        <w:cr/>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First Bargain</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Second Bargain</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Third Bargain</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19, 2005 Closing</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Proceeding commenced August 24, 2005 (VA S054717)</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Partition Proceeding commenced October 26, 2005 (VA L052545)</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4, 2007 Reasons for Judgment of Mr. Justice Pitfield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Escrow Agreement and Services Agreement</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Proceeding Commenced July 2, 2009 (VA S094923)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THE PLEADINGS SOUGHT TO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ARGUMENT OF THE PLAINTIFFS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Res Judicata</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Process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Collateral Attack</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Doctrine of Estoppel</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Laches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8(3) of the </w:t>
      </w:r>
      <w:r>
        <w:rPr>
          <w:rFonts w:ascii="arial" w:eastAsia="arial" w:hAnsi="arial" w:cs="arial"/>
          <w:i/>
          <w:color w:val="000000"/>
          <w:sz w:val="20"/>
          <w:lang w:val="en-US" w:eastAsia="en-US" w:bidi="ar-SA"/>
        </w:rPr>
        <w:t>Law and Equity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 ARGUMENT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CONCLUSION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5" w:name="L.A. LOO J."/>
            <w:bookmarkEnd w:id="285"/>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Chancery Estate Holdings Corp. ("Chancery"), Nizar Valji, M. Ali Lakhani, Lakhani &amp; Company, and Nazlin A. Nathu apply pursuant to Rule 9-5(1) (successor to former Rule 19(24)), for the following orders on the basis that the claims of the defendants Sahara Real Estate Investment Inc. ("Sahara Inc.") and Sahara Jetha ("Ms. Jetha") are frivolous and vexatious, and otherwise an abuse of process: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3 - 19, 21(d) - (i), 22 - 24, 27(n) - (s), 29 - 37, 39(v), 42, 46 and 48 (the "impugned paragraphs") of the further amended statement of defence and the entire amended counterclaim in action number S094923 be struck out;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statement of defence and counterclaim in action number S054717 be struck out and action number S054717 be stayed;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to the order sought in the preceding paragraph, an order that the amended counterclaim brought against Nizar Valji be dismissed pursuant to Rule 9-6 on the basis that there is no genuine issue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9-5(1)(b) and (d) provides: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9-5 -- Striking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Chapman v. Canada (Minister of Indian and Northern Affairs)</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2003 BCCA 665</w:t>
        </w:r>
      </w:hyperlink>
      <w:r>
        <w:rPr>
          <w:rFonts w:ascii="arial" w:eastAsia="arial" w:hAnsi="arial" w:cs="arial"/>
          <w:color w:val="000000"/>
          <w:sz w:val="20"/>
          <w:lang w:val="en-US" w:eastAsia="en-US" w:bidi="ar-SA"/>
        </w:rPr>
        <w:t>, Madam Justice Saunders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criteria for application of all provisions of Rule 19(24) are established in authorities considered by the chambers judge: [citations omitted]. The test is whether it is plain and obvious that the impugned pleading has the fault alleged. Otherwise the party whose pleading is challenged is entitled to a trial of the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The orders in this case were made under Rule 19(24)(a) and (d). Thus in order to succeed the applicant is required to establish that it is plain and obvious that the pleadings disclose no cause of action (Rule 19(24)(a)) or that the proceedings are an abuse of process (Rule 19(24)(d)). Otherwise the litigation will be allowed to proceed.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On an application under Rule 19(24)(a) for an order that the pleading discloses no reasonable claim, no evidence is permitted to be adduced (Rule 19(27)), and the matter must proceed on the pleading alone. Rule 19(24)(d), concerning abuse of process, on the other hand may be considered with reference to evidence. As the concepts of res judicata and collateral attack on a court order are both encompassed by the concept of abuse of process, evidence is permitted to be adduced on a Rule 19(24)(d) application as to the circumstances that are said to characterize the claim as abusive.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application concerns three separate proceedings arising out of a joint venture property purchase of two strata titled residential apartment buildings in Abbotsford (the "Property") in August 2005. The parties to the joint venture included a lawyer's company, Chancery, and the lawyer's client, Ms. Jetha. Disputes arose between the parties to the joint venture. In the first proceeding, Ms. Jetha who had the majority interest, denied that the other parties to the joint venture had a beneficial interest in the Property as they claimed. However, eight days later, Ms. Jetha brought partition proceedings (the second proceeding) for an order for sale of the Property and admitted that each party to the joint venture had a beneficial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More than two years later, in January 2008, the parties settled the first proceeding and the partition proceeding by written agreements. It was agreed that the Property would be sold and that each party would receive their respective profits, subject to an accounting. The agreements were appended to a consent order in the partition proceeding. The Property was sold, but disputes arose over the division of the profits and this action (the third proceeding) was commenced by the plaintiffs in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including Ms. Jetha allege by counterclaim that her now former lawyer and his wife (who is also a lawyer) breached their fiduciary duties by failing to ensure that she obtained </w:t>
      </w:r>
      <w:r>
        <w:rPr>
          <w:rFonts w:ascii="arial" w:eastAsia="arial" w:hAnsi="arial" w:cs="arial"/>
          <w:i/>
          <w:color w:val="000000"/>
          <w:sz w:val="20"/>
          <w:lang w:val="en-US" w:eastAsia="en-US" w:bidi="ar-SA"/>
        </w:rPr>
        <w:t>competent</w:t>
      </w:r>
      <w:r>
        <w:rPr>
          <w:rFonts w:ascii="arial" w:eastAsia="arial" w:hAnsi="arial" w:cs="arial"/>
          <w:color w:val="000000"/>
          <w:sz w:val="20"/>
          <w:lang w:val="en-US" w:eastAsia="en-US" w:bidi="ar-SA"/>
        </w:rPr>
        <w:t xml:space="preserve"> independent legal advice from the three lawyers or law firms who subsequently represented her, and that the plaintiffs, including Chancery, are therefore not entitled to any profit from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contend that those claims should have been dealt with in the first proceeding or partition proceeding which have been settled, and that the claims are frivolous, vexatious,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primary thrust of the defendants' argument is that Ms. Jetha and her lawyer entered into four bargains that were bargains made between a solicitor and his client. Notwithstanding that Ms. Jetha retained three subsequent lawyers who may have provided her with independent legal advice, her former lawyer's fiduciary duty towards her continued to exist up until August 2009 when her present lawyer was retained. He advised her that she may have an equitable defence to the first and third proceedings based on the fiduciary relationship. Until she was provided with that particular advice, she never received </w:t>
      </w:r>
      <w:r>
        <w:rPr>
          <w:rFonts w:ascii="arial" w:eastAsia="arial" w:hAnsi="arial" w:cs="arial"/>
          <w:i/>
          <w:color w:val="000000"/>
          <w:sz w:val="20"/>
          <w:lang w:val="en-US" w:eastAsia="en-US" w:bidi="ar-SA"/>
        </w:rPr>
        <w:t>competent</w:t>
      </w:r>
      <w:r>
        <w:rPr>
          <w:rFonts w:ascii="arial" w:eastAsia="arial" w:hAnsi="arial" w:cs="arial"/>
          <w:color w:val="000000"/>
          <w:sz w:val="20"/>
          <w:lang w:val="en-US" w:eastAsia="en-US" w:bidi="ar-SA"/>
        </w:rPr>
        <w:t xml:space="preserve"> independent legal advice. The advice of her former lawyers may have been independent but was not competent because none of the lawyers informed her that equity will intervene to set aside the bargains.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addressing the evidence I will first give a brief description of the key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THE KEY PLAYERS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Sahara Jetha is a 64 year old realtor and businesswoman. Ms. Jetha obtained a degree in economics from London University in 1969. After moving to Canada she obtained her real estate licence in the early 1970s. According to her own evidence, for the past 40 years she has been actively involved in numerous real estate transactions in the United Kingdom, United States and Canada. Her income is derived solely through real estate brokering and investment, and she advises clients on structuring real estate deals. In the summer of 2005 she owned or had an equity interest in some 15 residential properties. Her company Sahara Inc. was incorporated to take title to her residential real estate assets. Ms. Jetha negotiated the purchase of the Property in May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Safana Jetha is a realtor and businesswoman, and the daughter of Sahara Jetha. To avoid confusion, and not out of disrespect, when I later refer to Safana Jetha, I will refer to her by her first name rather than her surname.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Abbas Tejani is a dentist and businessman who had previously invested with Ms. Jetha in residential properties. Dr. Tejani acquired an 8.4 percent interest in the Property which he sold to Ms. Jetha in July 2007, and she immediately transferred this interest to her cousin Karim Kassam.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 Ali Lakhani is a lawyer who was called to the British Columbia bar in 1979. Mr. Lakhani through his personal law corporation owned the law firm Lakhani &amp; Company. He also owns Chancery, which advanced $500,000 towards the Property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Nazline A. Nathu is a lawyer and the wife of Mr. Lakhani. In 2005 Ms. Nathu worked part-time as an independent contractor for Lakhani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Niazr Valji is a contractor and businessman who loaned $150,000 to Ms. Jetha in August 2005 so that she could acquire her own interest in the Property. In August 2005 Mr. Valji also invested $112,500 to acquire his own seven percent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Jetha and Mr. Lakhani met in England in 1966 because he and her brother were good friends. After Ms. Jetha moved to Canada and began acquiring residential houses for investment purposes, she retained Mr. Lakhani for conveyance and mortgage matters until around 2000 when she began using Antony Dusevic as her lawyer. However, from time to time she engaged Mr. Lakhani for other matters, including litigation or disputed issues arising out of her various real estate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May 3, 2005 Ms. Jetha through Sahara Inc. entered into a Contract of Purchase and Sale for the Property which consists of two apartment buildings known as the Pinetree Apartments in Abbotsford. Although the two apartments are strata titled, most if not all of the 89 units were rental units. The Property purchase price was $5.8 million, and the completion date was August 15, 2005. One of the conditions Ms. Jetha negotiated was that Sahara Inc. could assume the existing financing for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Jetha handled all of the negotiations leading up to the Contract of Purchase and Sale for the Property on her own, and noted on the form that her occupation was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Sometime around May 11, 2005 Ms. Jetha and Safana went to Mr. Lakhani's office because he was then representing Ms. Jetha in what is described as the Rahemtulla litigation that she commenced concerning a real estate investment partnership agreement. During the course of their discussions Ms. Jetha told Mr. Lakhani about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Lakhani's firm communicated with the mortgagee's agents of the former owners regarding Sahara Inc. assuming and refinancing the existing mortgage on the Property, and also communicated with a number of apartment management companies for information concerning management of the Property. Mr. Lakhani's firm never opened a file in connection with the Property purchase or rendered an account for legal services. However, for the purpose of this application, Mr. Lakhani and his law firm concede that he was at the time in a fiduciary relationship with Ms. Jetha.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around the middle of May 2005 to the middle of August 2005 Mr. Lakhani and Ms. Jetha negotiated to reach an agreement by which Chancery and other investors could invest in, manage, and subsequently sell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argument was focussed on what is said to be the four bargains between a solicitor (Mr. Lakhani) and his client (Ms. Jetha). They are: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 26, 2005 memorandum of understanding;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July 8, 2005 meeting;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August 15 and 16, 2005 oral joint venture agreement;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agreement and the escrow agreement both dated January 10,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May 26, 2005 Mr. Lakhani sent the following e-mail to Antony Dusevic, with a copy to the e-mail addresses of Ms. Jetha and Sahara: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Date:</w:t>
      </w:r>
      <w:r>
        <w:rPr>
          <w:rFonts w:ascii="arial" w:eastAsia="arial" w:hAnsi="arial" w:cs="arial"/>
          <w:color w:val="000000"/>
          <w:sz w:val="20"/>
          <w:lang w:val="en-US" w:eastAsia="en-US" w:bidi="ar-SA"/>
        </w:rPr>
        <w:t xml:space="preserve"> Thu, 26 May 2005 13:53:07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From:</w:t>
      </w:r>
      <w:r>
        <w:rPr>
          <w:rFonts w:ascii="arial" w:eastAsia="arial" w:hAnsi="arial" w:cs="arial"/>
          <w:color w:val="000000"/>
          <w:sz w:val="20"/>
          <w:lang w:val="en-US" w:eastAsia="en-US" w:bidi="ar-SA"/>
        </w:rPr>
        <w:t xml:space="preserve"> Ali Lakhani &lt;lakhani@uniserve.com&gt;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w:t>
      </w:r>
      <w:r>
        <w:rPr>
          <w:rFonts w:ascii="arial" w:eastAsia="arial" w:hAnsi="arial" w:cs="arial"/>
          <w:color w:val="000000"/>
          <w:sz w:val="20"/>
          <w:lang w:val="en-US" w:eastAsia="en-US" w:bidi="ar-SA"/>
        </w:rPr>
        <w:t xml:space="preserve"> antony@cheedusevic.com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Cc:</w:t>
      </w:r>
      <w:r>
        <w:rPr>
          <w:rFonts w:ascii="arial" w:eastAsia="arial" w:hAnsi="arial" w:cs="arial"/>
          <w:color w:val="000000"/>
          <w:sz w:val="20"/>
          <w:lang w:val="en-US" w:eastAsia="en-US" w:bidi="ar-SA"/>
        </w:rPr>
        <w:t xml:space="preserve"> ssskyway@shaw.ca, safana@sutton.com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Pinetree Apartments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Part(s):</w:t>
      </w:r>
      <w:r>
        <w:rPr>
          <w:rFonts w:ascii="arial" w:eastAsia="arial" w:hAnsi="arial" w:cs="arial"/>
          <w:color w:val="000000"/>
          <w:sz w:val="20"/>
          <w:lang w:val="en-US" w:eastAsia="en-US" w:bidi="ar-SA"/>
        </w:rPr>
        <w:t xml:space="preserve"> 2 Letter of Understanding May 26 05.doc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Antony: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been asked by Sahara Jetha to forward the enclosed Memorandum [dated May 26, 2005] to you, setting out our business arrangement regarding the Pinetree Apartments project. </w:t>
      </w:r>
      <w:r>
        <w:rPr>
          <w:rFonts w:ascii="arial" w:eastAsia="arial" w:hAnsi="arial" w:cs="arial"/>
          <w:color w:val="000000"/>
          <w:sz w:val="20"/>
          <w:u w:val="single"/>
          <w:lang w:val="en-US" w:eastAsia="en-US" w:bidi="ar-SA"/>
        </w:rPr>
        <w:t>I have insisted that she obtain your independent legal advice before signing the Agreement.</w:t>
      </w:r>
      <w:r>
        <w:rPr>
          <w:rFonts w:ascii="arial" w:eastAsia="arial" w:hAnsi="arial" w:cs="arial"/>
          <w:color w:val="000000"/>
          <w:sz w:val="20"/>
          <w:lang w:val="en-US" w:eastAsia="en-US" w:bidi="ar-SA"/>
        </w:rPr>
        <w:t xml:space="preserve"> She will be contacting you in this regard. Once she has executed the Agreement, please forward it to me for my execution. I will be out of town until June 6th.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June 2005 Ms. Jetha approached Mr. Valji at the mosque they attend to see if he was interested in participating as an investor in the Property purchase. Later that month, Ms. Jetha telephoned Mr. Valji and told him that Mr. Lakhani (who Mr. Valji already knew) had decided to invest in the Property. Mr. Valji and his son then met Ms. Jetha at a restaurant where she provided him with details about the Property and convinced him that he should make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After that meeting, Mr. Valji had a brief telephone conversation with Mr. Lakhani and asked if he was investing in the Property. Mr. Lakhani told him he was, and that if he had any questions relating to the Property he should ask Ms. Jetha. Mr. Valji had no further dealings with Mr. Lakhani until they met at the meeting of investors on August 15,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Valji decided to invest $100,000 for an equity interest, and as requested by Ms. Jetha, he made a $12,500 down payment to her solicitor Mr. Dusevic in exchange for a beneficial interest and agreement that equity shareholders would enter into a joint venture agreement, and that material dealings and major decisions regarding the Property required their joint consent. On July 13, 2005 when he paid the down payment, Ms. Jetha signed a memorandum of understanding agreeing to those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August 11, 2005 Ms. Jetha informed Mr. Valji that she needed further funds in order to pay for her share in the Property. Mr. Valji agreed to lend her $150,000 and advanced those funds to her lawyer Mr. Dusevic, in exchange for a promissory note. Unfortunately, Mr. Valji had to retain a lawyer in order to collect the funds he lent to Ms. Jetha.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Valji did not assist Mr. Lakhani nor was he in any way involved with Chancery's investment in the Property. Other than that brief telephone call with Mr. Lakhani, Mr. Valji was not involved with Chancery's investment in the Property.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Alleged First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memorandum of understanding dated May 25, 2005 that Ms. Jetha signed and faxed back to Mr. Lakhani reads: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Memorandum of Understanding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From:</w:t>
      </w:r>
      <w:r>
        <w:rPr>
          <w:rFonts w:ascii="arial" w:eastAsia="arial" w:hAnsi="arial" w:cs="arial"/>
          <w:color w:val="000000"/>
          <w:sz w:val="20"/>
          <w:lang w:val="en-US" w:eastAsia="en-US" w:bidi="ar-SA"/>
        </w:rPr>
        <w:t xml:space="preserve"> Chancery Estate Holdings Corp. (per M. Ali Lakhani)</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w:t>
      </w:r>
      <w:r>
        <w:rPr>
          <w:rFonts w:ascii="arial" w:eastAsia="arial" w:hAnsi="arial" w:cs="arial"/>
          <w:color w:val="000000"/>
          <w:sz w:val="20"/>
          <w:lang w:val="en-US" w:eastAsia="en-US" w:bidi="ar-SA"/>
        </w:rPr>
        <w:t xml:space="preserve"> Sahara Jetha and Sahara Real Estate Investments Inc.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Date:</w:t>
      </w:r>
      <w:r>
        <w:rPr>
          <w:rFonts w:ascii="arial" w:eastAsia="arial" w:hAnsi="arial" w:cs="arial"/>
          <w:color w:val="000000"/>
          <w:sz w:val="20"/>
          <w:lang w:val="en-US" w:eastAsia="en-US" w:bidi="ar-SA"/>
        </w:rPr>
        <w:t xml:space="preserve"> May 26, 2005</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w:t>
      </w:r>
      <w:r>
        <w:rPr>
          <w:rFonts w:ascii="arial" w:eastAsia="arial" w:hAnsi="arial" w:cs="arial"/>
          <w:color w:val="000000"/>
          <w:sz w:val="20"/>
          <w:lang w:val="en-US" w:eastAsia="en-US" w:bidi="ar-SA"/>
        </w:rPr>
        <w:t xml:space="preserve"> Pinetree Apartments, 2525 and 2585 Hill-Tout Street, Abbotsford,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Sahara: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to confirm our arrangement with regard to the purchase by you and your company, Sahara Real Estate Investments Inc., of the above property for a purchase price of $5.8 million, on the terms set out in the Contract of Purchase dated May 3, 2005.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have asked me to participate in the purchase, and you have indicated to me that you are proceeding to remove subjects in any event, and to pay a non-refundable deposit of $150,000 as called for in the Contract. I have indicated that I would prefer that we conduct proper due diligence searches before subjects are removed, but you are content to remove subjects immediately as you are committed to buying the property, based on your strong intuitions that it is a good deal. As such, the risk of committing the $150,000 is yours.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company, Chancery Estate Holdings Corp., at its sole option, to be exercised by it prior to the closing date for the purchase (presently scheduled to complete on August 15, 2005, though you are trying to negotiate an extension), and by notice to you, will:</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 and pay for a 30% equity interest in the purchase of the property (through a corporate bare trustee to be incorporated, in which Chancery will own a 30% beneficial interest 1, and which will be registered on title as the Registered Owner of the property), or</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loan to Sahara Jetha and to the purchaser, Sahara Real Estate Investments Inc., jointly and severally, the sum of $500,000, repayable on demand on or after June 1, 2009, together with interest (calculated both before and after default or maturity) at the rate of 10% per annum, calculated semi-annually, not in advance, with interest payments to be made monthly, and such loan to be secured by, inter alia 2, the rents from the property (after debt servicing of the existing first mortgage, which is to be assumed by the purchaser) and such other collateral security in your other real estate projects as I deem acceptable, in my absolute discretion, or</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acquire a lesser equity interest than 30%, as I may in my absolute discretion determine (to be acquired, except as to percentage, as per item (a) above) and to advance the difference between $500,000 and the equity advance (including closing costs) as a loan to you and to the purchaser, Sahara Real Estate Investments Inc., jointly and severally (to be advanced, except as to amount, and secured as per item (b)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will keep me fully informed at all times of all material dealings regarding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material dealings regarding the property and all major decisions regarding the property will require our joint consent. I have told you that my preference is to sell the property quickly, if possible, rather than to hold it until the first mortgage matures. You have agreed to cooperate with Chancery in negotiating a quick sale of the property, if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like the property to be managed professionally, but in a cost-effective manner.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the mortgage assumption is concerned, I have told you that, given my work as a lawyer, I cannot sign any personal guarantees. I understand that you plan to negotiate and qualify for the mortgage assumption based on our equity involvement and the existing covenants of the vendors.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Finally, Sahara, as you are a client of mine on other matters, I must insist that you obtain independent legal advice with respect to our business dealings. I suggest therefore that you speak to Anthony Dusevic (or any other lawyer of your choice) regarding the arrangements summarized in this 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you have satisfied yourself that the contents of this letter reflect our discussions and our agreement, please sign and return the letter to me. As you know, I will be out of town from tomorrow until June 6th.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Sahara Jetha and Sahara Real Estate Investments Inc. Jointly and Severally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Chancery (as to its equity interest under Clause (a) or Clause (c)) and your corporate nominee (as to the balance of the equity interest in the property) will enter into a joint venture agreement which will contain a Right of First Refusal and a Buy-Sell Shotgun clause, on reasonable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Chancery will be given a promissory note executed by Sahara and Sahara Real Estate Investments Inc., jointly and severally, securing the loan; any default in the monthly interest payments or under the first mortgage will constitute a default under the promissory note, and the full principal loan and interest to June 1, 2009, shall be accelerated and become immediately due and 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June 17, 2005 Mr. Lakhani faxed to Ms. Jetha a copy of the May 26, 2005 memorandum of understanding signed on behalf of Chancery with the following message: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Thank you for executing and sending me a copy of the Memorandum of Understanding between you and Sahara Real Estate Investments Inc., and my company, Chancery Estate Holdings Corp. </w:t>
      </w:r>
      <w:r>
        <w:rPr>
          <w:rFonts w:ascii="arial" w:eastAsia="arial" w:hAnsi="arial" w:cs="arial"/>
          <w:color w:val="000000"/>
          <w:sz w:val="20"/>
          <w:u w:val="single"/>
          <w:lang w:val="en-US" w:eastAsia="en-US" w:bidi="ar-SA"/>
        </w:rPr>
        <w:t>I confirm your statement to me that you have received independent legal advice regarding this Agreement from Anthony Dusevic. Accordingly, I have executed the Agreement on behalf of Chancery, and I enclose a fully executed copy for your records.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Chancery will elect between options (a), (b) or (c) by written notice to you prior to closing. In the meantime, unless the right to purchase can be sold within the next few days, i.e. unless the deal can be "flipped", you should commence making the necessary arrangements to negotiate and to qualify for the mortgage assumption.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Jetha on this application denies that she received independent legal advice. However, there is nothing in writing from her to Mr. Lakhani insisting that his statements in his e-mails of May 26 and June 17, or his statement in the memorandum of understanding regarding independent legal advice were wrong or in error.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Alleged Second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second alleged bargain was reached at a meeting at Mr. Dusevic's office on July 8, 2005. It is alleged to be an unfair bargain because the bargain gave Mr. Lakhani the option to convert his equity position to a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little evidence about what took place at the meeting, but Mr. Lakhani makes reference to the meeting in the following e-mail he sent to Ms. Jetha on August 4,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From:</w:t>
      </w:r>
      <w:r>
        <w:rPr>
          <w:rFonts w:ascii="arial" w:eastAsia="arial" w:hAnsi="arial" w:cs="arial"/>
          <w:color w:val="000000"/>
          <w:sz w:val="20"/>
          <w:lang w:val="en-US" w:eastAsia="en-US" w:bidi="ar-SA"/>
        </w:rPr>
        <w:t xml:space="preserve"> Ali Lakhani [lakhani@uniserv.com]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Sent:</w:t>
      </w:r>
      <w:r>
        <w:rPr>
          <w:rFonts w:ascii="arial" w:eastAsia="arial" w:hAnsi="arial" w:cs="arial"/>
          <w:color w:val="000000"/>
          <w:sz w:val="20"/>
          <w:lang w:val="en-US" w:eastAsia="en-US" w:bidi="ar-SA"/>
        </w:rPr>
        <w:t xml:space="preserve"> Thursday, August 04, 2005 3:56 PM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w:t>
      </w:r>
      <w:r>
        <w:rPr>
          <w:rFonts w:ascii="arial" w:eastAsia="arial" w:hAnsi="arial" w:cs="arial"/>
          <w:color w:val="000000"/>
          <w:sz w:val="20"/>
          <w:lang w:val="en-US" w:eastAsia="en-US" w:bidi="ar-SA"/>
        </w:rPr>
        <w:t xml:space="preserve"> 'safana@sutton.com'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Cc:</w:t>
      </w:r>
      <w:r>
        <w:rPr>
          <w:rFonts w:ascii="arial" w:eastAsia="arial" w:hAnsi="arial" w:cs="arial"/>
          <w:color w:val="000000"/>
          <w:sz w:val="20"/>
          <w:lang w:val="en-US" w:eastAsia="en-US" w:bidi="ar-SA"/>
        </w:rPr>
        <w:t xml:space="preserve"> 'antony@cheedusevic.com'; 'ssskyway@shaw.ca'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Pinetree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Sahara: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confirm your advice to me yesterday that you are still gathering your funds for the closing and that you expect to receive some of the funds from other real estate deals scheduled to complete on August 11, 2005. I am concerned that you are cutting things very fine, not only with the equity arrangements but also in terms of the mortgage assumption and qualification process. Please keep me posted as to these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discussed at Antony's office, </w:t>
      </w:r>
      <w:r>
        <w:rPr>
          <w:rFonts w:ascii="arial" w:eastAsia="arial" w:hAnsi="arial" w:cs="arial"/>
          <w:color w:val="000000"/>
          <w:sz w:val="20"/>
          <w:u w:val="single"/>
          <w:lang w:val="en-US" w:eastAsia="en-US" w:bidi="ar-SA"/>
        </w:rPr>
        <w:t>you have agreed to grant Chancery an option to convert from equity to loan at any stage of the deal. This is because you are very confident of the deal and are prepared to rely on your "intuition", while I am more conservative and would have preferred a more conventional due diligence process. In any event, to record my understanding of our arrangement, I have drafted an Addendum to our Memorandum of Understanding</w:t>
      </w:r>
      <w:r>
        <w:rPr>
          <w:rFonts w:ascii="arial" w:eastAsia="arial" w:hAnsi="arial" w:cs="arial"/>
          <w:color w:val="000000"/>
          <w:sz w:val="20"/>
          <w:lang w:val="en-US" w:eastAsia="en-US" w:bidi="ar-SA"/>
        </w:rPr>
        <w:t>, to which I have attached a Promissory Note and Pledge of Shares Agreement. As offered by you at our meeting with Antony, and accepted by me, Chancery will also require a mortgage over your properties to secure any loan that may arise from the equity-to-loan conversion. As I have not seen any appraisals of your properties, I am assuming that the values you faxed me on July 6, 2005, are reliable. Therefore, I am not expecting all your properties as security, only Nicola and the three East side properties (E. 19th, E. 30th, and E. 46th). If you have current appraisals and title searches of these, I would like to see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now enclosing for your review and approval the Addendum to Memorandum of Understanding, the promissory Note and the Pledge of Shares Agreement. </w:t>
      </w:r>
      <w:r>
        <w:rPr>
          <w:rFonts w:ascii="arial" w:eastAsia="arial" w:hAnsi="arial" w:cs="arial"/>
          <w:color w:val="000000"/>
          <w:sz w:val="20"/>
          <w:u w:val="single"/>
          <w:lang w:val="en-US" w:eastAsia="en-US" w:bidi="ar-SA"/>
        </w:rPr>
        <w:t>To protect both of us, I must insist that you obtain independent legal advice.</w:t>
      </w:r>
      <w:r>
        <w:rPr>
          <w:rFonts w:ascii="arial" w:eastAsia="arial" w:hAnsi="arial" w:cs="arial"/>
          <w:color w:val="000000"/>
          <w:sz w:val="20"/>
          <w:lang w:val="en-US" w:eastAsia="en-US" w:bidi="ar-SA"/>
        </w:rPr>
        <w:t xml:space="preserve"> Also, please discuss with Antony the escrow arrangement I am contemplating as the mechanism to reflect our arrangement.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you have indicated your signed acceptance of the arrangement, I will draw up the JVA.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Addendum to Memorandum of Understanding was sent August 2, 2005 and reads in part: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Addendum to Memorandum of Understanding</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u w:val="single"/>
          <w:lang w:val="en-US" w:eastAsia="en-US" w:bidi="ar-SA"/>
        </w:rPr>
        <w:t xml:space="preserve"> dated May 26,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From:</w:t>
      </w:r>
      <w:r>
        <w:rPr>
          <w:rFonts w:ascii="arial" w:eastAsia="arial" w:hAnsi="arial" w:cs="arial"/>
          <w:color w:val="000000"/>
          <w:sz w:val="20"/>
          <w:lang w:val="en-US" w:eastAsia="en-US" w:bidi="ar-SA"/>
        </w:rPr>
        <w:t xml:space="preserve"> Chancery Estate Holdings Corp. (per M. Ali Lakhani)</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w:t>
      </w:r>
      <w:r>
        <w:rPr>
          <w:rFonts w:ascii="arial" w:eastAsia="arial" w:hAnsi="arial" w:cs="arial"/>
          <w:color w:val="000000"/>
          <w:sz w:val="20"/>
          <w:lang w:val="en-US" w:eastAsia="en-US" w:bidi="ar-SA"/>
        </w:rPr>
        <w:t xml:space="preserve"> Sahara Jetha and Sahara Real Estate Investments Inc.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Date:</w:t>
      </w:r>
      <w:r>
        <w:rPr>
          <w:rFonts w:ascii="arial" w:eastAsia="arial" w:hAnsi="arial" w:cs="arial"/>
          <w:color w:val="000000"/>
          <w:sz w:val="20"/>
          <w:lang w:val="en-US" w:eastAsia="en-US" w:bidi="ar-SA"/>
        </w:rPr>
        <w:t xml:space="preserve"> August 2, 2005</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w:t>
      </w:r>
      <w:r>
        <w:rPr>
          <w:rFonts w:ascii="arial" w:eastAsia="arial" w:hAnsi="arial" w:cs="arial"/>
          <w:color w:val="000000"/>
          <w:sz w:val="20"/>
          <w:lang w:val="en-US" w:eastAsia="en-US" w:bidi="ar-SA"/>
        </w:rPr>
        <w:t xml:space="preserve"> Pinetree Apartments, 2525 and 2585 Hill-Tout Street, Abbotsford,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Sahara: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writing to confirm our arrangement with regard to the modifications and clarifications (discussed at Antony Dusevic's office on July 8, and subsequently) to our Memorandum of Understanding dated May 26, 2005, as follows: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have represented to me that the title to the subject property will be held by Sahara Real Estate Investments Inc. ("Trustee"), which is a "clean" company, with no financial liabilities.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have represented to me that you own or control properties located in Vancouver, B.C., at 971 Nicola (with an equity represented by you to be $860,000), 403 East 19th Street (with an equity represented by you to be 195,000), 750 East 30th Street (with an equity represented by you to be $210,000) and 236 East 46th Street (with an equity represented by you to be $213,000) (the "Properties").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Conditional upon:</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Trustee qualifying (without my personal or corporate covenant or guarantee) to assume the first mortgage of approximately $4.3 million from National Life, on the existing mortgage terms, and</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tendering title to complete the purchase in accordance with the terms set out in the Contract of Purchase, without requiring any indemnity or release of the existing covenants in support of the first mortgage,</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you, and "SaharaCo" (being a company which you intend to incorporate to be a co-venturer in the Pinetree Joint Venture), and the Trustee, executing this Addendum, and</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you paying all outstanding legal fees to Lakhani &amp; Company as at August 15, 2005,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my company, Chancery Estate Holdings Corp. ("Chancery"), elects (under clause (a) of the Memorandum) to acquire and pay for a 30% equity interest in the subject property, the title to which shall be held by the Trustee, as a bare trustee for the Pinetree Joint Venture.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expressed to you my concerns regarding the lack of due diligence searches, which you have chosen not to conduct. In order to induce Chancery to participate in this project, you have agreed that at any time during Chancery's participation as co-venturer in the Pinetree Joint Venture, until June 1, 2009, Chancery shall have the option to "convert its equity interest in the joint venture to a secured loan", as provided for herein. On August 15, 2005:</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Sahara and the Trustee shall execute a Promissory Note, jointly and severally, in the form attached hereto;</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Sahara shall execute a pledge of her shares in SaharaCo, in the form attached hereto;</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Sahara shall, at her own cost, register an 'inter alia' mortgage ("Mortgage") over the Properties, in a form to be approved by me (containing the standard statutory prescribed mortgage terms) but prepared by Sahara's lawyer, Antony Dusevic;</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Chancery shall execute a transfer to Sahara of its interest in the Pinetree Joint Venture; and</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Chancery shall execute a discharge of the Mortgage.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w:t>
      </w:r>
      <w:r>
        <w:rPr>
          <w:rFonts w:ascii="arial" w:eastAsia="arial" w:hAnsi="arial" w:cs="arial"/>
          <w:color w:val="000000"/>
          <w:sz w:val="20"/>
          <w:u w:val="single"/>
          <w:lang w:val="en-US" w:eastAsia="en-US" w:bidi="ar-SA"/>
        </w:rPr>
        <w:t>Sahara, as you are a client of mine on other matters, I must insist that you obtain independent legal advice with respect to our business dealings. I suggest therefore that you speak to Anthony Dusevic (or any other lawyer of your choice) regarding the arrangements summarized in this letter.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you have satisfied yourself that the contents of this letter reflect our discussions and our agreement, please sign and return the letter to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Sahara Jetha, SaharaCo, and Sahara Real Estate Investments Inc.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Jointly and Severally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Sahara Jetha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Chancery Estate Holdings Corp.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_______________________</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 Ali Lakhani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Presumably Ms. Jetha changed her mind about Mr. Lakhani being able to convert his equity position to a loan. This is reflected in the following e-mail that Mr. Lakhani sent to her and Safana on August 9, 2005: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From:</w:t>
      </w:r>
      <w:r>
        <w:rPr>
          <w:rFonts w:ascii="arial" w:eastAsia="arial" w:hAnsi="arial" w:cs="arial"/>
          <w:color w:val="000000"/>
          <w:sz w:val="20"/>
          <w:lang w:val="en-US" w:eastAsia="en-US" w:bidi="ar-SA"/>
        </w:rPr>
        <w:t xml:space="preserve"> Ali Lakhani [lakhani@uniserv.com]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Sent:</w:t>
      </w:r>
      <w:r>
        <w:rPr>
          <w:rFonts w:ascii="arial" w:eastAsia="arial" w:hAnsi="arial" w:cs="arial"/>
          <w:color w:val="000000"/>
          <w:sz w:val="20"/>
          <w:lang w:val="en-US" w:eastAsia="en-US" w:bidi="ar-SA"/>
        </w:rPr>
        <w:t xml:space="preserve"> Tuesday, August 09, 2005 10:33 AM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w:t>
      </w:r>
      <w:r>
        <w:rPr>
          <w:rFonts w:ascii="arial" w:eastAsia="arial" w:hAnsi="arial" w:cs="arial"/>
          <w:color w:val="000000"/>
          <w:sz w:val="20"/>
          <w:lang w:val="en-US" w:eastAsia="en-US" w:bidi="ar-SA"/>
        </w:rPr>
        <w:t xml:space="preserve"> 'safana@sutton.com'; 'ssskyway@shaw.ca'</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Cc:</w:t>
      </w:r>
      <w:r>
        <w:rPr>
          <w:rFonts w:ascii="arial" w:eastAsia="arial" w:hAnsi="arial" w:cs="arial"/>
          <w:color w:val="000000"/>
          <w:sz w:val="20"/>
          <w:lang w:val="en-US" w:eastAsia="en-US" w:bidi="ar-SA"/>
        </w:rPr>
        <w:t xml:space="preserve"> 'antony@cheedusevic.com'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Pinetree Apartments JV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Sahara: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enclosing the draft JVA for your review and 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our discussions yesterday in which you informed me that you were no longer willing to grant me security for my equity-to-loan conversion option other than over the Abbotsford property, I have revised the Addendum to our Memorandum to reflect this, on the basis that Chancery will have the option to convert to a loan retroactively until June 1, 2009, for any reason whatsoever, in my sole discretion. You have assured me that, if I exercise the option, you will use your best efforts to liquidate or refinance your properties to pay off the loan, and that, in consideration for my not registering a mortgage over your properties, you will keep me informed of all intended and actual dealings on your properties until June 1, 2009. I have discussed this with Nazlin, and we are content for Chancery to enter into an agreement based on this arrangement.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making arrangements to place Chancery's funds in Antony's trust account, which he can access only when I instruct him. I expect to instruct him to release the funds after I have approved the amounts and purposes of their disbursement, and after all our agreements have been signed and are in place, </w:t>
      </w:r>
      <w:r>
        <w:rPr>
          <w:rFonts w:ascii="arial" w:eastAsia="arial" w:hAnsi="arial" w:cs="arial"/>
          <w:color w:val="000000"/>
          <w:sz w:val="20"/>
          <w:u w:val="single"/>
          <w:lang w:val="en-US" w:eastAsia="en-US" w:bidi="ar-SA"/>
        </w:rPr>
        <w:t>with your signature attested to by Antony after you have obtained his independent legal advice.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August 10, 2005 Mr. Lakhani e-mailed Mr. Dusevic and set out his position and the basis on which Chancery would lend its funds, and asked Mr. Dusevic to inform him of Ms. Jetha's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August 11, 2005 Mr. Lakhani e-mailed Mr. Dusevic and Ms. Jetha informing them that based on his several conversations with her, he had revised the Chancery closing documents, and that he required an "ILA certificate properly completed" and other conditions satisfied before he would advance any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August 11, 2005 Mr. Dusevic e-mailed Mr. Lakhani with his comments on the proposed joint venture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Alleged Third Bargain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August 15, 2005 Ms. Jetha, Safana, Mr. Valji, Dr. Tejani, and Mr. Lakhani met at the offices of Chee Dusevic for the closing. Ms. Jetha states that the meeting was stressful because the parties were concerned about losing their deposits if there was no extension to the closing. However Mr. Dusevic managed to negotiate an extension to the closing date from August 15 to August 19,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same parties met again the following afternoon on August 16 at the offices of Chee Dusevic and discussed the terms of a joint venture agreement. Ms. Jetha did not like some of the terms that were proposed and concedes that at both meetings on August 15 and 16 she acted angrily, shouted, covered her ears, refused to listen to any suggestions that were contrary to her views, slapped her face, pulled her hair, and thumped the boardroom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Of course, Mr. Lakhani was concerned whether he could work with Ms. Jetha given her bizarre behaviour during the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Ms. Jetha states that on August 16 Mr. Dusevic was informed that the parties to the joint venture "had basically reached a deal and that Mr. Lakhani would draft the necessary joint venture agreement". Mr. Dusevic's handwritten note in his file reads: "Ali has strongly advised all Parties to get Independent Legal advice on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Dusevic then left on vacation that day (August 16), and during his absence his partner Ms. Chee was going to look after the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Lakhani states that by August 16, the parties to the joint venture orally agreed to the following terms: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Sahara Inc. would acquire the Property as a bare trustee for a joint venture to be known as "Pinetree Apartments Joint Venture", comprising Ms. Jetha (as to a 54.6% interest), Chancery (as to a 30% interest), Dr. Tejani (as to a 8.4% interest), and Mr. Valji (as to a 7% interest);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joint venture would be to acquire, operate, improve, and sell the Property;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would be professionally managed by a professional property management company;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operations would be handled jointly by Ms. Jetha and Chancery, or their respective nominees;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major decisions (defined as the sale, refinancing, development, rezoning, subdivision, or capital expense exceeding $50,000 for any transaction or group of similar transactions in any calendar year) would require the consent of both Ms. Jetha and Chancery and either Dr. Tejani or Mr. Valji;</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Disputes would be referred to arbitration by the Ismaili Conciliation and Arbitration Board;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Sahara Inc. would be owned and controlled by Ms. Jetha and Chancery equally;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Sahara Inc. would establish a bank account controlled by Ms. Jetha and Chancery jointly;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venturer could sell his interest in the joint venture for two years, and after two years only subject to a right of first refusal;</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venturer failed to contribute to cash calls, the other venturers could contribute pro rata, and the venturer who did not contribute to the cash call would be charged interest at the rate of 15% per annum on the amount which that venturer should have contributed;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Chancery had an option, exercisable on or before June 1, 2009, to convert its equity interest to a loan with interest on the optional loan to accrue retroactively from the date of Chancery's investment at the rate of 10% per annum (the "loan conversion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Jetha states that by the end of the August 16 meeting she had "lost all trust" in Mr. Lakhani's willingness to act in her best interests. However, by Ms. Jetha's own admissions by that date Mr. Lakhani was no longer acting as her solicitor in the property purchase; Mr. Dusevic was her lawyer.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August 19, 2005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closing took place on August 19, 2005. Shortly after the closing Ms. Jetha asserted that no joint venture agreement was necessary because Mr. Lakhani had provided his $500,000 as a loan and he was protected by her oral agreement to repay his loan on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Lakhani sent the following e-mail to Ms. Chee on August 22,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From:</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Ali Lakhani [lakhani@uniserve.com]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Sent: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Monday, August 22, 2005 3:17 PM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'gillian@cheedusevic.com'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'nyb@telus.net'; nizarvalji@shaw.ca'; 'antony@cheedusevic.com'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Pinetree Apartments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Gillian: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discussion this morning and my voice mail message of 3:45 p.m. today. I confirm that Sahara has informed Nizar Bharmal this afternoon (who has in turn informed me) that: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 venture agreement is not in effect. Chancery has no interest in the Property;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Chancery's 30% interest has been promised by Sahara to "someone else";</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Sahara will not permit the Property to be held or managed by a neutral party or trustee until Antony returns from his vacation; and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Sahara doesn't care if Chancery sues her or if the Property goes into foreclosure, but she will deal with the Property as she wishes, and will only deal with Antony.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urged you to contact Antony immediately to explain the situation to him in order to put a stop to this madness. You had told me this morning that you would review the matter. The matter is now even more urgent. I think you have an obligation to bring this matter, and my copy to you of the letter to Sahara, to Antony's attention today. He knows what was agreed to and will be better able to appreciate the gravity of what has occurred. If you do not act, you will be contributing to the damages that Chancery has already incurred and will potentially incur.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let me know immediately what you intend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August 22, 2005 Mr. Lakhani faxed to Ms. Chee a copy of an unfiled and unsigned writ of summons and stated that a filed writ of summons would follow. The draft writ of summons named Chancery, Dr. Tejani, and Mr. Valji as plaintiffs, and Ms. Jetha and Sahara Inc. as defendants, and claimed a declaration that Sahara Inc. held the Property as bare trustee in trust for the Pinetree Apartments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Chee replied to Mr. Lakhani by e-mail on August 23,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From:</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Gillian Chee [gillian@cheedusevic.com]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Sent: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Tuesday, August 23, 2005 10:15 AM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Ali Lakhani; nizarvalji@shaw.ca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Cc:</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Antony Dusevic; nyb@telus.net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085"/>
        <w:gridCol w:w="240"/>
        <w:gridCol w:w="6463"/>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Subject:</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34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 Writ and Certificate of Pending Litigation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Ali,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have just got off the phone with Sahara.</w:t>
      </w:r>
      <w:r>
        <w:rPr>
          <w:rFonts w:ascii="arial" w:eastAsia="arial" w:hAnsi="arial" w:cs="arial"/>
          <w:color w:val="000000"/>
          <w:sz w:val="20"/>
          <w:lang w:val="en-US" w:eastAsia="en-US" w:bidi="ar-SA"/>
        </w:rPr>
        <w:t xml:space="preserve"> Her voice was hoarse, she said that she had been in and out of the emergency room at the hospital four times in the past 10 days. </w:t>
      </w:r>
      <w:r>
        <w:rPr>
          <w:rFonts w:ascii="arial" w:eastAsia="arial" w:hAnsi="arial" w:cs="arial"/>
          <w:color w:val="000000"/>
          <w:sz w:val="20"/>
          <w:u w:val="single"/>
          <w:lang w:val="en-US" w:eastAsia="en-US" w:bidi="ar-SA"/>
        </w:rPr>
        <w:t>She assured me that she was not intending to dispose of her or anybody's interest in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note from your draft writ that you purport to be counsel for all of Chancery, Abbas Tejani and Nizar Valji. With respect, are you not in conflict of interest?</w:t>
      </w:r>
      <w:r>
        <w:rPr>
          <w:rFonts w:ascii="arial" w:eastAsia="arial" w:hAnsi="arial" w:cs="arial"/>
          <w:color w:val="000000"/>
          <w:sz w:val="20"/>
          <w:lang w:val="en-US" w:eastAsia="en-US" w:bidi="ar-SA"/>
        </w:rPr>
        <w:t xml:space="preserve"> Chancery's situation is substantially different from that of Abbas or or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Nizar V. A contentious issue is whether Chancery's interest is loan or equity. There would be a significant difference in terms of the value of Abbas or Nizar's interest in the property, depending on whether Chancery's interest is loan or equity. Also, </w:t>
      </w:r>
      <w:r>
        <w:rPr>
          <w:rFonts w:ascii="arial" w:eastAsia="arial" w:hAnsi="arial" w:cs="arial"/>
          <w:color w:val="000000"/>
          <w:sz w:val="20"/>
          <w:u w:val="single"/>
          <w:lang w:val="en-US" w:eastAsia="en-US" w:bidi="ar-SA"/>
        </w:rPr>
        <w:t>I am sure you are aware of the caveats to lawyers of being their own counsel in matters where they themselves have a financial interest in the subject matter. Sahara advised me that you have acted as her lawyer on previous occasions before. I have no knowledge of those situations, but it seems to me to be another area of potential or actual conflict of interest for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Gillian Chee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CHEE DUSEVIC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Lakhani replied to Ms. Chee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From:</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Ali Lakhani [lakhani@uniserve.com]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Sent:</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Tuesday, August 23, 2005 1:30 PM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'gillian@cheedusevic.com'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Cc:</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'antony@cheedusevic.com'; 'nyb@telus.net'; 'nizarvalji@shaw.ca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Pinetree Apartments Joint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Gillian: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email. I respond to some of your points as follows:</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state that "a contentious issue is whether Chancery's interest is loan or equity". I do not understand the basis of this contention. The deal would not have closed without Chancery executing the mortgage assumption. Your firm is aware that it was a requirement of the mortgagee that the joint venturers, being the beneficial equity owners, provide covenants guaranteeing the mortgage. This was done in Antony's presence. Sahara has acknowledged to the mortgagee that Chancery was a beneficial owner of the lands. Antony has notes on file of the venturer's respective interests. I am therefore puzzled by the claim that Chancery's money was a loan.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Finally, on the issue of conflicts, I have been very careful throughout (as Antony will attest) to ensure that all the venturers obtained independent legal advice, and, in Sahara's case, </w:t>
      </w:r>
      <w:r>
        <w:rPr>
          <w:rFonts w:ascii="arial" w:eastAsia="arial" w:hAnsi="arial" w:cs="arial"/>
          <w:color w:val="000000"/>
          <w:sz w:val="20"/>
          <w:u w:val="single"/>
          <w:lang w:val="en-US" w:eastAsia="en-US" w:bidi="ar-SA"/>
        </w:rPr>
        <w:t>I recall being advised by Antony (several times, and in the presence of the other venturers in your boardroom) that he had provided ILA to Sahara regarding the deal, that she had agreed to sign our agreements, and that Antony was going to sign the ILA certificate before he left for his vacation.</w:t>
      </w:r>
      <w:r>
        <w:rPr>
          <w:rFonts w:ascii="arial" w:eastAsia="arial" w:hAnsi="arial" w:cs="arial"/>
          <w:color w:val="000000"/>
          <w:sz w:val="20"/>
          <w:lang w:val="en-US" w:eastAsia="en-US" w:bidi="ar-SA"/>
        </w:rPr>
        <w:t xml:space="preserve"> I ask you to send me a copy of it from your files.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have noted your comment regarding other alleged conflicts. As of August 20th, I no longer act for Sahara in any matter, as she is aware. With regard to my alleged conflict with the other venturers, I do not perceive the conflict as they and I have the same understanding of our respective venture interests. However, I do not wish this to become an issue (as it would deflect focus from the real issue of Sahara's breaches of our agreement) and so I will probably not act for Abbas or Nizar Valji.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added.]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 First Proceeding commenced August 24, 2005 (VA S054717)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On August 24, 2005 the first proceeding or what the applicants refer to as "the companion action" was commenced by Chancery, Abbas Tejani, and Nizar Valji against Sahara Jetha and Sahara Inc. (B.C. Supreme Court action number S054717). The endorsement on the writ of summons sought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 declaration that Sahara Inc. held the Property as a bare trustee in trust for the Pinetree Apartments Joint Venture by which the venturers held the undivided </w:t>
      </w:r>
      <w:r>
        <w:rPr>
          <w:rFonts w:ascii="arial" w:eastAsia="arial" w:hAnsi="arial" w:cs="arial"/>
          <w:i/>
          <w:color w:val="000000"/>
          <w:sz w:val="20"/>
          <w:lang w:val="en-US" w:eastAsia="en-US" w:bidi="ar-SA"/>
        </w:rPr>
        <w:t>beneficial</w:t>
      </w:r>
      <w:r>
        <w:rPr>
          <w:rFonts w:ascii="arial" w:eastAsia="arial" w:hAnsi="arial" w:cs="arial"/>
          <w:color w:val="000000"/>
          <w:sz w:val="20"/>
          <w:lang w:val="en-US" w:eastAsia="en-US" w:bidi="ar-SA"/>
        </w:rPr>
        <w:t xml:space="preserve"> interests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Sahara Jetha:</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54.6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Chancery:</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Abbas Tejani:</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Nizar Valji: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September 4, 2005 Ms. Jetha retained Jack Anderson of the law firm Anderson Paul to defend her and Sahara Inc. She discussed with him the history of her solicitor and client relationship with Mr. Lakhani and his involvement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September 16, 2005 a statement of claim was filed that set out excruciatingly detailed particulars of the negotiations and events leading to the Property purchase on August 19, 2005 and the dispute that followed. The statement of claim contains references in seven different paragraphs relating to the requirement of Chancery and Mr. Lakhani that Ms. Jetha obtain independent legal advice, and sets out the terms of the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Jetha made handwritten notes on her copy of the statement of claim for Mr. Anderson and wrote of Mr. Lakhani: "I risk with an inexperienced and fearful investor", and "He is a lawyer [and] should have known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October 18, 2005 Ms. Jetha and Sahara Inc. filed a statement of defence stating that Mr. Lakhani had been Ms. Jetha's lawyer for many years, but generally denying the claim, and the terms of any joint venture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Partition Proceeding commenced October 26, 2005 (VA L052545)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advice of Mr. Anderson, on October 26, 2005 Ms. Jetha commenced partition proceedings (VA L052545) against Chancery, Dr. Tejani, and Mr. Valji, and sought an order for sale of the Property. Ms. Jetha admitted that through Sahara Inc. she purchased the Property as trustee for the joint venture and that the beneficial ownership of the Property was held by the parties to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her affidavit sworn October 25, 2005 in the petition proceeding, Ms. Jetha referred to Mr. Dusevic as her lawyer in August 2005, and set out the beneficial interests of each of the parties to the joint venture.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through my Corporation, Sahara Real Estate Investment Inc., caused to be purchased certain property at 2525 and 2585 Hill Tout Street, in the Municipality of Abbotsford, in the Province of British Columbia, (the property) as trustee for a joint venture in which the Respondents are parties. As a result of the pressure of time at certain meetings just before closing August 19, 2005, the details of the joint venture were discussed but not concluded. Subsequently, my lawyer [Mr. Dusevic] went out of town and I was unable to receive his legal advice regarding the details.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discussions among the parties as to details of a joint venture ended incomplete and since my lawyer was away from Vancouver, I, nonetheless, honoured the material terms of our proposed joint venture including purchasing the property through Sahara Real Estate Investment Inc. as trustee, appointing or agreeing to the appointment of Gateway Management Inc. as property manager, arranging for Nizar Bharmal to arrange appropriate banking, to arranging the continuation of on site property management and to personally paying part of the first month's mortgage payment which payment was taken by the bank from my personal account.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the person who is owed the bulk of certain excess contribution funds which I have been advised is in excess of $39,000.00 which are held by my solicitor, Antony Dusevic.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swear this affidavit in support of an Order pursuant to the </w:t>
      </w:r>
      <w:r>
        <w:rPr>
          <w:rFonts w:ascii="arial" w:eastAsia="arial" w:hAnsi="arial" w:cs="arial"/>
          <w:i/>
          <w:color w:val="000000"/>
          <w:sz w:val="20"/>
          <w:lang w:val="en-US" w:eastAsia="en-US" w:bidi="ar-SA"/>
        </w:rPr>
        <w:t>Partition of Property Act</w:t>
      </w:r>
      <w:r>
        <w:rPr>
          <w:rFonts w:ascii="arial" w:eastAsia="arial" w:hAnsi="arial" w:cs="arial"/>
          <w:color w:val="000000"/>
          <w:sz w:val="20"/>
          <w:lang w:val="en-US" w:eastAsia="en-US" w:bidi="ar-SA"/>
        </w:rPr>
        <w:t>, that the property be sold and the monies distributed following an accounting or agreement of the parties pursuant to the respective ownership rights. I own 54.6% of the property, my former lawyer, Ali Lakhani, through his corporation, Chancery Estate Holdings Corp., owns 30%, two smaller investors, Abbas Tejani owns 8.4% and Nizar Valji owns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Ms. Jetha swore a similar affidavit on December 25, 2005 in the first proceeding in support of an order for a stay of those proceedings pending the sale of the Property pursuant to the </w:t>
      </w:r>
      <w:r>
        <w:rPr>
          <w:rFonts w:ascii="arial" w:eastAsia="arial" w:hAnsi="arial" w:cs="arial"/>
          <w:i/>
          <w:color w:val="000000"/>
          <w:sz w:val="20"/>
          <w:lang w:val="en-US" w:eastAsia="en-US" w:bidi="ar-SA"/>
        </w:rPr>
        <w:t>Partition of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July 4, 2007 Reasons for Judgment of Mr. Justice Pitfield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Although the joint venture agreement agreed to on August 15, 2006 provided that the Property would be professionally managed by a project manager and Mr. Valji, in July 2006 Ms. Jetha "exercised what I regarded as my absolute right as majority owner to assume management" of the property with Safana as "co-project manager". This added to the friction between the parties, and to Ms. Jetha's claim for management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late summer and fall of 2006 Ms. Jetha through an intermediary, Didar Karim, tried to purchase Chancery's 30 percent interest and Mr. Valji's seven percent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May 2007 Ms. Jetha retained new lawyers, Mr. James Goulden and Mr. Vince Aldridge of the firm Bull Housser &amp; Tupper, LLP. She also discussed with them the history of her solicitor and client relationship with Mr. Lakhani and his involvement with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June 2007, on the advice of her lawyers, Ms. Jetha brought an application in the partition proceeding for an order referring to the trial list the issue of whether a binding settlement agreement was made in October 2006. In her affidavit sworn June 11, 2007 Ms. Jetha claimed that on October 4, 2006 a settlement agreement was reached in principle whereby she would pay Chancery and Mr. Valji $1.048 million for their combined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Jetha's application was dismissed by Mr. Justice Pitfield who found that she had no prospect of succeeding on her claim that there was a binding agreement of purchase and sale concluded with Chancery and Mr. Valji, or either of them in October 2006 or at any subsequent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November 20, 2007 Ms. Jetha swore a further affidavit in the partition proceeding stating that Mr. Tejani had transferred his beneficial interest to her and she had transferred that beneficial interest to Karim Kassam, and that the distribution of the undivided beneficial interests in the Property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Sahara Jetha:</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54.6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Chancery:</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Karim Kassam:</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8.4 percent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Nizar Valji: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 percent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 Escrow Agreement and Services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several months of negotiations, during which Ms. Jetha was represented by Bull Housser &amp; Tupper, Ms. Jetha, Chancery, Mr. Kassam, Mr. Valji, and Sahara Inc. settled the issues in the first proceeding and the partition proceeding and each of the parties to the joint venture signed a ten-page Escrow Agreement and a 13-page Services Agreement both dated January 10, 2008. Under the terms of the Escrow Agreement it was acknowledged that Sahara Inc. held the Property in trust for the beneficial owners, and set out the distribution of the individual beneficial interests. The parties agreed to appoint Mr. Bashir Jaffer, a certified general accountant, to act as an informal receiver-manager to manage the property and each of the parties was to receive their respective shares of the net proceeds of sale, subject to any accounting issues arising from the management of the property up to January 10, 2008. The parties also released each other from any and all claims or causes of action arising out of or in connection with their respective interest in the Property or sale of the Property, and the allegations contained in the first proceeding and the partition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Escrow Agreement and Services Agreement were appended to a consent order entered on January 10, 2008 consenting to the sale of the Property, and a term that the distribution of the proceeds of sale were to be governed by the terms of the Services Agreement and Escrow Agreement. The order also provided that the parties had leave to seek further directions with respect to the sale of the Property and the distribution of the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Property sold in March 2008 for approximately $9.2 million. After paying the liabilities and returning to the owners the funds they had advanced towards the purchase price, approximately $3 million remains. Those funds are being held by Bull Housser &amp; Tupper as escrow agent pending agreement in trust or court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 Third Proceeding Commenced July 2, 2009 (VA S094923)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parties failed to reach agreement over the distribution of the proceeds, in part because Chancery and Mr. Valji also claimed for an accounting by Ms. Jetha and Sahara Inc. From the time the Property was purchased until it was sold, Ms. Jetha and Safana managed the Property either directly or indirectly, and controlled the rental revenues.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order to determine the plaintiffs' accounting claims and the division of profits this action (the third proceeding) was commenced by Chancery and Mr. Valji on July 2,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August 2009 Ms. Jetha retained Mr. Winstanley to represent her in the place of Bull Housser &amp; Tupper. Ms. Jetha provided all of the same information to Mr. Winstanley as she had to Mr. Anderson and to the lawyers at Bull Housser &amp; Tupper. In her words, "I provided everything to everybody".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late January 2010 Mr. Winstanley informed Mr. Fredricksen, counsel for Chancery and Mr. Valji, that Chancery was only entitled to receive the principal amount of its investment and a reasonable amount of interest, but was not entitled to any share in the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April 2010 the defendants defended this action by claiming,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Chancery was only a lender and not an equity owner of the Property, and that Chancery and Mr. Valji were not entitled to any of the profits. The defendants also claim that they received "not competent" or "non-competent" legal advice from their solicitors, Dusevic and Chee, Jack Andersen, and Bull Housser &amp; Tupper. The defendants by their amended counterclaim repeat the allegations that the plaintiffs were not entitled to a share of the profits and seek damages against the plaintiffs and against Mr. Lakhani, Ms. Nathu and the law firm alleging that they had breached fiduciary duties owed to Ms. Jetha and Sahara Inc. Essentially the same counterclaims were made by the defendants in the first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amended counterclaim brought against Ms. Nathu is based on an allegation that the law firm was a partnership of Mr. Lakhani and Ms. Nathu. However, Ms. Nathu is not and never has been the law partner of Mr. Lakhani.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amended counterclaim brought against Mr. Valji is based upon the allegations that:</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Valji was aware of the confidential relationship between Mr. Lakhani and Ms. Jetha and Sahara Inc.;</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Valji had notice of the impropriety of the acquisition of an interest in the Property by Chancery;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this notice Mr. Valji could not derive any benefit from his purchase of an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THE PLEADINGS SOUGHT TO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impugned paragraphs in the further amended statement of defence and counterclaim in action number S094923 and the amended statement of defence and counterclaim in action number S054717 that the plaintiffs want struck are extensive but must be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impugned paragraphs of the further amended statement of defence and amended counterclaim in these proceedings (action number S094923)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Creation of a Fiduciary Relationship</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further reply to paragraph 7 of the Statement of Claim, the Defendants say that the true facts are:</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relevant times, the Plaintiff Chancery Estate Holdings Corp. ("Chancery") was a company solely owned and controlled by M. Ali Lakhani ("Lakhani"), a barrister and solicitor and a member in good standing of the Law Society of British Columbia;</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May 2005, the Defendant Sahara Jetha had retained the legal services of Lakhani and/or his law firm from time to time to represent her legal interests and those of her private companies in various, usually litigation-related matters;</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their long-standing solicitor and client relationship and/or by reason of the trust and confidence that the Defendant Sahara Jetha placed in her legal counsel, a fiduciary relationship existed between Lakhani and his law firm on the one hand and their Defendant former clients on the other;</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fiduciary relationship continued at all relevant times herein;</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11, 2005, the Defendants Sahara Co. and Sahara Jetha or either of them retained the legal services of Lakhani and his law firm to handle, in the Defendant Sahara's anticipated absence, certain issues that might arise under the Purchase Agreement pursuant to which Sahara Co. was to acquire sole title to the Property from a third party;</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relevant times thereafter, Lakhani and his law firm acted as solicitors or former solicitors to these Defendants or either of them;</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their retainer agreement, or by virtue of their relationship of solicitor and client, or by virtue of Lakhani's past and on-going role as these Defendants' legal counsel in the matter of the Purchase Agreement and in other unrelated legal matters, the Defendant clients reposed confidence in him and he acquired a position of personal ascendancy over them which continued at all relevant times herein; and</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consequence, at all times subsequent to May 11, 2005, the solicitor Lakhani and his law firm owed fiduciary duties to his clients or former clients that continued for so long as the legal issues created by his company Chancery's participation in the Purchase Agreement remained.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Memorandum of Understanding of May 26, 2005</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still further reply to paragraph 7, the Defendants say that the true facts are:</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instead of limiting his involvement to the legal services for which he and his firm had been retained, Lakhani decided to go into business with his clients or former clients, using his company Chancery as his vehicle for what was initially conceived as either an equity participation in the Property or a high interest loan to his client/purchaser Sahara Co.;</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Lakhani prepared and had his clients execute a Memorandum of Understanding dated May 26, 2005 in circumstances where his interests were in conflict with theirs;</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bargain evidenced by the Memorandum of Understanding was an unfair or improvident one from the perspective of his clients or former clients;</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foregoing, any agreement evidenced by the Memorandum of Understanding was at all times thereafter voidable and capable of being set aside at the option of his Defendant clients; and</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fiduciary duty which they owed to their clients or former clients, the solicitor Lakhani and his law firm at all times then and subsequently failed or neglected to advise the Defendant clients of this fact.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still further reply to paragraph 7 the Defendants say that the true facts are that Lakhani failed to ensure that his clients secured independent and competent legal advice prior to executing the Memorandum of Understanding with his company Chancery.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July 8th Meeting</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still further reply to paragraph 7, the Defendants say that the true facts are:</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July 8th Meeting, Lakhani, inter alia, purported to vary the Memorandum of Understanding (which required Chancery to exercise its conversion option prior to closing) to provide that it could exercise its conversion option at any time during the approximately 4 years left on the term of the mortgage;</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during the July 8th Meeting, or subsequently, did Lakhani or his law firm ensure that any agreement reached at the July 8th Meeting (as to the steps to be taken to complete the Purchase Agreement) was the result of the free exercise of independent will by Sahara Jetha, as opposed to the product of the pressure being brought to bear on her by Lakhani and his company Chancery's assertion of contractual rights wrongfully acquired pursuant to the voidable Memorandum of Understanding;</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during or after the July 8th Meeting did the Defendant clients or former clients or either of them ever make the agreement as particularized in paragraph 7 of the Statement of Claim;</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absence of an agreement as alleged, Lakhani, in breach of his fiduciary duties, simply treated the agreement as alleged as accepted by his clients or former clients, and proceeded to draw up the documentation;</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if an agreement as alleged was concluded between the plaintiff Chancery and the Defendant clients or either of them during the July 8th Meeting, which is not admitted but specifically denied, that bargain was an improvident and unfair one from the perspective of the Defendant clients or former clients;</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any agreement as alleged would have constituted a gift to the solicitor's private company and/or the unfair and improvident nature of the bargain meant that, in order to remove the inference that it had been obtained as a result of undue pressure brought to bear on the Defendant clients by Lakhani or as a result of over-reaching on his part, required Lakhani to ensure that his clients obtained independent and competent advice before signing;</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during the July 8th Meeting or subsequently did Lakhani or his law firm ensure that his clients or former clients secured independent and competent legal advice;</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Antony Dusevic attended the July 8th Meeting from time to time as a solicitor representing the legal interests of all parties as purchasers in the conveyance contemplated by the Purchase Transaction, which he was retained to document;</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Antony Dusevic gave the Defendant clients independent legal advice during the July 8th Meeting, that advice was not competent, because at no time during that meeting or subsequently did Lakhani or his law firm ensure that Antony Dusevic was given sufficient information concerning the unfair or improvident nature of the bargain evidenced by the Memorandum of Understanding, or the circumstances of its execution, or the nature of the fiduciary relationship that then existed and continued to exist between Lakhani and the Defendant clients, so as to make any intervention by him on behalf of the Defendant clients of value;</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foregoing, any bargain concluded during the July 8th Meeting was voidable and capable of being set aside at the option of the Defendant clients; and</w:t>
      </w:r>
    </w:p>
    <w:p>
      <w:pPr>
        <w:numPr>
          <w:numId w:val="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fiduciary duty which they owed to their clients or former clients, the solicitor Lakhani and his law firm at all times then and subsequently tailed or neglected to advise the Defendant clients or former clients or Antony Dusevic of this fact.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Draft Addendum to the Memorandum of Understanding</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still further reply to paragraph 7, the Defendants say that the true facts are:</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4, 2005, Lakhani e-mailed the Defendant Sahara Jetha requesting appraisals of her property portfolio so that he could determine what collateral security his company Chancery would require as security if it exercised its option to make a high interest loan;</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e-mail, Lakhani wrongfully and in breach of his fiduciary duties simply laid down the terms on which Chancery would now be participating in the Purchase Transaction;</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to this e-mail were a number of documents that had been prepared by Lakhani without consultation with his former clients, including a draft Addendum to the Memorandum of Understanding, which provided in part that certain documents were to be held pursuant to an Escrow Agreement, including a Promissory Note and a Share Purchase Agreement, drafts of which were likewise attached to the e-mail (hereinafter referred to collectively as the "Draft Addendum to the Memorandum of Understanding");</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original Memorandum of Understanding contained no terms requiring the Defendants Sahara Jetha or Sahara Co. either to agree to a 4-year long conversion option or to execute an escrow agreement or share pledge agreement;</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bargain represented by the Draft Addendum to the Memorandum of Understanding was an improvident or unfair one from the perspective of the Defendant clients or former clients;</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Sahara Jetha subsequently refused to execute any of the documents comprising the Draft Addendum to the Memorandum of Understanding; and</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his failure to secure his former client's signed acceptance of the arrangement and in breach of his fiduciary duties, Lakhani simply proceeded to treat the terms of his August 4, 2005 e-mail and its included documents as accepted by his clients or former clients and to draw up and proceed to negotiate various versions of the Addendum to the Memorandum of Understanding and its included documents.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Oral Joint Venture Agreement of August 16, 2005</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further reply to paragraph 8 of the Statement of Claim, the Defendants say that the true facts are that, subsequent to August 9, 2005, Lakhani:</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to assert contractual rights wrongfully acquired by his company Chancery pursuant to the voidable Memorandum of Understanding or any voidable bargain allegedly reached during the July 8th Meeting;</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prepared and delivered for execution by clients or his former clients or either of them various draft joint venture agreements and other documents providing for both the Plaintiffs' and the Defendants' participation in the Purchase Agreement;</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engaged in direct negotiations with his client or former client Sahara Jetha regarding this joint venture agreement; and</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took steps to fund Chancery's participation under the Purchase Agreement;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fact that Sahara Jetha was expressing hesitation or unwillingness at having her company implement the unfair or improvident bargains evidenced by the Memorandum of Understanding or any agreement reached during the July 8th Meeting and notwithstanding Lakhani's awareness, express or implied, that both of these bargains were voidable.</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still further reply to paragraph 8, the Defendants say that the true facts are:</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relevant times prior to August 16, 2005, Lakhani realized that the Property was worth significantly more than his client Sahara Co. had agreed to pay for it on May 3, 2005;</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consequence of that realization. Lakhani knew or reasonably ought to have known that his 30% equity interest his company was bargaining for was now worth more than the $500,000 he was about to pay to his clients or former clients;</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15 and August 16, 2005, a series of meetings took place between Sahara Jetha on the one hand and Lakhani and the individual Plaintiffs on the other in what would ultimately prove to be an unsuccessful attempt by Lakhani to document the nature of the parties' participation in a joint venture agreement;</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these negotiations, Lakhani continued to assert contractual rights wrongfully acquired by his company Chancery pursuant to the voidable Memorandum of Understanding or any voidable agreement concluded during the July 8th Meeting or subsequently in order to bring pressure to bear on his client or former client Sahara Jetha;</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these negotiations, Lakhani engaged in direct negotiations with his former client Sahara Jetha regarding both the Plaintiffs' and the Defendants' participation in the Purchase Agreement and the proposed joint venture agreement;</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these negotiations, Sahara Jetha continued to express hesitation or unwillingness at having her company Sahara Co. implement the unfair or improvident bargains evidenced by the Memorandum of Undertaking or any agreement reached during the July 8th Meeting or subsequently;</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these circumstances, and with the added pressure created by the pending closing, sometime on or about August 16, 2005, the Defendants reached a joint venture agreement with the Plaintiffs, the details of which (having to do with the arrangements between Sahara Co. and Chancery) were discussed, but not concluded (hereinafter referred to as the "Oral Joint Venture Agreement");</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this Oral Joint Venture Agreement constituted a gift to the solicitor's private company or the unfair and improvident nature of the bargain it evidenced meant that, in order to remove the inference that it had been obtained as a result of undue pressure brought to bear on the Defendant clients by Lakhani or as a result of over-reaching on his part, required Lakhani to ensure that his clients obtained independent and competent advice before agreeing to it;</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during these negotiation or subsequently did Lakhani or his law firm ensure that his clients or former clients secured independent and competent legal advice relative to the contents of the Oral Joint Venture Agreement;</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Antony Dusevic was present from time to time during the negotiations that led to the Oral Joint Venture Agreement as solicitors representing the legal interests of all parties as purchasers in the conveyance contemplated by the Purchase Agreement, which he was retained to document;</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Antony Dusevic gave the Defendants Sahara Jetha and Sahara Co. independent legal advice during these negotiations or subsequently, which is not admitted but specifically denied, that advice was not competent because at no time did Lakhani or his law firm ensure that he was given sufficient information concerning the unfair or improvident nature of the bargain evidenced by either the Memorandum of Understanding or the Oral Joint Venture Agreement or any agreement reached during the July 8th Meeting or subsequently, or the circumstances surrounding the execution of the Memorandum of Understanding or the making of the bargain allegedly reached in the July 8th Meeting, or the nature of the fiduciary relationship that then existed and continued to exist between Lakhani and his law firm and the Defendant clients, so as to make any intervention by Antony Dusevic on behalf of these Defendants of value;</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during these negotiations or subsequently did Lakhani or his law firm ensure that the Oral Joint Venture Agreement reached was the result of the free exercise of independent will by their former client Sahara Jetha, as opposed to the product of the pressure being brought to bear on her and her company by Lakhani and his company Chancery's assertion of contractual rights wrongfully acquired pursuant to the voidable Memorandum of Understanding or any voidable bargain reached during the July 8th Meeting, or subsequently;</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specifically deny the terms of the Oral Joint Venture Agreement as particularized in paragraph 8 of the Statement of Claim, and put the Plaintiffs to the strict proof of such terms;</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Lakhani engaged in negotiations that led to the conclusion of the Oral Joint Venture Agreement at a time when his interests were in conflict with those of his clients or former clients;</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bargain evidenced by the Oral Joint Venture Agreement was an unfair or improvident one from the perspective of his Defendant clients or former clients;</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foregoing, any bargain evidenced by the Oral Joint Venture Agreement was at all times thereafter voidable and capable of being set aside at the option of his Defendant clients or former clients; and</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fiduciary duty which they owed to their clients or former clients, the solicitor Lakhani and his law firm at all times then and subsequently failed or neglected to advise these Defendants of this fact.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Chancery's Exercise of its Loan Option</w:t>
      </w:r>
    </w:p>
    <w:p>
      <w:pPr>
        <w:numPr>
          <w:numId w:val="3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way of further reply to paragraphs 8, 9 </w:t>
      </w:r>
      <w:r>
        <w:rPr>
          <w:rFonts w:ascii="arial" w:eastAsia="arial" w:hAnsi="arial" w:cs="arial"/>
          <w:color w:val="000000"/>
          <w:sz w:val="20"/>
          <w:u w:val="single"/>
          <w:lang w:val="en-US" w:eastAsia="en-US" w:bidi="ar-SA"/>
        </w:rPr>
        <w:t>and 9A</w:t>
      </w:r>
      <w:r>
        <w:rPr>
          <w:rFonts w:ascii="arial" w:eastAsia="arial" w:hAnsi="arial" w:cs="arial"/>
          <w:color w:val="000000"/>
          <w:sz w:val="20"/>
          <w:lang w:val="en-US" w:eastAsia="en-US" w:bidi="ar-SA"/>
        </w:rPr>
        <w:t xml:space="preserve"> of the Statement of Claim, the Defendants say that the true facts are:</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departure of Antony Dusevic on holidays the afternoon of Tuesday, August 16, 2005, the negotiations between the parties to iron out the details of the Oral Joint Venture Agreement as between Sahara Co. on the one hand and Chancery on the other continued;</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exchanges between the defendant Sahara and the solicitor Lakhani became more and more heated, the Plaintiffs declined to continue the negotiations to determine the parties' respective contributions to the purchase price so as to permit the release of the excess funds in the trust account at Dusevic &amp; Co. come</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August 19, 2005 completion;</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approximately 9:00 p.m. that evening, the solicitor Lakhani telephoned the Defendant Sahara and threatened to withdraw his Company's funds from trust at Dusevic &amp; Company the next morning;</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Sahara responded to that threat by telling him words to the effect "you can do so", and then hung up;</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hanging up on Lakhani, the Defendant Sahara called the Plaintiff Nizar Valji and told him that Chancery was committed to provide a $500,000 loan; and she was prepared to have Sahara Co. pay 15% interest, instead of the 10% provided for in the Memorandum of Understanding;</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same night, the solicitor Lakhani telephoned the Defendant Safana Jetha, the daughter of the Defendant Sahara Jetha, and told her that the unsigned draft Promissory Note that had accompanied the draft Addendum to the Memorandum of Understanding gave him the right to call back this loan within 30 days;</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unaware of Chancery's decision to opt for a higher interest loan and not trusting Lakhani to put up the $500,000, the Defendant Sahara immediately began making her own arrangements to replace these monies so the purchase could complete on August 19, 2005;</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prior to Lakhani exercising his company's right to treat its $500,000 investment as a loan, Chancery had entered into an Assumption Agreement dated as of August 15, 2005. by which it covenanted with the National Life Insurance Company of Canada to be liable for all amounts owing under its first mortgage;</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corporate covenant was given by Chancery consequent on the refusal of Lakhani to give his personal covenant to the first mortgagee as had done Sahara Jetha, Valji and Tejani;</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times relevant to the giving of its covenant, Chancery had no assets;</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relevant times, the Defendant Sahara, Nizar Valji and Abbas Tejani were fully capable of assuming the first mortgage with the National Life Insurance Company of Canada and did not need the participation of Chancery or Lakhani to complete the purchase on August 19, 2005;</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on and prior to August 19, 2005, the Defendant SaharaCo and/or Sahara Jetha contributed some $949,000 of its or her own funds in respect of the purchase of the Property; and</w:t>
      </w:r>
    </w:p>
    <w:p>
      <w:pPr>
        <w:numPr>
          <w:numId w:val="3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relevant times subsequent to August 19. 2005. the Plaintiff Chancery was merely a lender of funds to Sahara Co.</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telephone conversations of August 16, 2005, Lakhani represented to the Defendant clients or former clients that his company Chancery was exercising the option allegedly given it by the Memorandum of Understanding to treat its $500,000 investment as a loan rather than a 30% equity participation. The Defendants, believing that the Memorandum of Understanding was a valid agreement, relied upon that representation and in the days that followed considered any further negotiations regarding Chancery's participation in an joint venture agreement to be unnecessary.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Alleged Written Joint Venture Agreement of August 20, 2005</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way of still further reply to paragraphs 8, 9 </w:t>
      </w:r>
      <w:r>
        <w:rPr>
          <w:rFonts w:ascii="arial" w:eastAsia="arial" w:hAnsi="arial" w:cs="arial"/>
          <w:color w:val="000000"/>
          <w:sz w:val="20"/>
          <w:u w:val="single"/>
          <w:lang w:val="en-US" w:eastAsia="en-US" w:bidi="ar-SA"/>
        </w:rPr>
        <w:t>and 9A</w:t>
      </w:r>
      <w:r>
        <w:rPr>
          <w:rFonts w:ascii="arial" w:eastAsia="arial" w:hAnsi="arial" w:cs="arial"/>
          <w:color w:val="000000"/>
          <w:sz w:val="20"/>
          <w:lang w:val="en-US" w:eastAsia="en-US" w:bidi="ar-SA"/>
        </w:rPr>
        <w:t xml:space="preserve"> of the Statement of Claim, the Defendants say that the true facts are:</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two days subsequent to the August 16, 2005 telephone calls, there were no further negotiations between the parties regarding a joint venture agreement;</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extended closing date of August 19, 2005, in the absence of any sort of oral or written agreement governing participation in the Purchase Agreement by the Plaintiff Chancery and the Defendants or either of them, apart from the voidable Memorandum of Understanding, Dusevic &amp; Co. released the $500,000 being held in trust for Chancery and paid same to the vendor;</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letter dated and delivered August 20, 2005, the solicitor Lakhani purported to deliver what the Plaintiffs are now alleging to be a written version of the Oral Joint Venture Agreement concluded August 16, 2005 to both the Defendant Sahara and Gillian Chec of Dusevic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Co. (hereinafter referred to as the "Alleged Written Joint Venture Agreement");</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like the other draft versions of the joint venture agreement, this August 20, 2005 version was dated August 15, 2005 (the original closing date);</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letter and at all times on or after August 20, 2005, the solicitor Lakhani continued to assert contractual rights wrongfully acquired by his Company Chancery pursuant to the voidable Memorandum of Understanding or the Oral Joint Venture Agreement or pursuant to any bargain allegedly reached during the July 8th Meeting or subsequently in order to bring pressure to bear on his client or former client Sahara Jetha to agree to the terms of a written joint venture agreement and/or to agree to allow his company Chancery to participate in the Purchase Agreement as an equity investor (rather than a lender) and to agree to the terms of the Alleged Written Joint Venture Agreement;</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on and after August 20, 2005, Sahara Jetha continued to express hesitation or unwillingness at having her company Sahara Co. implement the unfair or improvident bargains evidenced by the Memorandum of Undertaking or the Oral Joint Venture Agreement or any agreement reached during the July 8th Meeting or subsequently;</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Alleged Written Joint Venture Agreement would have constituted a gift to the solicitor's private company or the unfair and improvident nature of the bargain it would have evidenced meant that, in order to remove the inference that it had been obtained as a result of undue pressure brought to bear on his Defendant clients by Lakhani or as a result of over-reaching on his part, required Lakhani to ensure that his clients obtained independent and competent advice before executing it;</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during this period or subsequently did Lakhani or his law firm ensure that his clients or former clients secured independent and competent legal advice;</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Gillian Chee gave the Defendant clients independent legal advice during these negotiations or subsequently, which is not admitted but specifically denied, that advice was not competent because at no time did Lakhani or his law firm ensure that she was given sufficient information concerning the unfair or improvident nature of the bargain evidenced by either the Memorandum of Understanding or the Oral Joint Venture Agreement or any agreement reached during the July 8th Meeting or subsequently, or the circumstances surrounding the execution of the Memorandum of Understanding or the making of the bargain reached in the Oral Joint Venture Agreement or allegedly reached during the July 8th Meeting, or the nature of the fiduciary relationship that then existed and continued to exist between Lakhani and his law firm and the Defendant clients or former clients, so as to make any intervention by her or her law firm on behalf of the Defendant clients or former clients of value;</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during this period or subsequently did Lakhani or his law firm ensure that the Alleged Written Joint Venture Agreement or any decision as to his company Chancery's equity participation in the Property was the result of the free exercise of independent will by their former client Sahara Jetha, as opposed to the product of the pressure being brought to bear on her and her company by Lakhani and his company Chancery's assertion of contractual rights wrongfully acquired pursuant to the voidable Memorandum of Understanding or Oral Joint Venture Agreement or any voidable bargain reached during the July 8th Meeting or subsequently;</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terms of the Alleged Written Joint Venture Agreement unilaterally and materially varied the terms of the Oral Joint Venture Agreement reached by the parties;</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advised by Gillian Chee to await the return of Antony Dusevic, the Defendant Sahara Jetha refused to sign this unilateral and material variation of the Oral Joint Venture Agreement;</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then or subsequently did the Defendant clients or either of them accept the material variation of the Oral Joint Venture Agreement represented by the Alleged Written Joint Venture Agreement with full knowledge and consent;</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foregoing, the Alleged Written Joint Venture Agreement was not a valid contract;</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the Alleged Written Joint Venture Agreement was a valid contract, which is not admitted but specifically denied, any bargain it evidenced was voidable and capable of being set aside at the option of the Defendant clients by reason of the fact that:</w:t>
      </w:r>
    </w:p>
    <w:p>
      <w:pPr>
        <w:numPr>
          <w:numId w:val="42"/>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Lakhani prepared and submitted the Alleged Written Joint Venture Agreement for execution by his client or former clients at a time when his interests and those of his private company Chancery were in conflict with theirs;</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bargain evidenced by the Alleged Written joint Venture Agreement was an unfair or improvident one from the perspective of his Defendant clients or former clients; and</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bargain evidenced by the Alleged Written Joint Venture Agreement would not have been the result of a free exercise of an independent will by Sahara Jetha;</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foregoing, any bargain evidenced by the Alleged Written Joint Venture Agreement was at all times subsequent voidable and capable of being set aside at the option of the Defendant clients or former clients; and</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fiduciary duty which they owed to their clients or former clients, the solicitor Lakhani and his law firm at all limes then and subsequently failed or neglected to advise his Defendant clients or former clients of this fact.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Action</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way of still further reply to paragraphs 9, </w:t>
      </w:r>
      <w:r>
        <w:rPr>
          <w:rFonts w:ascii="arial" w:eastAsia="arial" w:hAnsi="arial" w:cs="arial"/>
          <w:color w:val="000000"/>
          <w:sz w:val="20"/>
          <w:u w:val="single"/>
          <w:lang w:val="en-US" w:eastAsia="en-US" w:bidi="ar-SA"/>
        </w:rPr>
        <w:t>9A</w:t>
      </w:r>
      <w:r>
        <w:rPr>
          <w:rFonts w:ascii="arial" w:eastAsia="arial" w:hAnsi="arial" w:cs="arial"/>
          <w:color w:val="000000"/>
          <w:sz w:val="20"/>
          <w:lang w:val="en-US" w:eastAsia="en-US" w:bidi="ar-SA"/>
        </w:rPr>
        <w:t xml:space="preserve"> and 10 of the Statement of Claim, the Defendants say that the true facts are:</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closing on August 19, 2005, Lakhani and his company Chancery wrongfully began asserting against the Defendant clients or former clients rights as equity investors and joint venture partners allegedly granted them by the Alleged Written Joint Venture Agreement;</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Sahara Jetha continued to express hesitation or unwillingness at having her company ratify the unfair bargain evidenced by the Alleged Written Joint Venture Agreement, Lakhani, without waiting for Mr. Dusevic's return, first threatened then caused his company Chancery to issue the Writ in Supreme Court action no. S054717 against his former clients on August 24, 2005;</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Writ was filed notwithstanding the fact that the Alleged Written Joint Venture Agreement contains a Dispute Resolution clause requiring any disputes between the parties relating to the joint venture or the interpretation of the Agreement to be submitted for arbitration by the Ismaili Conciliation and Arbitration Board for British Columbia; and</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Writ sought "special, aggravated, exemplary and punitive damages against [Sahara] Jetha for fraud and deceit", alleged to be the result of this former client's refusal to execute the Alleged Written Joint Venture Agreement.</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joining in this wrongful act of suing to enforce the Alleged Written Joint Venture Agreement, the Plaintiffs or any of them evinced an intention to no longer be bound by the Oral Joint Venture Agreement; and the Defendant clients or former clients exercised their right to accept that repudiation and treat that repudiation as discharging them from any further performance under the Oral Joint Venture Agreement.</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Defendants Sahara and Sahara Co. or either of them hereby exercise their right as former clients of the solicitor Lakhani and his law firm to have this Court declare void all or any of the Memorandum of Understanding, any bargain reached during the July 8th Meeting, the Oral Joint Venture Agreement and the Alleged Written Joint Venture Agreement.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Partition Proceeding</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Subsequent to August 24, 2005 and the filing of First Action, the Defendants Sahara Jetha and Sahara Co. retained the legal services of Jack M. Andersen.</w:t>
      </w:r>
    </w:p>
    <w:p>
      <w:pPr>
        <w:numPr>
          <w:numId w:val="5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On October 26, 2005, on the advice of Mr. Andersen, Sahara Jetha filed a petition in Supreme Court action no. L052545, naming Chancery, Tejani and Valji as respondents and seeking partition and sale of the Property.</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Jack M. Andersen was never then or subsequently put in a position by the Plaintiffs Lakani and his law firm to provide independent and competent legal advice to his clients relative to her defences to the First Action or her rights as a client or former client of Lakhani and his law firm, because at no time did Lakhani or his law firm ensure that Mr. Andersen was given sufficient information concerning the unfair or improvident nature of the bargain evidenced by the Memorandum of Understanding, any agreement reached during the July 8th Meeting, the Oral Joint Venture Agreement or the Alleged Written Joint Venture Agreement being enforced in Supreme Court action no. S054717, or the circumstances or the circumstances [</w:t>
      </w:r>
      <w:r>
        <w:rPr>
          <w:rFonts w:ascii="arial" w:eastAsia="arial" w:hAnsi="arial" w:cs="arial"/>
          <w:i/>
          <w:color w:val="000000"/>
          <w:sz w:val="20"/>
          <w:u w:val="single"/>
          <w:lang w:val="en-US" w:eastAsia="en-US" w:bidi="ar-SA"/>
        </w:rPr>
        <w:t>sic</w:t>
      </w:r>
      <w:r>
        <w:rPr>
          <w:rFonts w:ascii="arial" w:eastAsia="arial" w:hAnsi="arial" w:cs="arial"/>
          <w:color w:val="000000"/>
          <w:sz w:val="20"/>
          <w:u w:val="single"/>
          <w:lang w:val="en-US" w:eastAsia="en-US" w:bidi="ar-SA"/>
        </w:rPr>
        <w:t>] surrounding their execution, conclusion or negotiation as the case may be, or the nature of the fiduciary relationship that then existed and continued to exist between Lakhani and his former clients in respect of matters arising out of the Purchase Agreement, so as to make any intervention by Mr. Anderson on behalf of Sahara Jetha and Sahara Co. of value.</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On the non-competent legal advice of Mr. Andersen, and ignorant of her rights, the Defendant Sahara Jetha made concessions and took positions in this partition proceeding that were contrary to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Gateway Property Management Agreement</w:t>
      </w:r>
    </w:p>
    <w:p>
      <w:pPr>
        <w:numPr>
          <w:numId w:val="5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further reply to paragraphs 12 and 13 of the Statement of Claim, the Defendants say that the true facts are: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solicitor Lakhani and the Plaintiffs used Supreme Court action no. S054717 to wrongfully bring pressure to bear on his Defendant former clients to get them to agree to retain Gateway;</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agreement to retain Gateway was concluded at a time when the solicitor Lakhani and his company's interests were in conflict with those of his Defendant former clients;</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bargain evidenced by the agreement to retain Gateway was an unfair or improvident one from the perspective of his Defendant former clients;</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bargain evidenced by the agreement to retain Gateway was not the result of a free exercise of an independent will by the Defendant Sahara Jetha;</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foregoing, any bargain evidenced by the agreement to retain Gateway was at all times subsequent voidable and capable of being set aside at the option of the Defendant former clients; and</w:t>
      </w:r>
    </w:p>
    <w:p>
      <w:pPr>
        <w:numPr>
          <w:numId w:val="5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fiduciary duty which they owed to their former clients, the solicitor Lakhani and his law firm at all times then and subsequently failed or neglected to advise his Defendant former clients of this fact.</w:t>
      </w:r>
    </w:p>
    <w:p>
      <w:pPr>
        <w:numPr>
          <w:numId w:val="5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to August 24, 2005 and the filing of Supreme Court action no. S054717, the Defendants Sahara Jetha and Sahara Co. retained the legal services of Jack M. Andersen.</w:t>
      </w:r>
    </w:p>
    <w:p>
      <w:pPr>
        <w:numPr>
          <w:numId w:val="5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Jack M. Andersen was never then or subsequently put in a position by the Plaintiffs Lakani and his law firm to provide independent and competent legal advice to his clients relative to the agreement to retain Gateway because at no time subsequent to August 24, 2005 did Lakhani or his law firm ensure that Mr. Andersen was given sufficient information concerning the unfair or improvident nature of the bargain evidenced by the Memorandum of Understanding, any agreement reached during the July 8th Meeting, the Oral Joint Venture Agreement or the Alleged Written Joint Venture Agreement being enforced in Supreme Court action no. S054717, or the circumstances or the circumstances surrounding their execution, conclusion or negotiation as the case may be, or the nature of the fiduciary relationship that then existed and continued to exist between Lakhani and his former clients in respect of matters arising out of the Purchase Agreement, so as to make any intervention by Mr. Anderson on behalf of Sahara Jetha and Sahara Co. of value.</w:t>
      </w:r>
    </w:p>
    <w:p>
      <w:pPr>
        <w:numPr>
          <w:numId w:val="5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subsequent to the agreement to retain Gateway, Sahara Jetha expressed hesitation or unwillingness at having her company implement the unfair or improvident bargain evidenced by this agreement, as evidenced by her decision on July 27, 2006 to assert her legal or equitable rights and treat this property management agreement as void.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Central Valley Property Management Agreement</w:t>
      </w:r>
    </w:p>
    <w:p>
      <w:pPr>
        <w:numPr>
          <w:numId w:val="6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further reply to paragraph 16 of the Statement of Claim, the Defendants say that the true facts are: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solicitor Lakhani and the Plaintiffs used Supreme Court action no. S054717 to wrongfully bring pressure to bear on his Defendant former clients to get them to agree to retain a professional management company;</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to retain Central Valley was concluded at a time when the solicitor Lakhani and his company's interests were in conflict with those of his Defendant former clients;</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bargain evidenced by the agreement to retain Central Valley was an unfair or improvident one from the perspective of his Defendant former clients;</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bargain evidenced by the agreement to retain Central Valley was not the result of a free exercise of an independent will by the Defendant Sahara Jetha;</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foregoing, any bargain evidenced by the agreement to retain Central Valley was at all times subsequent voidable and capable of being set aside at the option of the Defendant former clients; and</w:t>
      </w:r>
    </w:p>
    <w:p>
      <w:pPr>
        <w:numPr>
          <w:numId w:val="6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fiduciary duty which they owed to their former clients, the solicitor Lakhani and his law firm at all times then and subsequently failed or neglected to advise his Defendant former clients of this fact.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Engagement of Bashir Jaffer and the Services and Escrow Agreements</w:t>
      </w:r>
    </w:p>
    <w:p>
      <w:pPr>
        <w:numPr>
          <w:numId w:val="6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times subsequent to August 20, 2005, Sahara Jetha continued to express hesitation or unwillingness at having her company implement the unfair or improvident bargain evidenced by the Oral Joint Venture Agreement or the Alleged Written Joint Venture Agreement.</w:t>
      </w:r>
    </w:p>
    <w:p>
      <w:pPr>
        <w:numPr>
          <w:numId w:val="6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9, 2007, the Defendant clients changed solicitors, engaging Bull, Housser &amp; Tupper to represent their legal interests in Supreme Court action no. S054717.</w:t>
      </w:r>
    </w:p>
    <w:p>
      <w:pPr>
        <w:numPr>
          <w:numId w:val="6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Bull, Housser &amp; Tupper were never then or subsequently put in a position by Lakhani and his law firm to provide independent and competent legal advice to its clients relative to their rights in the face of Supreme Court action no. S054717, because at no time subsequent to their retainer did Lakhani or his law firm ensure that they were given sufficient information concerning the unfair and improvident nature of the bargain evidenced by the Memorandum of Understanding, any bargain reached during the July 8th Meeting, the Oral Joint Venture Agreement or the Alleged Written Joint Venture Agreement being enforced in Supreme Court action no. S054717, or the circumstances or the circumstances surrounding their execution, conclusion or negotiation as the case may be, or the nature of the fiduciary relationship that then existed and continued to exist between Lakhani and his former clients in respect of matters arising out of the Purchase Agreement, so as to make any intervention by Bull, Housser &amp; Tupper on behalf of Sahara Jetha and Sahara Co. of value.</w:t>
      </w:r>
    </w:p>
    <w:p>
      <w:pPr>
        <w:numPr>
          <w:numId w:val="6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Instead of moving to have set aside the Alleged Written Joint Venture Agreement being enforced in Supreme Court action no. S054717, Bull, Housser </w:t>
      </w:r>
      <w:r>
        <w:rPr>
          <w:rFonts w:ascii="arial" w:eastAsia="arial" w:hAnsi="arial" w:cs="arial"/>
          <w:i/>
          <w:color w:val="000000"/>
          <w:sz w:val="20"/>
          <w:lang w:val="en-US" w:eastAsia="en-US" w:bidi="ar-SA"/>
        </w:rPr>
        <w:t>&amp;</w:t>
      </w:r>
      <w:r>
        <w:rPr>
          <w:rFonts w:ascii="arial" w:eastAsia="arial" w:hAnsi="arial" w:cs="arial"/>
          <w:color w:val="000000"/>
          <w:sz w:val="20"/>
          <w:lang w:val="en-US" w:eastAsia="en-US" w:bidi="ar-SA"/>
        </w:rPr>
        <w:t xml:space="preserve"> Tupper </w:t>
      </w:r>
      <w:r>
        <w:rPr>
          <w:rFonts w:ascii="arial" w:eastAsia="arial" w:hAnsi="arial" w:cs="arial"/>
          <w:color w:val="000000"/>
          <w:sz w:val="20"/>
          <w:u w:val="single"/>
          <w:lang w:val="en-US" w:eastAsia="en-US" w:bidi="ar-SA"/>
        </w:rPr>
        <w:t>advised</w:t>
      </w:r>
      <w:r>
        <w:rPr>
          <w:rFonts w:ascii="arial" w:eastAsia="arial" w:hAnsi="arial" w:cs="arial"/>
          <w:color w:val="000000"/>
          <w:sz w:val="20"/>
          <w:lang w:val="en-US" w:eastAsia="en-US" w:bidi="ar-SA"/>
        </w:rPr>
        <w:t xml:space="preserve"> their Defendant clients to enter into negotiations with the Plaintiffs which ultimately resulted in the parties (other than Safana Jetha):</w:t>
      </w:r>
    </w:p>
    <w:p>
      <w:pPr>
        <w:numPr>
          <w:numId w:val="6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entering into an agreement with one Bashir Jaffer to provide receiver-manager type services on the terms particularized in part in paragraph 18 of the Statement of Claim;</w:t>
      </w:r>
    </w:p>
    <w:p>
      <w:pPr>
        <w:numPr>
          <w:numId w:val="6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reaching a settlement agreement documented by two written agreements each dated as of January 10, 2008 entitled the Services Agreement and the Escrow Agreement,</w:t>
      </w:r>
      <w:r>
        <w:rPr>
          <w:rFonts w:ascii="arial" w:eastAsia="arial" w:hAnsi="arial" w:cs="arial"/>
          <w:color w:val="000000"/>
          <w:sz w:val="20"/>
          <w:lang w:val="en-US" w:eastAsia="en-US" w:bidi="ar-SA"/>
        </w:rPr>
        <w:t xml:space="preserve"> which were incorporated into a Court Order in or about January 2008; </w:t>
      </w:r>
      <w:r>
        <w:rPr>
          <w:rFonts w:ascii="arial" w:eastAsia="arial" w:hAnsi="arial" w:cs="arial"/>
          <w:color w:val="000000"/>
          <w:sz w:val="20"/>
          <w:u w:val="single"/>
          <w:lang w:val="en-US" w:eastAsia="en-US" w:bidi="ar-SA"/>
        </w:rPr>
        <w:t>and</w:t>
      </w:r>
    </w:p>
    <w:p>
      <w:pPr>
        <w:numPr>
          <w:numId w:val="6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provided to the Escrow Agent executed Consent Dismissal Orders and signed a Mutual Release in respect of allegations made in Supreme Court action no. S054717 and the Partition Proceeding.</w:t>
      </w:r>
    </w:p>
    <w:p>
      <w:pPr>
        <w:numPr>
          <w:numId w:val="6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On the non-competent legal advice of Bull, Housser &amp; Tupper, and ignorant of their legal rights, and with the buildings on the Property deteriorating under the management of Central Valley, the Defendants Sahara Jetha and Sahara Co. concluded the Services Agreement and an Escrow Agreement with the Plaintiffs and, in those Agreements, made concessions and took positions that were contrary to fact or were otherwise ill-advised.</w:t>
      </w:r>
    </w:p>
    <w:p>
      <w:pPr>
        <w:numPr>
          <w:numId w:val="6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to engage the services of Bashir Jaffer, the conclusion of the Services Agreement and the Escrow Agreement and the decision to incorporate these Agreements into a Court Order all occurred in circumstances where Lakhani and his company Chancery were using Supreme Court action no. S054717 and the deteriorating condition of the buildings on the Property to wrongfully bring pressure to bear on his Defendant former clients to get them to agree to these decisions and these Agreements.</w:t>
      </w:r>
    </w:p>
    <w:p>
      <w:pPr>
        <w:numPr>
          <w:numId w:val="6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decisions and these Agreements were taken, negotiated or concluded at a time when the solicitor Lakhani and his company Chancery's interests were in conflict with those of his former clients; the bargains evidenced by these decisions or Agreements were unfair or improvident from the perspective of his Defendant former clients; and any bargains evidenced by these decisions or Agreements was not the result of a free exercise of an independent will by Sahara Jetha.</w:t>
      </w:r>
    </w:p>
    <w:p>
      <w:pPr>
        <w:numPr>
          <w:numId w:val="7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foregoing, any bargains evidenced by the decision to engage the services of Bashir Jaffer, to conclude the Services and Escrow Agreements or to incorporate these Agreements in a Court Order were at all times subsequent voidable and capable of being set aside at the option of the Defendant former clients.</w:t>
      </w:r>
    </w:p>
    <w:p>
      <w:pPr>
        <w:numPr>
          <w:numId w:val="7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the fiduciary duty which they owed to their former clients, the solicitor Lakhani and his law firm at all times then and subsequently failed or neglected to advise his Defendant former clients of this fact.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Sale of the Property and the Present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way of further reply to paragraphs 19 to 24, these Defendants say that the true facts are: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voidability of any underlying joint venture agreement, any legal or equitable claim by Chancery or Nizar Valji on the balance of the sale proceeds would have been limited to a reasonable amount of interest on the sums they had actually advanced on August 19, 2005.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any status as equity participants or joint venturers, the Plaintiffs had no right to an accounting of the proceeds generated by the operations of the Property after August 19, 2005.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Action, like the First Action, was instituted by the solicitor Lakhani for the improper purpose of bringing pressure to bear on his former clients in order to get them to agree to give him or his company Chancery a larger portion of the escrowed sale proceeds than that to which they were entitled.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Defendants Sahara and Sahara Co. or either of them hereby exercise their right as former clients of the solicitor Lakhani and his law firm to have this Court declare void the Service Agreement and the Escrow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COUNTERCLAIM</w:t>
      </w:r>
      <w:r>
        <w:rPr>
          <w:rFonts w:ascii="arial" w:eastAsia="arial" w:hAnsi="arial" w:cs="arial"/>
          <w:sz w:val="20"/>
          <w:lang w:val="en-US" w:eastAsia="en-US" w:bidi="ar-SA"/>
        </w:rPr>
        <w:cr/>
      </w:r>
    </w:p>
    <w:p>
      <w:pPr>
        <w:numPr>
          <w:numId w:val="7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Sahara Jetha, Sahara Co. and Safana Jetha repeat the allegations of fact contained in paragraphs 1 through 43 of the Amended Statement of Defence herein.</w:t>
      </w:r>
    </w:p>
    <w:p>
      <w:pPr>
        <w:numPr>
          <w:numId w:val="7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by Counterclaim M. Ali Lakhani ("Lakhani") is a barrister &amp; solicitor and resides in the City of Vancouver, in the Province of British Columbia.</w:t>
      </w:r>
    </w:p>
    <w:p>
      <w:pPr>
        <w:numPr>
          <w:numId w:val="7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by Counterclaim Nazlin A. Nathu ("Nathu") is a barrister &amp; solicitor and resides with her husband Lakhani.</w:t>
      </w:r>
    </w:p>
    <w:p>
      <w:pPr>
        <w:numPr>
          <w:numId w:val="8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relevant times, the defendants Lakhani and Nathu were practising members of the Law Society of British Columbia.</w:t>
      </w:r>
    </w:p>
    <w:p>
      <w:pPr>
        <w:numPr>
          <w:numId w:val="8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plead and rely upon the Rules of Professional Conduct published under the authority of the Benchers of the Law Society of British Columbia.</w:t>
      </w:r>
    </w:p>
    <w:p>
      <w:pPr>
        <w:numPr>
          <w:numId w:val="8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by Counterclaim Lakhani &amp; Company is a partnership of the Defendants by Counterclaim Lakhani and Nathu, carrying on the practice of law for profit at suite 1400, 1125 Howe Street, in the City of Vancouver, in the Province of British Columbia.</w:t>
      </w:r>
    </w:p>
    <w:p>
      <w:pPr>
        <w:numPr>
          <w:numId w:val="8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plead and rely upon the provisions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 and amendments thereto.</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filing of the Writ in the First Action put an end to all attempts to conclude a written joint venture agreement or to document the nature of the Plaintiff Chancery's participation as investor or lender in the Purchase Agreement.</w:t>
      </w:r>
    </w:p>
    <w:p>
      <w:pPr>
        <w:numPr>
          <w:numId w:val="8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 long as the First Action remained outstanding, it enabled Lakhani to maintain pressure on their Defendant former clients for the improper purpose of asserting his private company Chancery's improper claims both to an equity position in the Property and to the status as a joint venturer in respect of that Property.</w:t>
      </w:r>
    </w:p>
    <w:p>
      <w:pPr>
        <w:numPr>
          <w:numId w:val="8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prior to the bringing of the Present Action, were the Defendant former clients free from the effect of the influence induced by their confidential relationship with Lakhani and his law firm or from the pressure brought to bear on them by Lakhani's continued assertion of contractual rights wrongfully acquired by his Company Chancery pursuant to the voidable Memorandum of Understanding, any bargain reached during the July 8th Meeting, the Oral Joint Venture Agreement or the Alleged Written Joint Venture Agreement.</w:t>
      </w:r>
    </w:p>
    <w:p>
      <w:pPr>
        <w:numPr>
          <w:numId w:val="8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to institute the First Action resulted in loss and damages, including special damages, being suffered by the Defendants Sahara Jetha and Sahara Co., particulars of which will be supplied upon request.</w:t>
      </w:r>
    </w:p>
    <w:p>
      <w:pPr>
        <w:numPr>
          <w:numId w:val="8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to hire the property management firm Gateway resulted in loss and damages being suffered by the Defendants Sahara Jetha and Sahara Co., particulars of which will be supplied upon request.</w:t>
      </w:r>
    </w:p>
    <w:p>
      <w:pPr>
        <w:numPr>
          <w:numId w:val="8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to hire the property management firm Central Valley resulted in loss and damages being suffered by the Defendants Sahara Jetha and Sahara Co., particulars of which will be supplied upon request.</w:t>
      </w:r>
    </w:p>
    <w:p>
      <w:pPr>
        <w:numPr>
          <w:numId w:val="9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to engage the services of Bashir Jaffer, to conclude the Services and Escrow Agreements and to incorporate those Agreements into a Court Order resulted in loss and damages, including special damages, being suffered by the Defendants Sahara Jetha and Sahara Co., particulars of which will be supplied upon request.</w:t>
      </w:r>
    </w:p>
    <w:p>
      <w:pPr>
        <w:numPr>
          <w:numId w:val="9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Sahara Jetha caused her company to acquire the Property in May 2005 with the intention of holding the Property as either a long-term rental or of selling the 89 individual, strata-titled units on a retail basis.</w:t>
      </w:r>
    </w:p>
    <w:p>
      <w:pPr>
        <w:numPr>
          <w:numId w:val="9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the aforesaid wrongful actions of the Plaintiffs and the Defendants by counterclaim, or any of them, the Property was sold in March 2009 on a wholesale basis; and the Defendants Sahara Jetha and Sahara Co. were thereby prevented from holding the Property as a long-term rental or of selling the units on a retail basis, wherefore they have suffered a loss and damage and, in particular, the value of the difference between the wholesale price and the retail price of the Property or the value of the difference between the wholesale price and the rental value of the Property as a long-term holding.</w:t>
      </w:r>
    </w:p>
    <w:p>
      <w:pPr>
        <w:numPr>
          <w:numId w:val="9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Nizar Valji had notice, actual or constructive, of the confidential relationship in which the Solicitor Lakhani stood to his Defendant former clients and of the impropriety of the acquisition by the solicitor Lakhani's private company of an interest in the Property pursuant to the Memorandum of Understanding, the July 8th Meeting, the Oral Joint Venture Agreement or the Alleged Written Joint Venture Agreement, or the proceeds of its disposition pursuant to the Services Agreement and the Escrow Agreement. Alternatively, he acquired express or positive notice in consequence of his participation as a co-Plaintiff in either the First Action or the Present Action.</w:t>
      </w:r>
    </w:p>
    <w:p>
      <w:pPr>
        <w:numPr>
          <w:numId w:val="9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such notice, the Plaintiff Nizar Valji can derive no benefit or advantage from any of these transactions.</w:t>
      </w:r>
    </w:p>
    <w:p>
      <w:pPr>
        <w:numPr>
          <w:numId w:val="9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Sahara Jetha and Sahara Co. or either of them hereby exercise their right as former clients of the solicitor Lakhani and his law firm to have this Court declare void the Services Agreement and the accompanying Escrow Agreement.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WHEREFORE</w:t>
      </w:r>
      <w:r>
        <w:rPr>
          <w:rFonts w:ascii="arial" w:eastAsia="arial" w:hAnsi="arial" w:cs="arial"/>
          <w:color w:val="000000"/>
          <w:sz w:val="20"/>
          <w:lang w:val="en-US" w:eastAsia="en-US" w:bidi="ar-SA"/>
        </w:rPr>
        <w:t xml:space="preserve"> the Defendant Sahara Jetha, Sahara Co. and Safana Jetha counterclaim against the Plaintiffs and the Defendants by Counterclaim for the following:</w:t>
      </w:r>
    </w:p>
    <w:p>
      <w:pPr>
        <w:numPr>
          <w:numId w:val="9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breach of fiduciary duty by Lakhani and Lakhani &amp; Co. and participation in, or knowing assistance to same by Nizar Valji;</w:t>
      </w:r>
    </w:p>
    <w:p>
      <w:pPr>
        <w:numPr>
          <w:numId w:val="9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9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loss of opportunity to earn the value of a retail sale of the Property's units or the rental value of the Property as a long-term holding;</w:t>
      </w:r>
    </w:p>
    <w:p>
      <w:pPr>
        <w:numPr>
          <w:numId w:val="9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by Counterclaim Nazlin, as a partner of Lakani &amp; Company, is liable for any such loss or damages to the same extent as Lakhani;</w:t>
      </w:r>
    </w:p>
    <w:p>
      <w:pPr>
        <w:numPr>
          <w:numId w:val="9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Oral Joint Venture Agreement of August 16, 2005 is void and unenforceable by reason of fundamental repudiation;</w:t>
      </w:r>
    </w:p>
    <w:p>
      <w:pPr>
        <w:numPr>
          <w:numId w:val="9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never made or executed the Alleged Written Joint Venture Agreement of August 20, 2005;</w:t>
      </w:r>
    </w:p>
    <w:p>
      <w:pPr>
        <w:numPr>
          <w:numId w:val="9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 declaration setting aside any bargains evidenced by</w:t>
      </w:r>
    </w:p>
    <w:p>
      <w:pPr>
        <w:numPr>
          <w:numId w:val="9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Memorandum of Understanding,</w:t>
      </w:r>
    </w:p>
    <w:p>
      <w:pPr>
        <w:numPr>
          <w:numId w:val="9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Oral Joint Venture Agreement of August 16, 2005,</w:t>
      </w:r>
    </w:p>
    <w:p>
      <w:pPr>
        <w:numPr>
          <w:numId w:val="9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agreement reached during the July 8th Meeting or pursuant to the Alleged Written Joint Venture Agreement of August 20, 2005;</w:t>
      </w:r>
    </w:p>
    <w:p>
      <w:pPr>
        <w:numPr>
          <w:numId w:val="9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management agreements with Gateway and/or Central Valley; and</w:t>
      </w:r>
    </w:p>
    <w:p>
      <w:pPr>
        <w:numPr>
          <w:numId w:val="9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 Agreement and Escrow Agreement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as having been obtained in circumstances amounting to a breach of fiduciary duty owed by the Defendants Lakhani and his law firm to his Defendant clients or former clients.</w:t>
      </w:r>
    </w:p>
    <w:p>
      <w:pPr>
        <w:numPr>
          <w:numId w:val="9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Sahara Co. be restored to all its rights as purchaser of the Property in the same manner as if the aforesaid bargains, or any of them, had not been concluded;</w:t>
      </w:r>
    </w:p>
    <w:p>
      <w:pPr>
        <w:numPr>
          <w:numId w:val="9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Plaintiffs and the Defendants by Counterclaim are liable to the extent to which they have benefited from the Memorandum of Understanding, any bargain reached during the July 8th Meeting, the Oral Joint Venture Agreement, the Alleged Written Joint Venture Agreement, the agreements to engage Gateway or Central Valley, the Services Agreement and Escrow Agreement or the bringing of the First Action or the Present Action;</w:t>
      </w:r>
    </w:p>
    <w:p>
      <w:pPr>
        <w:numPr>
          <w:numId w:val="9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inquiry as to what gain, profit or advantage these parties have made in consequence of their participation in the Purchase Agreement;</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amounts so determined;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10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including special costs of this action as against the Plaintiff Chancery and the Defendants by Counterclaim Lakhani and Lakhani &amp; Company; and</w:t>
      </w:r>
    </w:p>
    <w:p>
      <w:pPr>
        <w:numPr>
          <w:numId w:val="10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deem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amended statement of defence and counterclaim in the first proceeding (action number S054717) reads: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AMENDED</w:t>
      </w:r>
      <w:r>
        <w:rPr>
          <w:rFonts w:ascii="arial" w:eastAsia="arial" w:hAnsi="arial" w:cs="arial"/>
          <w:b/>
          <w:color w:val="000000"/>
          <w:sz w:val="20"/>
          <w:lang w:val="en-US" w:eastAsia="en-US" w:bidi="ar-SA"/>
        </w:rPr>
        <w:t xml:space="preserve"> STATEMENT OF DEFENCE</w:t>
      </w:r>
    </w:p>
    <w:p>
      <w:pPr>
        <w:numPr>
          <w:numId w:val="10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Except as hereinafter expressly admitted, the Defendants Sahara Real Estate Investment Inc. ("Sahara Co.") and Sahara Jetha deny each and every allegation of fact contained in the Statement of Claim and put the Plaintiffs to the strict proof thereof.</w:t>
      </w:r>
    </w:p>
    <w:p>
      <w:pPr>
        <w:numPr>
          <w:numId w:val="10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admit the facts set out in paragraphs 1, 2, 3, 4 and 5 of the Statement of Claim.</w:t>
      </w:r>
    </w:p>
    <w:p>
      <w:pPr>
        <w:numPr>
          <w:numId w:val="10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admit the facts set out in paragraph 7 and 8 of the Statement of Claim, </w:t>
      </w:r>
      <w:r>
        <w:rPr>
          <w:rFonts w:ascii="arial" w:eastAsia="arial" w:hAnsi="arial" w:cs="arial"/>
          <w:color w:val="000000"/>
          <w:sz w:val="20"/>
          <w:u w:val="single"/>
          <w:lang w:val="en-US" w:eastAsia="en-US" w:bidi="ar-SA"/>
        </w:rPr>
        <w:t>except that the Property is located in the City of Abbotsford</w:t>
      </w:r>
      <w:r>
        <w:rPr>
          <w:rFonts w:ascii="arial" w:eastAsia="arial" w:hAnsi="arial" w:cs="arial"/>
          <w:color w:val="000000"/>
          <w:sz w:val="20"/>
          <w:lang w:val="en-US" w:eastAsia="en-US" w:bidi="ar-SA"/>
        </w:rPr>
        <w:t>.</w:t>
      </w:r>
    </w:p>
    <w:p>
      <w:pPr>
        <w:numPr>
          <w:numId w:val="10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admit the facts set out in paragraph 11 of the Statement of Claim, except that it was Sahara Jetha who removed the subject conditions in the Purchase Agreement.</w:t>
      </w:r>
    </w:p>
    <w:p>
      <w:pPr>
        <w:numPr>
          <w:numId w:val="10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admit the facts set out in paragraph 26 of the Statement of Claim.</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Creation of a Fiduciary Relationship</w:t>
      </w:r>
    </w:p>
    <w:p>
      <w:pPr>
        <w:numPr>
          <w:numId w:val="10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Except as hereinafter expressly admitted, the Defendants deny the facts set out in paragraph 9 of the Statement of Claim, and put the Plaintiff to the strict proof thereof.</w:t>
      </w:r>
    </w:p>
    <w:p>
      <w:pPr>
        <w:numPr>
          <w:numId w:val="10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By way of further reply to paragraph 9, the Defendants say that the true facts are: </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relevant times, the Plaintiff Chancery Estate Holdings Corp. ("Chancery") was a company solely owned and controlled by M. Ali Lakhani ("Lakhani"), a barrister and solicitor and a member in good standing of the Law Society of British Columbia;</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prior to May 2005, the Defendant Sahara Jetha had retained the legal services of Lakhani and/or his law firm from time to time to represent her legal interests and those of her private companies in various, usually litigation-related matters;</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reason of their long-standing solicitor and client relationship and/or by reason of the trust and confidence that the defendant Sahara Jetha placed in her legal counsel, a fiduciary relationship existed between Lakhani and his law firm on the one hand and their Defendant former clients on the other;</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that fiduciary relationship continued at all relevant times herein;</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on or about May 11, 2005, the defendants or either of them retained the legal services of Lakhani and his law firm to handle, in the Defendant Sahara's anticipated absence, certain issues that might arise under the Purchase Agreement, pursuant to which Sahara Co. was to acquire sole title to the Property from a third party;</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relevant times thereafter, Lakhani and his law firm acted as solicitors or former solicitors to the Defendants or either of them;</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pursuant to their retainer agreement, and by virtue of their relationship of solicitor and client, and by virtue of Lakhani's past and on-going role as the Defendants' legal counsel in the matter of the Purchase Agreement and in other unrelated legal matters, the Defendants reposed confidence in him and he acquired a position of personal ascendancy over them which continued at all relevant times herein; and</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consequence, at all times subsequent to May 11, 2005, the solicitor Lakhani and his law firm owed fiduciary duties to their clients or former clients that continued for so long as the legal issues created by his company Chancery's participation in the Purchase Agreement remained.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Memorandum of Understanding of May 26, 2005</w:t>
      </w:r>
    </w:p>
    <w:p>
      <w:pPr>
        <w:numPr>
          <w:numId w:val="10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By way of still further reply to paragraph 9, the Defendants say that the true facts are: </w:t>
      </w:r>
    </w:p>
    <w:p>
      <w:pPr>
        <w:numPr>
          <w:numId w:val="10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instead of limiting his involvement to the legal services for which he and his firm had been retained, Lakhani decided to go into business with his clients using his company Chancery as his vehicle for what was initially conceived as either an equity participation in the Property or a high interest loan to the purchaser;</w:t>
      </w:r>
    </w:p>
    <w:p>
      <w:pPr>
        <w:numPr>
          <w:numId w:val="10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Lakhani prepared and had his clients execute the Memorandum of Understanding dated May 26, 2005 in circumstances where his interests were in conflict with theirs;</w:t>
      </w:r>
    </w:p>
    <w:p>
      <w:pPr>
        <w:numPr>
          <w:numId w:val="10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bargain evidenced by the Memorandum of Understanding was an unfair or improvident one from the perspective of his clients;</w:t>
      </w:r>
    </w:p>
    <w:p>
      <w:pPr>
        <w:numPr>
          <w:numId w:val="10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reason of the foregoing, any agreement evidenced by the Memorandum of Understanding was at all times thereafter voidable and capable of being set aside at the option of his clients; and</w:t>
      </w:r>
    </w:p>
    <w:p>
      <w:pPr>
        <w:numPr>
          <w:numId w:val="10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breach of the fiduciary duty which they owed to their clients or former clients, the solicitor Lakhani and his law firm at all times then and subsequently failed or neglected to advise the Defendants of this fact.</w:t>
      </w:r>
    </w:p>
    <w:p>
      <w:pPr>
        <w:numPr>
          <w:numId w:val="10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SAHARA JETHA, in answer to paragraph 9 says that M. Ali Lakhani has been for many years the individual Defendant's lawyer. She expressly denies soliciting participation of Lakhani and says that Lakhani approached her. The Memorandum of Understanding ("MOU") referred to in paragraph 9 speaks for itself and contains more terms than those referred to by the Plaintiff.</w:t>
      </w:r>
    </w:p>
    <w:p>
      <w:pPr>
        <w:numPr>
          <w:numId w:val="1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way of further reply to paragraph 10, the Defendants say that the true facts are that Lakhani failed to ensure that his clients secured independent and competent legal advice prior to executing the Memorandum of Understanding with his company Chancery.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July 8th Meeting</w:t>
      </w:r>
    </w:p>
    <w:p>
      <w:pPr>
        <w:numPr>
          <w:numId w:val="1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Except as hereinafter expressly admitted, the Defendants deny the facts set out in paragraph 12 of the Statement of Claim, and put the Plaintiff to the strict proof thereof.</w:t>
      </w:r>
    </w:p>
    <w:p>
      <w:pPr>
        <w:numPr>
          <w:numId w:val="1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By way of further reply to paragraph 12, the Defendants say that the true facts are: </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during the July 8th Meeting, Lakhani, inter alia, purported to vary the Memorandum of Understanding (which required his company to exercise its conversion option prior to closing) to provide that it could exercise its conversion option at any time during the approximately 4 years left on the term of the mortgage;</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no time during the July 8th Meeting or subsequently did Lakhani or his law firm ensure that any agreement reached at the July 8th Meeting was the result of the free exercise of independent will by Sahara Jetha, as opposed to the product of the pressure being brought to bear on her by Lakhani and his company's assertion of contractual rights wrongfully acquired pursuant to the voidable Memorandum of Understanding;</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no time during or after the July 8th Meeting did the Defendants or either of them ever make the agreement as particularized by the Plaintiffs in paragraph 12;</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notwithstanding the absence of an agreement as alleged, Lakhani, in breach of his fiduciary duties, simply treated the agreement as alleged as accepted by his clients or former clients, and proceeded to draw up the documentation;</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alternatively, if an agreement, as alleged, was concluded between the Plaintiff Chancery and the Defendants or either of them during the July 8th Meeting, which is not admitted but specifically denied, that bargain was an improvident and unfair one from the perspective of the Defendant clients or former clients;</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fact that the agreement as alleged would have constituted a gift to the solicitor's private company and/or the unfair and improvident nature of the bargain it evidenced meant that. in order to remove the inference that it had been obtained as a result of undue pressure brought to bear on the Defendants by Lakhani and/or as a result of over-reaching on his part, required Lakhani to ensure that his clients obtained competent and independent advice before signing;</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no time during the July 8th Meeting or subsequently did Lakhani or his law firm ensure that his clients or former clients secured independent and competent legal advice;</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Antony Dusevic attended the July 8th Meeting from time to time as a solicitor representing the legal interests of all parties as purchasers in the conveyance contemplated by the Purchase Transaction, which he was retained to document;</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Antony Dusevic gave the Defendants independent legal advice during the July 8th Meeting, that advice was not competent, because at no time during the July 8 Meeting or subsequently did Lakhani or his law firm ensure that Antony Dusevic was given sufficient information concerning the unfair and improvident nature of the bargain evidenced by the Memorandum of Understanding, or the circumstances of its execution, or the nature of the fiduciary relationship that then existed and continued to exist between Lakhani and the Defendants, so as to make any intervention by him on behalf of the Defendants of value;</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reason of the foregoing, any bargain made during the July 8th Meeting was voidable and capable of being set aside at the option of the Defendants; and</w:t>
      </w:r>
    </w:p>
    <w:p>
      <w:pPr>
        <w:numPr>
          <w:numId w:val="11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breach of the fiduciary duty which they owed to their former clients, the solicitor Lakhani and his law firm at all times then and subsequently failed or neglected to advise the Defendants or Antony Dusevic of this fact.</w:t>
      </w:r>
    </w:p>
    <w:p>
      <w:pPr>
        <w:numPr>
          <w:numId w:val="1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reply to paragraph 12, the Defendants say that while a meeting took place at Dusevic's office as indicated, the discussions were wide-ranging and are neither completely nor accurately described in paragraph 12.</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Addendum to the Memorandum of Understanding</w:t>
      </w:r>
    </w:p>
    <w:p>
      <w:pPr>
        <w:numPr>
          <w:numId w:val="1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Except as hereinafter expressly admitted, the Defendants deny the facts set out in paragraphs 13 to 17 of the Statement of Claim, and put the Plaintiff to the strict proof thereof.</w:t>
      </w:r>
    </w:p>
    <w:p>
      <w:pPr>
        <w:numPr>
          <w:numId w:val="11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By way of further reply to these paragraphs, the Defendants say that the true facts are: </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on or about August 4, 2005. Lakhani e-mailed the Defendant Sahara requesting appraisals of her property portfolio so that he could determine what collateral security his company Chancery would require as security if it exercised its option to make a high interest loan;</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that e-mail, Lakhani wrongfully and in breach of his fiduciary duties simply laid down the terms on which Chancery would now be participating in the Purchase Transaction;</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attached to this e-mail were a number of documents that had been prepared by Lakhani without consultation with the Defendants, including a draft Addendum to the Memorandum of Understanding, which provided in part that certain documents were to be held pursuant to an Escrow Agreement, including a Promissory Note, and a Share Pledge Agreement, drafts of which were likewise attached to the e-mail (hereinafter referred to collectively as the "Draft Addendum to the Memorandum of Understanding");</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original Memorandum of Understanding contained no terms requiring the Defendants either to agree to a 4-year long conversion option or to execute an escrow agreement or a share pledge agreement;</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bargain represented by the Draft Addendum to the Memorandum of Understanding was an improvident and unfair one from the perspective of the Defendant clients or former clients;</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Sahara subsequently refused to agree to or execute any of the documents comprising the Draft Addendum to the Memorandum of Understanding; and</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notwithstanding his failure to secure his former client's signed acceptance of the arrangement and in breach of his fiduciary duties, Lakhani simply proceeded to treat the terms of his August 4, 2005 e-mail and its included documents as accepted by her and to draw up and negotiate with his Defendant client or former clients various amended versions of the Addendum to the Memorandum of Understanding and its included documents.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Oral Joint Venture Agreement of August 16, 2005</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Except as hereinafter expressly admitted, the Defendants deny the facts set out in paragraphs 18 to 25 of the Statement of Claim, and put the Plaintiff to the strict proof thereof.</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By way of further reply to these paragraphs, the Defendants say that the true facts are that, subsequent to August 4, 2005, Lakhani: </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continued to assert contractual rights wrongfully acquired by his company Chancery pursuant to the voidable Memorandum of Understanding or any voidable bargain allegedly reached during the July 8th Meeting;</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prepared and delivered for execution by his former clients or either of them various draft joint venture agreements and other documents providing for both the Plaintiffs' and the Defendant's participation in the Purchase Agreement;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engaged in direct negotiations with his client or former client Sahara Jetha regarding this joint venture agreement; and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took steps to fund Chancery's participation under the Purchase Agreement;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notwithstanding the fact that Sahara Jetha was expressing hesitation or unwillingness at having her company implement the unfair bargains evidenced by the Memorandum of Understanding or any agreement reached during the July 8 Meeting and notwithstanding Lakhani's awareness, express or implied, that both of these bargains were voidable.</w:t>
      </w:r>
    </w:p>
    <w:p>
      <w:pPr>
        <w:numPr>
          <w:numId w:val="12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reply to paragraphs 13 - 22, the Defendants say that the parties were engaged in continuing discussion and negotiation regarding the Pinetree apartment transaction and that the Statement of Claim as described above does not completely or accurately describe those negotiations. The Defendants were not privy to all of the communications referred to in paragraphs 13 - 22.</w:t>
      </w:r>
    </w:p>
    <w:p>
      <w:pPr>
        <w:numPr>
          <w:numId w:val="1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reply to paragraphs 23 - 28, the Defendants herein deny that the Statement of Claim accurately or completely describes events and communication between the parties.</w:t>
      </w:r>
    </w:p>
    <w:p>
      <w:pPr>
        <w:numPr>
          <w:numId w:val="1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Except as hereinafter expressly admitted, the Defendants deny the facts set out in paragraphs 27 to 38 of the Statement of Claim, and put the Plaintiff to the strict proof thereof.</w:t>
      </w:r>
    </w:p>
    <w:p>
      <w:pPr>
        <w:numPr>
          <w:numId w:val="1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By way of further reply to these paragraphs, the Defendants say that the true facts are: </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relevant times prior to August 15, 2005, Lakhani realized that the Property was worth significantly more than the Defendant Sahara Co. had agreed to pay for it on May 3, 2005;</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consequence of that realization, Lakhani knew or reasonably ought to have known, that the 30% equity interest his company was bargaining for was now worth more than the $500,000 it was about to pay to his clients or former clients;</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on August 15 and August 16, 2005, a series of meeting took place between Sahara Jehtha on the one hand and Lakhani and the individual plaintiffs on the other in what would ultimately prove to be an unsuccessful attempt by Lakhani to document the nature of the parties' participation in a joint venture agreement;</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throughout these negotiations, the solicitor Lakhani continued to assert contractual rights wrongfully acquired by his company Chancery pursuant to the voidable Memorandum of Understanding or any voidable agreement concluded during the July 8th Meeting, or subsequently, in order to bring pressure to bear on client or former client Sahara Jetha;</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during these negotiations, Lakhani engaged in direct negotiations with his client or former client Sahara Jetha regarding both the Plaintiffs' and the Defendants' participation in the Purchase Agreement and the proposed joint venture agreement;</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during these negotiations, Sahara Jetha continued to express hesitation or unwillingness at having her company Sahara Co. implement the unfair bargains evidenced by the Memorandum of Undertaking or any agreement reached during the July 8th Meeting, or subsequently;</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these circumstances, and with the added pressure created by the pending closing, sometime on or about August 16, 2005, the Defendants reached a joint venture agreement with the Plaintiffs, the details of which (having to do with the arrangements between Sahara Co. and Chancery) were discussed, but not concluded (hereinafter referred to as the "Oral Joint Venture Agreement");</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fact that this Oral Joint Venture Agreement constituted a gift to the solicitor's private company or the unfair and improvident nature of the bargain it evidenced meant that, in order to remove the inference that it had been obtained as a result of undue pressure brought to bear on the Defendant by Lakhani or as a result of over-reaching on his part, required Lakhani to ensure that his clients obtained competent and independent advice before agreeing to it;</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no time during these negotiations or subsequently did Lakhani or his law firm ensure that his clients or former clients secured independent and competent legal advice relative to the contents of the Oral Joint Venture Agreement;</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Antony Dusevic was present from time to time during these negotiations for the joint venture agreement as solicitor representing the legal interests of all parties as purchasers in the conveyance contemplated by the Purchase Transaction, which he was retained to document;</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Antony Dusevic gave the Defendants independent legal advice during these negotiations for a joint venture agreement, which is not admitted but specifically denied, that advice was not competent, because at no time during these negotiations or subsequently did Lakhani or his law firm ensure that Antony Dusevic was given sufficient information concerning the unfair and improvident nature of the bargain evidenced by either the Memorandum of Understanding or the Oral Joint Venture Agreement or any agreement reached during the July 8th Meeting or subsequently, or the circumstances surrounding the execution of the Memorandum of Understanding or making of the bargain allegedly reached in the July 8th Meeting, or the nature of the fiduciary relationship that then existed and continued to exist between Lakhani and his law firm and the Defendants, so as to make any intervention by Antony Dusevic on behalf of the Defendants of value;</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no time during these negotiations or subsequently did Lakhani or his law firm ensure that the Oral Joint Venture Agreement reached was the result of the free exercise of independent will by their former client Sahara Jetha, as opposed to the product of the pressure being brought to bear on her by Lakhani and his company Chancery's assertion of contractual rights wrongfully acquired pursuant to the voidable Memorandum of Understanding or any voidable bargain reached during the July 8th Meeting, or subsequently;</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Defendants specifically deny the terms of the Oral Joint Venture Agreement as particularized and put the Plaintiff to the strict proof of such terms;</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Lakhani engaged in negotiations that led to the conclusion of the Oral Joint Venture Agreement at a time when his interests were in conflict with those of his clients or former clients;</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bargain evidenced by the Oral joint Venture Agreement was an unfair or improvident one from the perspective of his Defendant clients or former clients;</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reason of the foregoing, any bargain evidenced by the Oral Joint Venture Agreement was at all times thereafter voidable and capable of being set aside at the option of the Defendants; and</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breach of the fiduciary duty which they owed to their clients or former clients, the solicitor Lakhani and his law firm at all times then and subsequently failed or neglected to advise the Defendants or Antony Dusevic of this fact.</w:t>
      </w:r>
    </w:p>
    <w:p>
      <w:pPr>
        <w:numPr>
          <w:numId w:val="12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reply to paragraphs 29 - 31, the Defendants herein say and the fact is that discussions and negotiations continued throughout the period referred to in those paragraphs but were incomplete and are incompletely described in the Statement of Claim by the Plaintiffs.</w:t>
      </w:r>
    </w:p>
    <w:p>
      <w:pPr>
        <w:numPr>
          <w:numId w:val="1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herein expressly deny the statements of fact contained within paragraphs 32, 37, 38, 39, 40, 41.</w:t>
      </w:r>
    </w:p>
    <w:p>
      <w:pPr>
        <w:numPr>
          <w:numId w:val="1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reply to paragraph 45, the Defendants herein deny the statements of fact contained in that paragraph and say that the Defendant, Sahara, requested return of that portion of excess funds attributable to her contribution but has not required that the funds be released.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Chancery's Exercise of its Loan Option</w:t>
      </w:r>
    </w:p>
    <w:p>
      <w:pPr>
        <w:numPr>
          <w:numId w:val="1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The Defendant Sahara denies the facts set out in paragraphs 47 to 49 and states that the true facts are that: </w:t>
      </w:r>
    </w:p>
    <w:p>
      <w:pPr>
        <w:numPr>
          <w:numId w:val="1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after the departure of Antony Dusevic on holidays the afternoon of Tuesday, August 16, 2005, the negotiations between the parties to iron out the details of the Oral Joint Venture Agreement as between Sahara Co. on the one hand and Chancery on the other continued;</w:t>
      </w:r>
    </w:p>
    <w:p>
      <w:pPr>
        <w:numPr>
          <w:numId w:val="1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as the exchanges between the defendant Sahara and the solicitor Lakhani became more and more heated, the Plaintiffs declined to continue the negotiations to determine the parties' respective contributions to the purchase price so as to permit the release of the excess funds in the trust account at Dusevic &amp; Co. come the August 19, 2005 completion;</w:t>
      </w:r>
    </w:p>
    <w:p>
      <w:pPr>
        <w:numPr>
          <w:numId w:val="1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approximately 9:00 p.m. that evening, the solicitor Lakhani telephoned the defendant Sahara and threatened to withdraw his Company's funds from trust at Dusevic &amp; Company the next morning;</w:t>
      </w:r>
    </w:p>
    <w:p>
      <w:pPr>
        <w:numPr>
          <w:numId w:val="1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Sahara responded to that threat by telling him words to the effect "you can do so", and then hung up;</w:t>
      </w:r>
    </w:p>
    <w:p>
      <w:pPr>
        <w:numPr>
          <w:numId w:val="1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after hanging up on Lakhani, the Defendant Sahara called the Plaintiff Nizar Valji and told him that Chancery was committed to provide a $500,000 loan; and she was prepared to have Sahara Co. pay 15% interest, instead of the 10% provided for in the Memorandum of Understanding;</w:t>
      </w:r>
    </w:p>
    <w:p>
      <w:pPr>
        <w:numPr>
          <w:numId w:val="1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that same night the solicitor Lakhani telephoned Safana Jetha, the daughter of the Defendant Sahara Jetha, and told her that the unsigned draft Promissory Note that had accompanied the Addendum to the Memorandum of Understanding gave him the right to call back this loan within 30 days; and</w:t>
      </w:r>
    </w:p>
    <w:p>
      <w:pPr>
        <w:numPr>
          <w:numId w:val="1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unaware of Chancery's decision to opt for a higher interest loan and not trusting Lakhani to put up the $500,000, the Defendant Sahara immediately began making her own arrangements to replace these monies so the purchase could complete on August 19, 2005.</w:t>
      </w:r>
    </w:p>
    <w:p>
      <w:pPr>
        <w:numPr>
          <w:numId w:val="131"/>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telephone conversations of August 16, 2005, Lakhani represented to the Defendant clients or former clients that his company Chancery was exercising the option allegedly given it by the Memorandum of Understanding to treat its $500,000 investment as a loan, rather than a 30% equity participation. The Defendants, believing that the Memorandum of Understanding was a valid agreement, relied upon that representation and in the days that followed considered any further negotiations regarding Chancery's participation in an joint venture agreement to be unnecessary.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Alleged Written Joint Venture Agreement of August 20, 2005</w:t>
      </w:r>
    </w:p>
    <w:p>
      <w:pPr>
        <w:numPr>
          <w:numId w:val="13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Except as hereinafter expressly admitted, the Defendants deny the facts set out in paragraphs 39 to 55 of the Statement of Claim, and put the Plaintiff to the strict proof thereof.</w:t>
      </w:r>
    </w:p>
    <w:p>
      <w:pPr>
        <w:numPr>
          <w:numId w:val="133"/>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By way of further reply to these paragraphs, the Defendants say that the true facts are: </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during the two days subsequent to the August 16, 2005 telephone calls, there were no further negotiations between the parties regarding a joint venture agreement;</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on the extended closing date of August 19, 2005, in the absence of any sort of oral or written agreement governing participation in the Purchase Agreement by the Plaintiff Chancery and the Defendants or either of them, apart from the voidable Memorandum of Understanding, Dusevic &amp; Co. released the $500,000 being held in trust for Chancery and paid same to the vendor;</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letter dated and delivered August 20, 2005, the solicitor Lakhani purported to deliver what the Plaintiffs are now alleging to be a written version of the Oral Joint Venture Agreement concluded August 16, 2005 to both the Defendant Sahara and Gillian Chee of Dusevic &amp; Co. (hereinafter referred to as the "Alleged Written Joint Venture Agreement");</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like the other draft versions of the joint venture agreement, this August 20, 2005 version was dated August 15, 2005 (the original closing date);</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his letter and at all, times on or after August 20, 2005, the solicitor Lakhani continued to assert contractual rights wrongfully acquired by his Company Chancery pursuant to the voidable Memorandum of Understanding or wrongfully acquired pursuant to any bargain allegedly reached during the July 8th Meeting or the Oral Joint Venture Agreement in order to bring pressure to bear on his client or former client Sahara Jetha in order to get her to agree to allow his company Chancery to participate in the Purchase Agreement as an equity investor (rather than a lender) and to agree to the terms of the Alleged Written Joint Venture Agreement;</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all times on and after August 20, 2005, Sahara Jetha continued to express hesitation or unwillingness at having her company Sahara Co. implement the unfair bargains evidenced by the Memorandum of Undertaking and the Oral Joint Venture Agreement or any agreement reached during the July 8th Meeting or subsequently;</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fact that the Alleged Written Joint Venture Agreement would have constituted a gift to the solicitor's private company or the unfair and improvident nature of the bargain it would have evidenced meant that, in order to remove the inference that it had been obtained as a result of undue pressure brought to bear on the Defendants by Lakhani or as a result of over-reaching on his part, required Lakhani to ensure that his clients obtained competent and independent advice before executing it;</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no time during this period or subsequently did Lakhani or his law firm ensure that his clients or former clients secured independent and competent legal advice;</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if Gillian Chee gave the Defendants legal advice during this period of time, which is not admitted but specifically denied, that advice was not competent, because at no time during this period did Lakhani or his law firm ensure that she was given sufficient information concerning the unfair and improvident nature of the bargains evidenced by either the Memorandum of Understanding or the Oral Joint Venture Agreement or any agreement reached during the July 8th Meeting, or subsequently, or the circumstances surrounding the execution of the Memorandum of Understanding or the making of the bargain reached in the Oral Joint Venture Agreement or allegedly reached during the July 8th Meeting or subsequently, or the nature of the fiduciary relationship that then existed and continued to exist between Lakhani and his law firm and the Defendants, so as to make any intervention by her or Dusevic &amp; Co. on behalf of the Defendants of value;</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no time during this period or subsequently did Lakhani or his law firm ensure that the Alleged Written Joint Venture Agreement or any decision as to his company Chancery's equity participation in the Property was the result of the free exercise of independent will by their former client Sahara Jetha, as opposed to the product of the pressure being brought to bear on her by Lakhani and his company Chancery's assertion of contractual rights wrongfully acquired pursuant to the voidable Memorandum of Understanding or Oral Joint Venture Agreement or any voidable bargain reached during the July 8th Meeting or subsequently;</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terms of the Alleged Written Joint Venture Agreement unilaterally and materially varied the terms of the Oral Joint Venture Agreement reached by the parties;</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advised by Gillian Chee to await the return of Antony Dusevic, the Defendant refused to sign this unilateral variation of the Oral Joint Venture Agreement;</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at no time then or subsequently did the Defendants or either of them accept the material variation in the Oral Joint Venture Agreement represented by the Alleged Written Joint Venture Agreement with full knowledge and consent;</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reason of the foregoing, the Alleged Written Joint Venture Agreement was not a valid contract;</w:t>
      </w:r>
    </w:p>
    <w:p>
      <w:pPr>
        <w:numPr>
          <w:numId w:val="13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in the alternative, if the Alleged Written Joint Venture Agreement was a valid contract which is not admitted but specifically denied, any bargain it evidenced was voidable and capable of being set aside at the option of the Defendants by reason of the fact that: </w:t>
      </w:r>
    </w:p>
    <w:p>
      <w:pPr>
        <w:numPr>
          <w:numId w:val="13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Lakhani prepared and submitted the Alleged Written Joint Venture Agreement for execution by his client or former clients at a time when his interests and those of his private company Chancery were in conflict with theirs;</w:t>
      </w:r>
    </w:p>
    <w:p>
      <w:pPr>
        <w:numPr>
          <w:numId w:val="1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bargain evidenced by the Alleged Written joint Venture Agreement was an unfair or improvident one from the perspective of his Defendant clients or former clients; and</w:t>
      </w:r>
    </w:p>
    <w:p>
      <w:pPr>
        <w:numPr>
          <w:numId w:val="1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any bargain evidenced by the Alleged Written Joint Venture Agreement would not have been the result of a free exercise of an independent will by Sahara Jetha;</w:t>
      </w:r>
    </w:p>
    <w:p>
      <w:pPr>
        <w:numPr>
          <w:numId w:val="13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reason of the foregoing, any bargain evidenced by the Alleged Written Joint Venture Agreement was at all times subsequent voidable and capable of being set aside at the option of the Defendants; and</w:t>
      </w:r>
    </w:p>
    <w:p>
      <w:pPr>
        <w:numPr>
          <w:numId w:val="1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in breach of the fiduciary duty which they owed to their clients or former clients, the solicitor Lakhani and his law firm at all times then and subsequently failed or neglected to advise the Defendants or Dusevic </w:t>
      </w:r>
      <w:r>
        <w:rPr>
          <w:rFonts w:ascii="arial" w:eastAsia="arial" w:hAnsi="arial" w:cs="arial"/>
          <w:i/>
          <w:color w:val="000000"/>
          <w:sz w:val="20"/>
          <w:u w:val="single"/>
          <w:lang w:val="en-US" w:eastAsia="en-US" w:bidi="ar-SA"/>
        </w:rPr>
        <w:t>&amp;</w:t>
      </w:r>
      <w:r>
        <w:rPr>
          <w:rFonts w:ascii="arial" w:eastAsia="arial" w:hAnsi="arial" w:cs="arial"/>
          <w:color w:val="000000"/>
          <w:sz w:val="20"/>
          <w:u w:val="single"/>
          <w:lang w:val="en-US" w:eastAsia="en-US" w:bidi="ar-SA"/>
        </w:rPr>
        <w:t xml:space="preserve"> Co. of this fact.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The Present Action</w:t>
      </w:r>
    </w:p>
    <w:p>
      <w:pPr>
        <w:numPr>
          <w:numId w:val="1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By way of still further reply to paragraphs 39 to 55, the Defendants say that the true facts are: </w:t>
      </w:r>
    </w:p>
    <w:p>
      <w:pPr>
        <w:numPr>
          <w:numId w:val="1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Following the closing on August 19, 2005, Lakhani and his company Chancery wrongfully began asserting against the Defendants rights as equity investors and joint venture partners allegedly granted them by Alleged Written Joint Venture Agreement;</w:t>
      </w:r>
    </w:p>
    <w:p>
      <w:pPr>
        <w:numPr>
          <w:numId w:val="1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when Sahara Jetha continued to express hesitation or unwillingness at having her company ratify the unfair bargain evidenced by the Alleged Written Joint Venture Agreement, Lakhani, without waiting for Mr. Dusevic's return, first threatened then caused his company Chancery to issue the Writ in this action against his former clients on August 24, 2005;</w:t>
      </w:r>
    </w:p>
    <w:p>
      <w:pPr>
        <w:numPr>
          <w:numId w:val="1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Writ in this action was filed notwithstanding the fact that the Alleged Written Joint Venture Agreement contains a Dispute Resolution clause requiring any disputes between the parties relating to the joint venture or the interpretation of the Agreement to be submitted for arbitration by the Ismaili Conciliation and Arbitration Board for British Columbia; and</w:t>
      </w:r>
    </w:p>
    <w:p>
      <w:pPr>
        <w:numPr>
          <w:numId w:val="1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Writ in this action seeks "special, aggravated, exemplary and punitive damages against [Sahara] Jetha for fraud and deceit", alleged to be the result of this former client's refusal to execute the Alleged Written Joint Venture Agreement.</w:t>
      </w:r>
    </w:p>
    <w:p>
      <w:pPr>
        <w:numPr>
          <w:numId w:val="14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By joining in this wrongful act of suing to enforce the Alleged Written Joint Venture Agreement, the Plaintiffs, or any or all of them, evinced an intention to no longer be bound by the Oral Joint Venture Agreement; and the Defendants exercised their right to accept that repudiation and treat that repudiation as discharging them from any further performance under the Oral Joint Venture Agreement.</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alternative, the Defendants or either of them hereby exercise their right as former clients of the solicitor Lakhani and his law firm to have declared void all or any of the Memorandum of Understanding, any bargain reached during the July 8th Meeting, the Oral Joint Venture Agreement and the Alleged Written Joint Venture Agreement.</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reply to paragraphs 46, 47, 48 and 49, the Defendants herein say that the Plaintiffs have inaccurately, unfairly and without good reason sought to disparage the character and actions of the Defendant, Sahara, whose diligent work and effort brought the Pinetree opportunity to the Plaintiffs and Defendants herein.</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expressly deny any breach of any agreement among the parties herein and says that, while discussions were held and steps taken to realize the purchase of Pinetree Apartments, the discussions are not as described in the Statement of Claim, have not been concluded and do not involve breach of any agreement by the Defendants. The Defendants herein say that the Plaintiffs have proceeded to litigation without reasonable attempt to conclude the transaction involving the Pinetree Apartments. The Defendants herein expressly deny any wrongdoing as alleged by the Plaintiffs.</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expressly deny soliciting fabricated evidence or inducing any party in a fraudulent manner and expressly deny fraudulent conduct and put the Plaintiff to strict proof thereof.</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WHEREFORE</w:t>
      </w:r>
      <w:r>
        <w:rPr>
          <w:rFonts w:ascii="arial" w:eastAsia="arial" w:hAnsi="arial" w:cs="arial"/>
          <w:color w:val="000000"/>
          <w:sz w:val="20"/>
          <w:lang w:val="en-US" w:eastAsia="en-US" w:bidi="ar-SA"/>
        </w:rPr>
        <w:t xml:space="preserve"> the Defendants submit that the claim b[e] dismissed with costs, including special costs </w:t>
      </w:r>
      <w:r>
        <w:rPr>
          <w:rFonts w:ascii="arial" w:eastAsia="arial" w:hAnsi="arial" w:cs="arial"/>
          <w:color w:val="000000"/>
          <w:sz w:val="20"/>
          <w:u w:val="single"/>
          <w:lang w:val="en-US" w:eastAsia="en-US" w:bidi="ar-SA"/>
        </w:rPr>
        <w:t>against the Plaintiff Chancery.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COUNTERCLAIM</w:t>
      </w:r>
      <w:r>
        <w:rPr>
          <w:rFonts w:ascii="arial" w:eastAsia="arial" w:hAnsi="arial" w:cs="arial"/>
          <w:sz w:val="20"/>
          <w:lang w:val="en-US" w:eastAsia="en-US" w:bidi="ar-SA"/>
        </w:rPr>
        <w:cr/>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Sahara Jetha, Sahara Co. and Safana Jetha repeat the allegations of fact contained in paragraphs 1 through 35 of the Amended Statement of Defence herein</w:t>
      </w:r>
    </w:p>
    <w:p>
      <w:pPr>
        <w:numPr>
          <w:numId w:val="1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by Counterclaim M. Ali Lakhani ("Lakhani") is a barrister &amp; solicitor and resides in the City of Vancouver, in the Province of British Columbia.</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by Counterclaim Nazlin A. Nathu ("Nathu") is a barrister &amp; solicitor and resides with her husband Lakhani.</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relevant times, the defendants Lakhani and Nathu were practising members of the Law Society of British Columbia.</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plead and rely upon the Rules of Professional Conduct published under the authority of the Benchers of the Law Society of British Columbia.</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by Counterclaim Lakhani &amp; Company is a partnership of the Defendants by Counterclaim Lakhani and Nathu, carrying on the practice of law for profit at suite 1400, 1125 Howe Street, in the City of Vancouver, in the Province of British Columbia.</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plead and rely upon the provisions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 and amendments thereto.</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filing of the Writ in this action put an end to all attempts to conclude a written joint venture agreement between the parties or to document the nature of the Plaintiff Chancery's participation in the Purchase Agreement.</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 long as the within action remained outstanding, it enabled the solicitor Lakhani to bring pressure to bear on his Defendant former clients for the improper purpose of asserting his private company Chancery's alleged claims to an equity position in the Property and to the status as a joint venturer in respect of that Property.</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prior to August 24, 2005, were the Defendants free from the effect of the influence induced by their confidential relationship with Lakhani and his law firm or from the pressure brought to bear on them by Lakhani's continued assertion of contractual rights wrongfully acquired by his Company Chancery pursuant to the voidable Memorandum of Understanding, any bargain reached during the July 8th Meeting, the Oral Joint Venture Agreement and/or the Alleged Written Joint Venture Agreement.</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subsequent to August 24, 2005, were the Defendants free from the pressure brought to bear on them by the within action.</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Nizar Valji had notice, actual or constructive, of</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confidential relationship in which the Solicitor Lakhani stood to the Defendants;</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impropriety of the acquisition by the solicitor Lakhani's private company of an interest in the Property pursuant to the Memorandum of Understanding, any bargain reached during the July 8th Meeting, the Oral Joint Venture Agreement the Alleged Written Joint Venture Agreement; or</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privative clause in the Alleged Written Joint Venture Agreement forbidding the bringing of this 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Alternatively, he acquired express or constructive notice in consequence of his participation as a co-Plaintiff in this action.</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such notice, the Plaintiff Nizar Valji can derive no benefit or advantage from the Purchase Agreement.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WHEREFORE</w:t>
      </w:r>
      <w:r>
        <w:rPr>
          <w:rFonts w:ascii="arial" w:eastAsia="arial" w:hAnsi="arial" w:cs="arial"/>
          <w:color w:val="000000"/>
          <w:sz w:val="20"/>
          <w:lang w:val="en-US" w:eastAsia="en-US" w:bidi="ar-SA"/>
        </w:rPr>
        <w:t xml:space="preserve"> the Defendants Sahara Jetha, Sahara Co. and Safana Jetha counterclaim against the Plaintiffs Chancery and Nizar Valji and the Defendants by Counterclaim as follows:</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Oral Joint Venture Agreement is void and unenforceable;</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never made or executed the Alleged Written Joint Venture Agreement;</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setting aside any bargain evidenced by the Memorandum of Understanding or the Oral Joint Venture Agreement, or allegedly reached during the July 8th Meeting or pursuant to the Alleged Written Joint Venture Agreement as having been obtained in circumstances amounting to a breach of fiduciary duty owed by the Defendant solicitor Lakhani and his law firm to his Defendant clients or former clients;</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fiduciary duty;</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 Sahara Co. be restored to all its rights as purchaser of the Property in the same manner as if the aforesaid bargains, or any of them, had not been concluded;</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these Plaintiffs and the Defendants by Counterclaim are liable to the extent to which they have benefited from the Memorandum of Understanding, any bargain reached during the July 8th Meeting, the Oral Joint Venture Agreement, the Alleged Written Joint Venture Agreement or the wrongful bringing of this lawsuit;</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inquiry as to what gain, profit or advantage these parties have made in consequence of their participation in the Purchase Agreement;</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in the amounts so determined;</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action, including special costs as against the Plaintiff Chancery and the Defendants by Counterclaim Lakhani and Lakhani &amp; Company; and</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deem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plaintiffs contend that the allegations were or should have been raised in the first proceeding or partition proceeding, and have been dealt with in the settlement agreement and court order. The plaintiffs maintain that:</w:t>
      </w:r>
      <w:r>
        <w:rPr>
          <w:rFonts w:ascii="arial" w:eastAsia="arial" w:hAnsi="arial" w:cs="arial"/>
          <w:sz w:val="20"/>
          <w:lang w:val="en-US" w:eastAsia="en-US" w:bidi="ar-SA"/>
        </w:rPr>
        <w:cr/>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are barred by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constitute an improper collateral attack on the January 10, 2008 consent order;</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estopped from advancing the claims, based on the doctrines of cause of action estoppel, issue estoppel, estoppel by prior fundamental admission and estoppel by representation;</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defendants elected within the partition proceeding to acknowledge the ownership rights of Chancery and Mr. Valji, the claims constitute an improper attempt to now change this election in order to deny those same ownership rights;</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are barred by the doctrine of laches; and</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are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also seek an order that the first proceeding be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Fredericksen for the plaintiffs provided a 61 page detailed written argument setting out the law and the application of the law to the evidence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Winstanley for the defendants respondents did not respond substantively to the plaintiffs' argument on the law or on the application of the law to the facts of this case. Instead, after hearing the conclusion of the plaintiffs' argument Mr. Winstanley said he was concerned that they were "two ships passing in the night", and in his view the central issue on this application is whether equity will allow a solicitor to keep the benefit of the bargains he made with his client, and he argued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ARGUMENT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While abuse of process includes the related doctrines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estoppel, and collateral attack, I propose to deal with the plaintiffs' argument on the law under the following headings:</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Res Judicata</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Process</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Collateral Attack</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Doctrine of Estoppel</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Laches</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8(3)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Power Apparatus v. Flanders Installations Ltd.</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(1972), 27 D.L.R. (3d) 249</w:t>
        </w:r>
      </w:hyperlink>
      <w:r>
        <w:rPr>
          <w:rFonts w:ascii="arial" w:eastAsia="arial" w:hAnsi="arial" w:cs="arial"/>
          <w:color w:val="000000"/>
          <w:sz w:val="20"/>
          <w:lang w:val="en-US" w:eastAsia="en-US" w:bidi="ar-SA"/>
        </w:rPr>
        <w:t xml:space="preserve"> (B.C.C.A.), the plaintiff claimed against the defendant for a sum of money for services rendered, breach of contract, or an accounting. The defendant denied the allegations and counterclaimed. The parties later agreed to dismiss the claim and the counterclaim and the action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then commenced a second action against the defendant claiming a lesser sum of money but on the basis that the parties were partners in a joint venture or, alternatively, that the defendant was an agent for the plaintiff and breached its duty as a partner or its duty under the fiduciary relationship established by the contracts. In allowing the appeal and dismissing the second action, Chief Justice Davey for the Court of Appeal stated at 251-252: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seemed to me, as I followed the arguments of counsel and read the statements of claim and the statements of defence in the several actions, that what was concerned in the second action were precisely the same contracts which had been relied upon in the first action; that the subject of the litigation was the same relationship between the parties that had been involved in the first action, and that the amounts sought to be recovered in the second action, although somewhat lower in amount, were in respect of a matter of the same sum of $382,000 which had been sought in the first action, either for money due under contract or as damages for breach of contract. Respondent's counsel has confirmed the impression that I formed from my perusal of the pleadings and the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being the case, it seems to me that the second action involves nothing more than a claim for the same sum of money and arising out of the same relationship and for the same services, but based upon a different legal conception of the relationship between the parties. The first action was one of contract, for damages for breach of contract (leaving aside for a moment the moneys claimed under an account stated) and the second action is dependent upon breach of duty which the defendant assumed under the very same contracts, which would give the plaintiff in the second action the money it sought in the first action but under a different legal concept.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that being so,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I refer to the judgment of Vice-Chancellor Wigram in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(1843), 3 Hare 100, 67 E.R. 313, and quote the passage at pp. 114-15: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trying this question, I believe I state the rule of the Court correctly, when I say that, where a given matter becomes the subject of litigation in, and of adjudication by, a Court of competent jurisdiction, the Court requires the parties to that litigation to bring forward their whole case, and will not (except under special circumstances)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inadvertence, or even accident, omitted part of their case. The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except in special cases, not only to points upon which the Court was actually required by the parties to form an opinion and pronounce a judgment, but to every point which properly belonged to the subject of litigation, and which the parties, exercising reasonable diligence, might have brought forward at the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of </w:t>
      </w:r>
      <w:r>
        <w:rPr>
          <w:rFonts w:ascii="arial" w:eastAsia="arial" w:hAnsi="arial" w:cs="arial"/>
          <w:i/>
          <w:color w:val="000000"/>
          <w:sz w:val="20"/>
          <w:lang w:val="en-US" w:eastAsia="en-US" w:bidi="ar-SA"/>
        </w:rPr>
        <w:t>Hoystead v. Commissioner of Taxation</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[1926] A.C. 155</w:t>
        </w:r>
      </w:hyperlink>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[1926] 1 W.W.R. 286</w:t>
        </w:r>
      </w:hyperlink>
      <w:r>
        <w:rPr>
          <w:rFonts w:ascii="arial" w:eastAsia="arial" w:hAnsi="arial" w:cs="arial"/>
          <w:color w:val="000000"/>
          <w:sz w:val="20"/>
          <w:lang w:val="en-US" w:eastAsia="en-US" w:bidi="ar-SA"/>
        </w:rPr>
        <w:t xml:space="preserve">, a judgment of Lord Shaw, is also in point, although perhaps the comments that I am about to read did not arise directly under a plea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 there was a plea of estoppel there -- but at p. 165 Lord Shaw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Very numerous authorities were referred to. In the opinion of their Lordships it is settled, first, that the admission of a fact fundamental to the decision arrived at cannot be withdrawn and a fresh litigation started, with a view of obtaining another judgment upon a different assumption of fact; secondly, the same principle applies not only to an erroneous admission of a fundamental fact, but to an erroneous assumption as to the legal quality of that fact. Parties are not permitted to begin fresh litigations because of new views they may entertain of the law of the case, or new versions which they present as to what should be a proper apprehension by the Court of the legal result either of the construction of the documents or the weight of certain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add that that second observation is particularly appropriate here. The learned Law Lord continued [at pp. 165-66]: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this were permitted litigation would have no end, except when legal ingenuity is exhausted. It is a principle of law that this cannot be permitted, and there is abundant authority reiterating that principle. Thirdly, the same principle--namely, that of setting to rest rights of litigants, applies to the case where a point, fundamental to the decision, taken or assumed by the plaintiff and traversable by the defendant, has not been traversed. In that case also a defendant is bound by the judgment, although it may be true enough that subsequent light or ingenuity might suggest some traverse which had not been taken. The same principle of setting parties' rights to rest applies and estoppel occurs.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only difference between the first action and the second action here is a different concept which plaintiff's counsel sought to apply to the circumstances in the first action, that is, that there was a relationship not of debtor and creditor or of contractor and contractee but of duties which the defendant owed to the plaintiff arising under the contracts which had been relied upon in the first case of partner or of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Royal Bank of Canada v. United Used Auto &amp; Truck Parts Ltd. et al.</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2006 BCSC 1192</w:t>
        </w:r>
      </w:hyperlink>
      <w:r>
        <w:rPr>
          <w:rFonts w:ascii="arial" w:eastAsia="arial" w:hAnsi="arial" w:cs="arial"/>
          <w:color w:val="000000"/>
          <w:sz w:val="20"/>
          <w:lang w:val="en-US" w:eastAsia="en-US" w:bidi="ar-SA"/>
        </w:rPr>
        <w:t xml:space="preserve">, aff'd </w:t>
      </w:r>
      <w:hyperlink r:id="rId815" w:history="1">
        <w:r>
          <w:rPr>
            <w:rFonts w:ascii="arial" w:eastAsia="arial" w:hAnsi="arial" w:cs="arial"/>
            <w:i/>
            <w:color w:val="0077CC"/>
            <w:sz w:val="20"/>
            <w:u w:val="single"/>
            <w:shd w:val="clear" w:color="auto" w:fill="FFFFFF"/>
            <w:lang w:val="en-US" w:eastAsia="en-US" w:bidi="ar-SA"/>
          </w:rPr>
          <w:t>2007 BCCA 111</w:t>
        </w:r>
      </w:hyperlink>
      <w:r>
        <w:rPr>
          <w:rFonts w:ascii="arial" w:eastAsia="arial" w:hAnsi="arial" w:cs="arial"/>
          <w:color w:val="000000"/>
          <w:sz w:val="20"/>
          <w:lang w:val="en-US" w:eastAsia="en-US" w:bidi="ar-SA"/>
        </w:rPr>
        <w:t xml:space="preserve">, leave to appeal ref'd </w:t>
      </w:r>
      <w:hyperlink r:id="rId816" w:history="1">
        <w:r>
          <w:rPr>
            <w:rFonts w:ascii="arial" w:eastAsia="arial" w:hAnsi="arial" w:cs="arial"/>
            <w:i/>
            <w:color w:val="0077CC"/>
            <w:sz w:val="20"/>
            <w:u w:val="single"/>
            <w:shd w:val="clear" w:color="auto" w:fill="FFFFFF"/>
            <w:lang w:val="en-US" w:eastAsia="en-US" w:bidi="ar-SA"/>
          </w:rPr>
          <w:t>[2007] S.C.C.A. No. 148</w:t>
        </w:r>
      </w:hyperlink>
      <w:r>
        <w:rPr>
          <w:rFonts w:ascii="arial" w:eastAsia="arial" w:hAnsi="arial" w:cs="arial"/>
          <w:color w:val="000000"/>
          <w:sz w:val="20"/>
          <w:lang w:val="en-US" w:eastAsia="en-US" w:bidi="ar-SA"/>
        </w:rPr>
        <w:t>, Mr. Justice Rice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Cause of action estoppel applies to bar proceedings that allege the same cause of action between the same parties if that cause has already been determined by the courts. However, despite its name, it is not so strictly limited. Cause of action estoppel also applies to bar subsequent proceedings covering the same subject matter and arising out of the same relationship between the parties, even though the second litigation may be based on a different legal description or conception of the cause: </w:t>
      </w:r>
      <w:r>
        <w:rPr>
          <w:rFonts w:ascii="arial" w:eastAsia="arial" w:hAnsi="arial" w:cs="arial"/>
          <w:i/>
          <w:color w:val="000000"/>
          <w:sz w:val="20"/>
          <w:lang w:val="en-US" w:eastAsia="en-US" w:bidi="ar-SA"/>
        </w:rPr>
        <w:t>Lehndorff Management Ltd. v. L.R.S. Development Enterprises Ltd.</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 xml:space="preserve"> at pp. 64-65, </w:t>
      </w:r>
      <w:hyperlink r:id="rId817" w:history="1">
        <w:r>
          <w:rPr>
            <w:rFonts w:ascii="arial" w:eastAsia="arial" w:hAnsi="arial" w:cs="arial"/>
            <w:i/>
            <w:color w:val="0077CC"/>
            <w:sz w:val="20"/>
            <w:u w:val="single"/>
            <w:shd w:val="clear" w:color="auto" w:fill="FFFFFF"/>
            <w:lang w:val="en-US" w:eastAsia="en-US" w:bidi="ar-SA"/>
          </w:rPr>
          <w:t>109 D.L.R. (3d) 729</w:t>
        </w:r>
      </w:hyperlink>
      <w:r>
        <w:rPr>
          <w:rFonts w:ascii="arial" w:eastAsia="arial" w:hAnsi="arial" w:cs="arial"/>
          <w:color w:val="000000"/>
          <w:sz w:val="20"/>
          <w:lang w:val="en-US" w:eastAsia="en-US" w:bidi="ar-SA"/>
        </w:rPr>
        <w:t xml:space="preserve"> (C.A.), cited with approval in </w:t>
      </w:r>
      <w:r>
        <w:rPr>
          <w:rFonts w:ascii="arial" w:eastAsia="arial" w:hAnsi="arial" w:cs="arial"/>
          <w:i/>
          <w:color w:val="000000"/>
          <w:sz w:val="20"/>
          <w:lang w:val="en-US" w:eastAsia="en-US" w:bidi="ar-SA"/>
        </w:rPr>
        <w:t>Chapman v. Canada</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(2003), 21 B.C.L.R. (4th) 272</w:t>
        </w:r>
      </w:hyperlink>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2003 BCCA 665</w:t>
        </w:r>
      </w:hyperlink>
      <w:r>
        <w:rPr>
          <w:rFonts w:ascii="arial" w:eastAsia="arial" w:hAnsi="arial" w:cs="arial"/>
          <w:color w:val="000000"/>
          <w:sz w:val="20"/>
          <w:lang w:val="en-US" w:eastAsia="en-US" w:bidi="ar-SA"/>
        </w:rPr>
        <w:t xml:space="preserve">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Both issue estoppel and cause of action estoppel are subject to the rule in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(1843), 3 Hare 100, and encompass not only what has been decided, but also what could have been decided but was not before the court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Madam Justice Newbury in </w:t>
      </w:r>
      <w:r>
        <w:rPr>
          <w:rFonts w:ascii="arial" w:eastAsia="arial" w:hAnsi="arial" w:cs="arial"/>
          <w:i/>
          <w:color w:val="000000"/>
          <w:sz w:val="20"/>
          <w:lang w:val="en-US" w:eastAsia="en-US" w:bidi="ar-SA"/>
        </w:rPr>
        <w:t>Cliffs Over Maple Bay Investments Ltd. (Re)</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2011 BCCA 180</w:t>
        </w:r>
      </w:hyperlink>
      <w:r>
        <w:rPr>
          <w:rFonts w:ascii="arial" w:eastAsia="arial" w:hAnsi="arial" w:cs="arial"/>
          <w:color w:val="000000"/>
          <w:sz w:val="20"/>
          <w:lang w:val="en-US" w:eastAsia="en-US" w:bidi="ar-SA"/>
        </w:rPr>
        <w:t>, set out an extensive analysis of the doctrine, and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policy objectives underlying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generally are well-known and have been discussed at length in the jurisprudence and in the academic context: see for example, Donald J. Lange, </w:t>
      </w:r>
      <w:r>
        <w:rPr>
          <w:rFonts w:ascii="arial" w:eastAsia="arial" w:hAnsi="arial" w:cs="arial"/>
          <w:i/>
          <w:color w:val="000000"/>
          <w:sz w:val="20"/>
          <w:lang w:val="en-US" w:eastAsia="en-US" w:bidi="ar-SA"/>
        </w:rPr>
        <w:t>Res Judicata in Canada</w:t>
      </w:r>
      <w:r>
        <w:rPr>
          <w:rFonts w:ascii="arial" w:eastAsia="arial" w:hAnsi="arial" w:cs="arial"/>
          <w:color w:val="000000"/>
          <w:sz w:val="20"/>
          <w:lang w:val="en-US" w:eastAsia="en-US" w:bidi="ar-SA"/>
        </w:rPr>
        <w:t xml:space="preserve"> (3rd ed., 2010), chapter 1; </w:t>
      </w:r>
      <w:r>
        <w:rPr>
          <w:rFonts w:ascii="arial" w:eastAsia="arial" w:hAnsi="arial" w:cs="arial"/>
          <w:i/>
          <w:color w:val="000000"/>
          <w:sz w:val="20"/>
          <w:lang w:val="en-US" w:eastAsia="en-US" w:bidi="ar-SA"/>
        </w:rPr>
        <w:t>Henderson v. Henderson</w:t>
      </w:r>
      <w:r>
        <w:rPr>
          <w:rFonts w:ascii="arial" w:eastAsia="arial" w:hAnsi="arial" w:cs="arial"/>
          <w:color w:val="000000"/>
          <w:sz w:val="20"/>
          <w:lang w:val="en-US" w:eastAsia="en-US" w:bidi="ar-SA"/>
        </w:rPr>
        <w:t xml:space="preserve"> [(1843), 3 Hare 100]; </w:t>
      </w:r>
      <w:r>
        <w:rPr>
          <w:rFonts w:ascii="arial" w:eastAsia="arial" w:hAnsi="arial" w:cs="arial"/>
          <w:i/>
          <w:color w:val="000000"/>
          <w:sz w:val="20"/>
          <w:lang w:val="en-US" w:eastAsia="en-US" w:bidi="ar-SA"/>
        </w:rPr>
        <w:t>Hoystead v. Taxation Commissioner</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[1926] A.C. 155</w:t>
        </w:r>
      </w:hyperlink>
      <w:r>
        <w:rPr>
          <w:rFonts w:ascii="arial" w:eastAsia="arial" w:hAnsi="arial" w:cs="arial"/>
          <w:color w:val="000000"/>
          <w:sz w:val="20"/>
          <w:lang w:val="en-US" w:eastAsia="en-US" w:bidi="ar-SA"/>
        </w:rPr>
        <w:t xml:space="preserve"> (J.C.P.C.); </w:t>
      </w:r>
      <w:r>
        <w:rPr>
          <w:rFonts w:ascii="arial" w:eastAsia="arial" w:hAnsi="arial" w:cs="arial"/>
          <w:i/>
          <w:color w:val="000000"/>
          <w:sz w:val="20"/>
          <w:lang w:val="en-US" w:eastAsia="en-US" w:bidi="ar-SA"/>
        </w:rPr>
        <w:t>Angle v. Minister of National Revenue</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Danyluk v. Ainsworth Technologies Ltd.</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xml:space="preserve">. The authors of Spencer Bower and Turner, </w:t>
      </w:r>
      <w:r>
        <w:rPr>
          <w:rFonts w:ascii="arial" w:eastAsia="arial" w:hAnsi="arial" w:cs="arial"/>
          <w:i/>
          <w:color w:val="000000"/>
          <w:sz w:val="20"/>
          <w:lang w:val="en-US" w:eastAsia="en-US" w:bidi="ar-SA"/>
        </w:rPr>
        <w:t>The Doctrine of Res Judicata</w:t>
      </w:r>
      <w:r>
        <w:rPr>
          <w:rFonts w:ascii="arial" w:eastAsia="arial" w:hAnsi="arial" w:cs="arial"/>
          <w:color w:val="000000"/>
          <w:sz w:val="20"/>
          <w:lang w:val="en-US" w:eastAsia="en-US" w:bidi="ar-SA"/>
        </w:rPr>
        <w:t xml:space="preserve"> (4th ed., 2009), state: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policies support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estoppel: the interest of the community in the termination of disputes and the finality and conclusiveness of judicial decisions; and the interest of an individual in being protected from repeated suits and prosecutions for the same cause. Maugham L.C.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doctrine of estoppel is one founded on considerations of justice and good sense. If an issue has been distinctly raised and decided in an action, in which the parties are represented, it is unjust and unreasonable to permit the same issue to be litigated afresh between the same parties or persons claiming under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Appellate courts in Canada have emphasized that the importance of finality and the principle that a party should not be 'twice vexed' (</w:t>
      </w:r>
      <w:r>
        <w:rPr>
          <w:rFonts w:ascii="arial" w:eastAsia="arial" w:hAnsi="arial" w:cs="arial"/>
          <w:i/>
          <w:color w:val="000000"/>
          <w:sz w:val="20"/>
          <w:lang w:val="en-US" w:eastAsia="en-US" w:bidi="ar-SA"/>
        </w:rPr>
        <w:t>bis vixari</w:t>
      </w:r>
      <w:r>
        <w:rPr>
          <w:rFonts w:ascii="arial" w:eastAsia="arial" w:hAnsi="arial" w:cs="arial"/>
          <w:color w:val="000000"/>
          <w:sz w:val="20"/>
          <w:lang w:val="en-US" w:eastAsia="en-US" w:bidi="ar-SA"/>
        </w:rPr>
        <w:t xml:space="preserve">) for the same cause, must be balanced against the other "fundamental principle" (see </w:t>
      </w:r>
      <w:r>
        <w:rPr>
          <w:rFonts w:ascii="arial" w:eastAsia="arial" w:hAnsi="arial" w:cs="arial"/>
          <w:i/>
          <w:color w:val="000000"/>
          <w:sz w:val="20"/>
          <w:lang w:val="en-US" w:eastAsia="en-US" w:bidi="ar-SA"/>
        </w:rPr>
        <w:t>Hoque</w:t>
      </w:r>
      <w:r>
        <w:rPr>
          <w:rFonts w:ascii="arial" w:eastAsia="arial" w:hAnsi="arial" w:cs="arial"/>
          <w:color w:val="000000"/>
          <w:sz w:val="20"/>
          <w:lang w:val="en-US" w:eastAsia="en-US" w:bidi="ar-SA"/>
        </w:rPr>
        <w:t xml:space="preserve"> at para. 21) that courts are reluctant to deprive litigants of the right to have their cases decided on the merits: see </w:t>
      </w:r>
      <w:r>
        <w:rPr>
          <w:rFonts w:ascii="arial" w:eastAsia="arial" w:hAnsi="arial" w:cs="arial"/>
          <w:i/>
          <w:color w:val="000000"/>
          <w:sz w:val="20"/>
          <w:lang w:val="en-US" w:eastAsia="en-US" w:bidi="ar-SA"/>
        </w:rPr>
        <w:t>Toronto (City) v. Canadian Union of Public Employees, Local 79</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at para. 55; </w:t>
      </w:r>
      <w:r>
        <w:rPr>
          <w:rFonts w:ascii="arial" w:eastAsia="arial" w:hAnsi="arial" w:cs="arial"/>
          <w:i/>
          <w:color w:val="000000"/>
          <w:sz w:val="20"/>
          <w:lang w:val="en-US" w:eastAsia="en-US" w:bidi="ar-SA"/>
        </w:rPr>
        <w:t>Revane v. Homersham</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2006 BCCA 8</w:t>
        </w:r>
      </w:hyperlink>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53 B.C.L.R. (4th) 76</w:t>
        </w:r>
      </w:hyperlink>
      <w:r>
        <w:rPr>
          <w:rFonts w:ascii="arial" w:eastAsia="arial" w:hAnsi="arial" w:cs="arial"/>
          <w:color w:val="000000"/>
          <w:sz w:val="20"/>
          <w:lang w:val="en-US" w:eastAsia="en-US" w:bidi="ar-SA"/>
        </w:rPr>
        <w:t xml:space="preserve"> (C.A.) at paras. 16-7; Lange at 7-8.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takes two forms in modern practice, cause of action estoppel (still sometimes called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issue estoppel. Lange summarizes them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their simplest definitions, issue estoppel means that a litigant is estopped because the issue has clearly been decided in the previous proceeding, and cause of action estoppel means that a litigant is estopped because the cause has passed into a matter adjudged in the previous proceeding. [At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distinction was described in more elaborate terms by Lord Denning, M.R. in </w:t>
      </w:r>
      <w:r>
        <w:rPr>
          <w:rFonts w:ascii="arial" w:eastAsia="arial" w:hAnsi="arial" w:cs="arial"/>
          <w:i/>
          <w:color w:val="000000"/>
          <w:sz w:val="20"/>
          <w:lang w:val="en-US" w:eastAsia="en-US" w:bidi="ar-SA"/>
        </w:rPr>
        <w:t>Fidelitas Shipping Co., Ltd., v. V/O Exportchleb</w:t>
      </w:r>
      <w:r>
        <w:rPr>
          <w:rFonts w:ascii="arial" w:eastAsia="arial" w:hAnsi="arial" w:cs="arial"/>
          <w:color w:val="000000"/>
          <w:sz w:val="20"/>
          <w:lang w:val="en-US" w:eastAsia="en-US" w:bidi="ar-SA"/>
        </w:rPr>
        <w:t xml:space="preserve"> [1965] 2 All E.R. 4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law, as I understand it, is this: if one party brings an action against another for a particular cause and judgment is given on it, there is a strict rule of law that he cannot bring another action against the same party for the same cause. Transit in </w:t>
      </w:r>
      <w:r>
        <w:rPr>
          <w:rFonts w:ascii="arial" w:eastAsia="arial" w:hAnsi="arial" w:cs="arial"/>
          <w:i/>
          <w:color w:val="000000"/>
          <w:sz w:val="20"/>
          <w:lang w:val="en-US" w:eastAsia="en-US" w:bidi="ar-SA"/>
        </w:rPr>
        <w:t>rem judicatam</w:t>
      </w:r>
      <w:r>
        <w:rPr>
          <w:rFonts w:ascii="arial" w:eastAsia="arial" w:hAnsi="arial" w:cs="arial"/>
          <w:color w:val="000000"/>
          <w:sz w:val="20"/>
          <w:lang w:val="en-US" w:eastAsia="en-US" w:bidi="ar-SA"/>
        </w:rPr>
        <w:t xml:space="preserve"> ... But within one cause of action, there may be several issues raised which are necessary for the determination of the whole case. The rule then is that, once an issue has been raised and distinctly determined between the parties, then, as a general rule, neither party can be allowed to fight that issue all over again. The same issue cannot be raised by either of them again in the same or subsequent proceedings except in special circumstances ... And within one issue, there may be several points available which go to aid one party or the other in his efforts to secure a determination of the issue in his favour. The rule then is that each party must use reasonable diligence to bring forward every point which he thinks would help him. If he omits to raise any particular point,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inadvertence, or even accident (which would or might have decided the issue in his favour), he may find himself shut out from raising that point again, at any rate in any case where the self-same issue arises in the same or subsequent proceedings. ... But this again is not an inflexible rule. It can be departed from in special circumstances. ... [At 8-9; quoted with apparent approval in </w:t>
      </w:r>
      <w:r>
        <w:rPr>
          <w:rFonts w:ascii="arial" w:eastAsia="arial" w:hAnsi="arial" w:cs="arial"/>
          <w:i/>
          <w:color w:val="000000"/>
          <w:sz w:val="20"/>
          <w:lang w:val="en-US" w:eastAsia="en-US" w:bidi="ar-SA"/>
        </w:rPr>
        <w:t>Grandview v. Doering</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infra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Although grounded in the same basic considerations, each form involves, or has traditionally involved, criteria that have been expressed in slightly different terms. The traditional criteria for cause of action estoppel, confirmed in Canada in </w:t>
      </w:r>
      <w:r>
        <w:rPr>
          <w:rFonts w:ascii="arial" w:eastAsia="arial" w:hAnsi="arial" w:cs="arial"/>
          <w:i/>
          <w:color w:val="000000"/>
          <w:sz w:val="20"/>
          <w:lang w:val="en-US" w:eastAsia="en-US" w:bidi="ar-SA"/>
        </w:rPr>
        <w:t>Angle, supra</w:t>
      </w:r>
      <w:r>
        <w:rPr>
          <w:rFonts w:ascii="arial" w:eastAsia="arial" w:hAnsi="arial" w:cs="arial"/>
          <w:color w:val="000000"/>
          <w:sz w:val="20"/>
          <w:lang w:val="en-US" w:eastAsia="en-US" w:bidi="ar-SA"/>
        </w:rPr>
        <w:t xml:space="preserve">, were summarized by Chief Justice Hewak in </w:t>
      </w:r>
      <w:r>
        <w:rPr>
          <w:rFonts w:ascii="arial" w:eastAsia="arial" w:hAnsi="arial" w:cs="arial"/>
          <w:i/>
          <w:color w:val="000000"/>
          <w:sz w:val="20"/>
          <w:lang w:val="en-US" w:eastAsia="en-US" w:bidi="ar-SA"/>
        </w:rPr>
        <w:t>Bjarnarson v. Manitoba</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at 34,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(1987) 45 D.L.R. (4th) 766</w:t>
        </w:r>
      </w:hyperlink>
      <w:r>
        <w:rPr>
          <w:rFonts w:ascii="arial" w:eastAsia="arial" w:hAnsi="arial" w:cs="arial"/>
          <w:color w:val="000000"/>
          <w:sz w:val="20"/>
          <w:lang w:val="en-US" w:eastAsia="en-US" w:bidi="ar-SA"/>
        </w:rPr>
        <w:t xml:space="preserve"> (Man. C.A.), as taken from </w:t>
      </w:r>
      <w:r>
        <w:rPr>
          <w:rFonts w:ascii="arial" w:eastAsia="arial" w:hAnsi="arial" w:cs="arial"/>
          <w:i/>
          <w:color w:val="000000"/>
          <w:sz w:val="20"/>
          <w:lang w:val="en-US" w:eastAsia="en-US" w:bidi="ar-SA"/>
        </w:rPr>
        <w:t>Grandview v. Doering</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[1976] 2 S.C.R. 621</w:t>
        </w:r>
      </w:hyperlink>
      <w:r>
        <w:rPr>
          <w:rFonts w:ascii="arial" w:eastAsia="arial" w:hAnsi="arial" w:cs="arial"/>
          <w:color w:val="000000"/>
          <w:sz w:val="20"/>
          <w:lang w:val="en-US" w:eastAsia="en-US" w:bidi="ar-SA"/>
        </w:rPr>
        <w:t>:</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must be a </w:t>
      </w:r>
      <w:r>
        <w:rPr>
          <w:rFonts w:ascii="arial" w:eastAsia="arial" w:hAnsi="arial" w:cs="arial"/>
          <w:color w:val="000000"/>
          <w:sz w:val="20"/>
          <w:u w:val="single"/>
          <w:lang w:val="en-US" w:eastAsia="en-US" w:bidi="ar-SA"/>
        </w:rPr>
        <w:t>final decision</w:t>
      </w:r>
      <w:r>
        <w:rPr>
          <w:rFonts w:ascii="arial" w:eastAsia="arial" w:hAnsi="arial" w:cs="arial"/>
          <w:color w:val="000000"/>
          <w:sz w:val="20"/>
          <w:lang w:val="en-US" w:eastAsia="en-US" w:bidi="ar-SA"/>
        </w:rPr>
        <w:t xml:space="preserve"> of a court of competent jurisdiction in the prior action [the requirement of "finality"];</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to the subsequent litigation must have been parties to or in privy with the parties to the prior action [the requirement of "mutuality"];</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and the prior action must not be separate and distinct; and</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color w:val="000000"/>
          <w:sz w:val="20"/>
          <w:u w:val="single"/>
          <w:lang w:val="en-US" w:eastAsia="en-US" w:bidi="ar-SA"/>
        </w:rPr>
        <w:t>basis</w:t>
      </w:r>
      <w:r>
        <w:rPr>
          <w:rFonts w:ascii="arial" w:eastAsia="arial" w:hAnsi="arial" w:cs="arial"/>
          <w:color w:val="000000"/>
          <w:sz w:val="20"/>
          <w:lang w:val="en-US" w:eastAsia="en-US" w:bidi="ar-SA"/>
        </w:rPr>
        <w:t xml:space="preserve"> of the cause of action and the subsequent action was argued or </w:t>
      </w:r>
      <w:r>
        <w:rPr>
          <w:rFonts w:ascii="arial" w:eastAsia="arial" w:hAnsi="arial" w:cs="arial"/>
          <w:color w:val="000000"/>
          <w:sz w:val="20"/>
          <w:u w:val="single"/>
          <w:lang w:val="en-US" w:eastAsia="en-US" w:bidi="ar-SA"/>
        </w:rPr>
        <w:t>could have been argued in the prior action if the parties had exercised reasonable diligence</w:t>
      </w:r>
      <w:r>
        <w:rPr>
          <w:rFonts w:ascii="arial" w:eastAsia="arial" w:hAnsi="arial" w:cs="arial"/>
          <w:color w:val="000000"/>
          <w:sz w:val="20"/>
          <w:lang w:val="en-US" w:eastAsia="en-US" w:bidi="ar-SA"/>
        </w:rPr>
        <w:t>. [At para.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perhaps unnecessary to state that the doctrine contemplates two "causes" - the first having ended in a final judgment that bars a "second claim for the same cause": see </w:t>
      </w:r>
      <w:r>
        <w:rPr>
          <w:rFonts w:ascii="arial" w:eastAsia="arial" w:hAnsi="arial" w:cs="arial"/>
          <w:i/>
          <w:color w:val="000000"/>
          <w:sz w:val="20"/>
          <w:lang w:val="en-US" w:eastAsia="en-US" w:bidi="ar-SA"/>
        </w:rPr>
        <w:t>Mohl v. University of British Columbia</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at paras. 23-4. In this context, "cause of action" does not refer to the name or classification given to the wrong or remedy, but to a factual situation which entitles one to a remedy: see also Lange at 147; </w:t>
      </w:r>
      <w:r>
        <w:rPr>
          <w:rFonts w:ascii="arial" w:eastAsia="arial" w:hAnsi="arial" w:cs="arial"/>
          <w:i/>
          <w:color w:val="000000"/>
          <w:sz w:val="20"/>
          <w:lang w:val="en-US" w:eastAsia="en-US" w:bidi="ar-SA"/>
        </w:rPr>
        <w:t>Comeau v. Breau</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(1994) 145 N.B.R. (2d) 329</w:t>
        </w:r>
      </w:hyperlink>
      <w:r>
        <w:rPr>
          <w:rFonts w:ascii="arial" w:eastAsia="arial" w:hAnsi="arial" w:cs="arial"/>
          <w:color w:val="000000"/>
          <w:sz w:val="20"/>
          <w:lang w:val="en-US" w:eastAsia="en-US" w:bidi="ar-SA"/>
        </w:rPr>
        <w:t xml:space="preserve"> (C.A.) at para. 18; and </w:t>
      </w:r>
      <w:r>
        <w:rPr>
          <w:rFonts w:ascii="arial" w:eastAsia="arial" w:hAnsi="arial" w:cs="arial"/>
          <w:i/>
          <w:color w:val="000000"/>
          <w:sz w:val="20"/>
          <w:lang w:val="en-US" w:eastAsia="en-US" w:bidi="ar-SA"/>
        </w:rPr>
        <w:t>Letang v. Cooper</w:t>
      </w:r>
      <w:r>
        <w:rPr>
          <w:rFonts w:ascii="arial" w:eastAsia="arial" w:hAnsi="arial" w:cs="arial"/>
          <w:color w:val="000000"/>
          <w:sz w:val="20"/>
          <w:lang w:val="en-US" w:eastAsia="en-US" w:bidi="ar-SA"/>
        </w:rPr>
        <w:t xml:space="preserve"> [1965] 1 Q.B. 222 (C.A.) at 242-43.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Turning then to issue estoppel, I note the three traditional "tests" adopted by the Supreme Court of Canada in </w:t>
      </w:r>
      <w:r>
        <w:rPr>
          <w:rFonts w:ascii="arial" w:eastAsia="arial" w:hAnsi="arial" w:cs="arial"/>
          <w:i/>
          <w:color w:val="000000"/>
          <w:sz w:val="20"/>
          <w:lang w:val="en-US" w:eastAsia="en-US" w:bidi="ar-SA"/>
        </w:rPr>
        <w:t>Angle</w:t>
      </w:r>
      <w:r>
        <w:rPr>
          <w:rFonts w:ascii="arial" w:eastAsia="arial" w:hAnsi="arial" w:cs="arial"/>
          <w:color w:val="000000"/>
          <w:sz w:val="20"/>
          <w:lang w:val="en-US" w:eastAsia="en-US" w:bidi="ar-SA"/>
        </w:rPr>
        <w:t>, namely:</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w:t>
      </w:r>
      <w:r>
        <w:rPr>
          <w:rFonts w:ascii="arial" w:eastAsia="arial" w:hAnsi="arial" w:cs="arial"/>
          <w:color w:val="000000"/>
          <w:sz w:val="20"/>
          <w:u w:val="single"/>
          <w:lang w:val="en-US" w:eastAsia="en-US" w:bidi="ar-SA"/>
        </w:rPr>
        <w:t>same question has been decided</w:t>
      </w:r>
      <w:r>
        <w:rPr>
          <w:rFonts w:ascii="arial" w:eastAsia="arial" w:hAnsi="arial" w:cs="arial"/>
          <w:color w:val="000000"/>
          <w:sz w:val="20"/>
          <w:lang w:val="en-US" w:eastAsia="en-US" w:bidi="ar-SA"/>
        </w:rPr>
        <w:t>;</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judicial decision which is said to create the estoppel was final; and,</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parties to the judicial decision or their privies were the same persons as the parties to the proceedings in which the estoppel is raised, or their privies. ... [At 254]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also the well-known formulation of issue estoppel given by Middleton J.A. in </w:t>
      </w:r>
      <w:r>
        <w:rPr>
          <w:rFonts w:ascii="arial" w:eastAsia="arial" w:hAnsi="arial" w:cs="arial"/>
          <w:i/>
          <w:color w:val="000000"/>
          <w:sz w:val="20"/>
          <w:lang w:val="en-US" w:eastAsia="en-US" w:bidi="ar-SA"/>
        </w:rPr>
        <w:t>McIntosh v. Parent</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[1924] 4 D.L.R. 420</w:t>
        </w:r>
      </w:hyperlink>
      <w:r>
        <w:rPr>
          <w:rFonts w:ascii="arial" w:eastAsia="arial" w:hAnsi="arial" w:cs="arial"/>
          <w:color w:val="000000"/>
          <w:sz w:val="20"/>
          <w:lang w:val="en-US" w:eastAsia="en-US" w:bidi="ar-SA"/>
        </w:rPr>
        <w:t xml:space="preserve"> (Ont.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question is litigated, the judgment of the Court is a final determination as between the parties and their privies. </w:t>
      </w:r>
      <w:r>
        <w:rPr>
          <w:rFonts w:ascii="arial" w:eastAsia="arial" w:hAnsi="arial" w:cs="arial"/>
          <w:color w:val="000000"/>
          <w:sz w:val="20"/>
          <w:u w:val="single"/>
          <w:lang w:val="en-US" w:eastAsia="en-US" w:bidi="ar-SA"/>
        </w:rPr>
        <w:t>Any right, question, or fact distinctly put in issue and directly determined</w:t>
      </w:r>
      <w:r>
        <w:rPr>
          <w:rFonts w:ascii="arial" w:eastAsia="arial" w:hAnsi="arial" w:cs="arial"/>
          <w:color w:val="000000"/>
          <w:sz w:val="20"/>
          <w:lang w:val="en-US" w:eastAsia="en-US" w:bidi="ar-SA"/>
        </w:rPr>
        <w:t xml:space="preserve"> by a Court of competent jurisdiction as a ground of recovery, or as an answer to a claim set up, cannot be re-tried in a subsequent suit between the same parties or their privies, though for a different cause of action. The right, question, or fact, once determined, must, as between them, be taken to be conclusively established so long as the judgment remains. [At 422]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narrow wording ("directly determined") adopted in these and other authorities, however, has not been construed as strictly as one might expect.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Binnie J. for the Court stated at para. 54 that issue estoppel applies "to the issues of fact, law, and mixed fact and law that are </w:t>
      </w:r>
      <w:r>
        <w:rPr>
          <w:rFonts w:ascii="arial" w:eastAsia="arial" w:hAnsi="arial" w:cs="arial"/>
          <w:color w:val="000000"/>
          <w:sz w:val="20"/>
          <w:u w:val="single"/>
          <w:lang w:val="en-US" w:eastAsia="en-US" w:bidi="ar-SA"/>
        </w:rPr>
        <w:t>necessarily bound up</w:t>
      </w:r>
      <w:r>
        <w:rPr>
          <w:rFonts w:ascii="arial" w:eastAsia="arial" w:hAnsi="arial" w:cs="arial"/>
          <w:color w:val="000000"/>
          <w:sz w:val="20"/>
          <w:lang w:val="en-US" w:eastAsia="en-US" w:bidi="ar-SA"/>
        </w:rPr>
        <w:t xml:space="preserve"> with the determination of that 'issue' in the prior proceeding". This would seem to echo the formulation provided by Lord Shaw in </w:t>
      </w:r>
      <w:r>
        <w:rPr>
          <w:rFonts w:ascii="arial" w:eastAsia="arial" w:hAnsi="arial" w:cs="arial"/>
          <w:i/>
          <w:color w:val="000000"/>
          <w:sz w:val="20"/>
          <w:lang w:val="en-US" w:eastAsia="en-US" w:bidi="ar-SA"/>
        </w:rPr>
        <w:t>Hoystead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Parties are not permitted to begin fresh litigations because of new views they may entertain of the law of the case, or new versions which they present as to what should be a proper apprehension by the Court of the legal result either of the construction of the documents or the weight of certain circumstances. If this were permitted litigation would have no end, except when legal ingenuity is exhausted. It is a principle of law that this cannot be permitted, and there is abundant authority reiterating that principle.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Thirdly, the same principle - namely, that of setting to rest rights of litigants, applies to the case where a point, </w:t>
      </w:r>
      <w:r>
        <w:rPr>
          <w:rFonts w:ascii="arial" w:eastAsia="arial" w:hAnsi="arial" w:cs="arial"/>
          <w:color w:val="000000"/>
          <w:sz w:val="20"/>
          <w:u w:val="single"/>
          <w:lang w:val="en-US" w:eastAsia="en-US" w:bidi="ar-SA"/>
        </w:rPr>
        <w:t>fundamental to the decision</w:t>
      </w:r>
      <w:r>
        <w:rPr>
          <w:rFonts w:ascii="arial" w:eastAsia="arial" w:hAnsi="arial" w:cs="arial"/>
          <w:color w:val="000000"/>
          <w:sz w:val="20"/>
          <w:lang w:val="en-US" w:eastAsia="en-US" w:bidi="ar-SA"/>
        </w:rPr>
        <w:t>, taken or assumed by the plaintiff and traversable by the defendant, has not been traversed. In that case also a defendant is bound by the judgment, although it may be true enough that subsequent light or ingenuity might suggest some traverse which had not been taken. The same principle of setting parties' rights to rest applies and estoppel occurs. [At 165-66]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wording used in </w:t>
      </w:r>
      <w:r>
        <w:rPr>
          <w:rFonts w:ascii="arial" w:eastAsia="arial" w:hAnsi="arial" w:cs="arial"/>
          <w:i/>
          <w:color w:val="000000"/>
          <w:sz w:val="20"/>
          <w:lang w:val="en-US" w:eastAsia="en-US" w:bidi="ar-SA"/>
        </w:rPr>
        <w:t>Hoystead</w:t>
      </w:r>
      <w:r>
        <w:rPr>
          <w:rFonts w:ascii="arial" w:eastAsia="arial" w:hAnsi="arial" w:cs="arial"/>
          <w:color w:val="000000"/>
          <w:sz w:val="20"/>
          <w:lang w:val="en-US" w:eastAsia="en-US" w:bidi="ar-SA"/>
        </w:rPr>
        <w:t xml:space="preserve"> (where it was held that issue estoppel applied not only to the admission of a fact fundamental to the first decision, but also to "an erroneous assumption as to the legal quality of that fact") which I have underlined above was approved in </w:t>
      </w:r>
      <w:r>
        <w:rPr>
          <w:rFonts w:ascii="arial" w:eastAsia="arial" w:hAnsi="arial" w:cs="arial"/>
          <w:i/>
          <w:color w:val="000000"/>
          <w:sz w:val="20"/>
          <w:lang w:val="en-US" w:eastAsia="en-US" w:bidi="ar-SA"/>
        </w:rPr>
        <w:t>Angle, supra</w:t>
      </w:r>
      <w:r>
        <w:rPr>
          <w:rFonts w:ascii="arial" w:eastAsia="arial" w:hAnsi="arial" w:cs="arial"/>
          <w:color w:val="000000"/>
          <w:sz w:val="20"/>
          <w:lang w:val="en-US" w:eastAsia="en-US" w:bidi="ar-SA"/>
        </w:rPr>
        <w:t xml:space="preserve">, at 255, and by this court in </w:t>
      </w:r>
      <w:r>
        <w:rPr>
          <w:rFonts w:ascii="arial" w:eastAsia="arial" w:hAnsi="arial" w:cs="arial"/>
          <w:i/>
          <w:color w:val="000000"/>
          <w:sz w:val="20"/>
          <w:lang w:val="en-US" w:eastAsia="en-US" w:bidi="ar-SA"/>
        </w:rPr>
        <w:t>Morgan Power Apparatus v. Flanders Installations Ltd.</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(1972) 27 D.L.R. (3d) 249</w:t>
        </w:r>
      </w:hyperlink>
      <w:r>
        <w:rPr>
          <w:rFonts w:ascii="arial" w:eastAsia="arial" w:hAnsi="arial" w:cs="arial"/>
          <w:color w:val="000000"/>
          <w:sz w:val="20"/>
          <w:lang w:val="en-US" w:eastAsia="en-US" w:bidi="ar-SA"/>
        </w:rPr>
        <w:t xml:space="preserve">, at 252. (See also </w:t>
      </w:r>
      <w:r>
        <w:rPr>
          <w:rFonts w:ascii="arial" w:eastAsia="arial" w:hAnsi="arial" w:cs="arial"/>
          <w:i/>
          <w:color w:val="000000"/>
          <w:sz w:val="20"/>
          <w:lang w:val="en-US" w:eastAsia="en-US" w:bidi="ar-SA"/>
        </w:rPr>
        <w:t>Hill v. Hill</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(1966) 57 D.L.R. (2d) 760</w:t>
        </w:r>
      </w:hyperlink>
      <w:r>
        <w:rPr>
          <w:rFonts w:ascii="arial" w:eastAsia="arial" w:hAnsi="arial" w:cs="arial"/>
          <w:color w:val="000000"/>
          <w:sz w:val="20"/>
          <w:lang w:val="en-US" w:eastAsia="en-US" w:bidi="ar-SA"/>
        </w:rPr>
        <w:t xml:space="preserve"> (B.C.C.A.) at 764; </w:t>
      </w:r>
      <w:r>
        <w:rPr>
          <w:rFonts w:ascii="arial" w:eastAsia="arial" w:hAnsi="arial" w:cs="arial"/>
          <w:i/>
          <w:color w:val="000000"/>
          <w:sz w:val="20"/>
          <w:lang w:val="en-US" w:eastAsia="en-US" w:bidi="ar-SA"/>
        </w:rPr>
        <w:t xml:space="preserve">Insurance Co. of the State of Pennsylvania v. Global Aerospace Inc., </w:t>
      </w:r>
      <w:hyperlink r:id="rId830" w:history="1">
        <w:r>
          <w:rPr>
            <w:rFonts w:ascii="arial" w:eastAsia="arial" w:hAnsi="arial" w:cs="arial"/>
            <w:i/>
            <w:color w:val="0077CC"/>
            <w:sz w:val="20"/>
            <w:u w:val="single"/>
            <w:shd w:val="clear" w:color="auto" w:fill="FFFFFF"/>
            <w:lang w:val="en-US" w:eastAsia="en-US" w:bidi="ar-SA"/>
          </w:rPr>
          <w:t>2010 SKCA 96</w:t>
        </w:r>
      </w:hyperlink>
      <w:r>
        <w:rPr>
          <w:rFonts w:ascii="arial" w:eastAsia="arial" w:hAnsi="arial" w:cs="arial"/>
          <w:i/>
          <w:color w:val="000000"/>
          <w:sz w:val="20"/>
          <w:lang w:val="en-US" w:eastAsia="en-US" w:bidi="ar-SA"/>
        </w:rPr>
        <w:t xml:space="preserve"> at para. 78; Foster v. Reaume</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[1927] 1 D.L.R. 1024</w:t>
        </w:r>
      </w:hyperlink>
      <w:r>
        <w:rPr>
          <w:rFonts w:ascii="arial" w:eastAsia="arial" w:hAnsi="arial" w:cs="arial"/>
          <w:color w:val="000000"/>
          <w:sz w:val="20"/>
          <w:lang w:val="en-US" w:eastAsia="en-US" w:bidi="ar-SA"/>
        </w:rPr>
        <w:t xml:space="preserve"> (Ont. S.C., App. Div.) at 1033; </w:t>
      </w:r>
      <w:r>
        <w:rPr>
          <w:rFonts w:ascii="arial" w:eastAsia="arial" w:hAnsi="arial" w:cs="arial"/>
          <w:i/>
          <w:color w:val="000000"/>
          <w:sz w:val="20"/>
          <w:lang w:val="en-US" w:eastAsia="en-US" w:bidi="ar-SA"/>
        </w:rPr>
        <w:t>Prince v. T. Eaton Co.</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(1992) 91 D.L.R. (4th) 509</w:t>
        </w:r>
      </w:hyperlink>
      <w:r>
        <w:rPr>
          <w:rFonts w:ascii="arial" w:eastAsia="arial" w:hAnsi="arial" w:cs="arial"/>
          <w:color w:val="000000"/>
          <w:sz w:val="20"/>
          <w:lang w:val="en-US" w:eastAsia="en-US" w:bidi="ar-SA"/>
        </w:rPr>
        <w:t xml:space="preserve"> (B.C.C.A.) at 522.)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[Underlining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to consent orders. In </w:t>
      </w:r>
      <w:r>
        <w:rPr>
          <w:rFonts w:ascii="arial" w:eastAsia="arial" w:hAnsi="arial" w:cs="arial"/>
          <w:i/>
          <w:color w:val="000000"/>
          <w:sz w:val="20"/>
          <w:lang w:val="en-US" w:eastAsia="en-US" w:bidi="ar-SA"/>
        </w:rPr>
        <w:t>Spender (Guardian of) v. Spender</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[1999] B.C.J. No. 910</w:t>
        </w:r>
      </w:hyperlink>
      <w:r>
        <w:rPr>
          <w:rFonts w:ascii="arial" w:eastAsia="arial" w:hAnsi="arial" w:cs="arial"/>
          <w:color w:val="000000"/>
          <w:sz w:val="20"/>
          <w:lang w:val="en-US" w:eastAsia="en-US" w:bidi="ar-SA"/>
        </w:rPr>
        <w:t xml:space="preserve"> (S.C.), Mr. Justice Lander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principle that a consent order is as effective as any other final judicial decision for the purposes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well established: see </w:t>
      </w:r>
      <w:r>
        <w:rPr>
          <w:rFonts w:ascii="arial" w:eastAsia="arial" w:hAnsi="arial" w:cs="arial"/>
          <w:i/>
          <w:color w:val="000000"/>
          <w:sz w:val="20"/>
          <w:lang w:val="en-US" w:eastAsia="en-US" w:bidi="ar-SA"/>
        </w:rPr>
        <w:t>Campbell v. Campbell</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[1954] B.C.J. No. 137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Grewal v. Small</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(1985), 69 B.C.L.R. 121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Provident Properties Inc. v. Tinley Properties Ltd.</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[1991] B.C.J. No. 166</w:t>
        </w:r>
      </w:hyperlink>
      <w:r>
        <w:rPr>
          <w:rFonts w:ascii="arial" w:eastAsia="arial" w:hAnsi="arial" w:cs="arial"/>
          <w:color w:val="000000"/>
          <w:sz w:val="20"/>
          <w:lang w:val="en-US" w:eastAsia="en-US" w:bidi="ar-SA"/>
        </w:rPr>
        <w:t xml:space="preserve">, (17 January 1991), Vancouver Registry, CA012035 (B.C.C.A.); </w:t>
      </w:r>
      <w:r>
        <w:rPr>
          <w:rFonts w:ascii="arial" w:eastAsia="arial" w:hAnsi="arial" w:cs="arial"/>
          <w:i/>
          <w:color w:val="000000"/>
          <w:sz w:val="20"/>
          <w:lang w:val="en-US" w:eastAsia="en-US" w:bidi="ar-SA"/>
        </w:rPr>
        <w:t>Welk v. Mantelli</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[1995] B.C.J. No. 711</w:t>
        </w:r>
      </w:hyperlink>
      <w:r>
        <w:rPr>
          <w:rFonts w:ascii="arial" w:eastAsia="arial" w:hAnsi="arial" w:cs="arial"/>
          <w:color w:val="000000"/>
          <w:sz w:val="20"/>
          <w:lang w:val="en-US" w:eastAsia="en-US" w:bidi="ar-SA"/>
        </w:rPr>
        <w:t xml:space="preserve">, (29 March 1995), Vancouver Registry, B933947 (B.C.S.C.); </w:t>
      </w:r>
      <w:r>
        <w:rPr>
          <w:rFonts w:ascii="arial" w:eastAsia="arial" w:hAnsi="arial" w:cs="arial"/>
          <w:i/>
          <w:color w:val="000000"/>
          <w:sz w:val="20"/>
          <w:lang w:val="en-US" w:eastAsia="en-US" w:bidi="ar-SA"/>
        </w:rPr>
        <w:t>Staff Bldrs. Int. Inc. v. Cohen</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(1983), 38 C.P.C. 82</w:t>
        </w:r>
      </w:hyperlink>
      <w:r>
        <w:rPr>
          <w:rFonts w:ascii="arial" w:eastAsia="arial" w:hAnsi="arial" w:cs="arial"/>
          <w:color w:val="000000"/>
          <w:sz w:val="20"/>
          <w:lang w:val="en-US" w:eastAsia="en-US" w:bidi="ar-SA"/>
        </w:rPr>
        <w:t xml:space="preserve"> (Ont. HC).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principle that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only to those questions or issues that were expressly or implicitly the subject of the consent order has also been accepted: see </w:t>
      </w:r>
      <w:r>
        <w:rPr>
          <w:rFonts w:ascii="arial" w:eastAsia="arial" w:hAnsi="arial" w:cs="arial"/>
          <w:i/>
          <w:color w:val="000000"/>
          <w:sz w:val="20"/>
          <w:lang w:val="en-US" w:eastAsia="en-US" w:bidi="ar-SA"/>
        </w:rPr>
        <w:t>Nesbitt Thomson Deacon Inc. v. Everett</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(1989), 60 D.L.R. (4th) 238</w:t>
        </w:r>
      </w:hyperlink>
      <w:r>
        <w:rPr>
          <w:rFonts w:ascii="arial" w:eastAsia="arial" w:hAnsi="arial" w:cs="arial"/>
          <w:color w:val="000000"/>
          <w:sz w:val="20"/>
          <w:lang w:val="en-US" w:eastAsia="en-US" w:bidi="ar-SA"/>
        </w:rPr>
        <w:t xml:space="preserve"> (B.C.C.A.). As Seaton J. stated in </w:t>
      </w:r>
      <w:r>
        <w:rPr>
          <w:rFonts w:ascii="arial" w:eastAsia="arial" w:hAnsi="arial" w:cs="arial"/>
          <w:i/>
          <w:color w:val="000000"/>
          <w:sz w:val="20"/>
          <w:lang w:val="en-US" w:eastAsia="en-US" w:bidi="ar-SA"/>
        </w:rPr>
        <w:t>Reid v. Reid</w:t>
      </w:r>
      <w:r>
        <w:rPr>
          <w:rFonts w:ascii="arial" w:eastAsia="arial" w:hAnsi="arial" w:cs="arial"/>
          <w:color w:val="000000"/>
          <w:sz w:val="20"/>
          <w:lang w:val="en-US" w:eastAsia="en-US" w:bidi="ar-SA"/>
        </w:rPr>
        <w:t>, supra, at p. 94: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operation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has been limited to issues which can be fairly regarded as having been disposed of by the order relied on on their merits, on admission, or by compromise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As a consent dismissal order will rarely state any detail, the court can and must look to the pleadings, to any written agreements or releases executed by the parties, and to any correspondence, in order to ascertain the precise shared intention of the parties that has been given judicial effect by the consent order.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Thus, in </w:t>
      </w:r>
      <w:r>
        <w:rPr>
          <w:rFonts w:ascii="arial" w:eastAsia="arial" w:hAnsi="arial" w:cs="arial"/>
          <w:i/>
          <w:color w:val="000000"/>
          <w:sz w:val="20"/>
          <w:lang w:val="en-US" w:eastAsia="en-US" w:bidi="ar-SA"/>
        </w:rPr>
        <w:t>Provident Properties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British Columbia Court of Appeal examined correspondence between the parties' solicitors, which led to a consent dismissal order, and concluded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best there was no meeting of the minds as to the effect and purpose of the filing of the consent order. Provident was of the view that it was only to facilitate the removal of the </w:t>
      </w:r>
      <w:r>
        <w:rPr>
          <w:rFonts w:ascii="arial" w:eastAsia="arial" w:hAnsi="arial" w:cs="arial"/>
          <w:i/>
          <w:color w:val="000000"/>
          <w:sz w:val="20"/>
          <w:lang w:val="en-US" w:eastAsia="en-US" w:bidi="ar-SA"/>
        </w:rPr>
        <w:t>lis pendens</w:t>
      </w:r>
      <w:r>
        <w:rPr>
          <w:rFonts w:ascii="arial" w:eastAsia="arial" w:hAnsi="arial" w:cs="arial"/>
          <w:color w:val="000000"/>
          <w:sz w:val="20"/>
          <w:lang w:val="en-US" w:eastAsia="en-US" w:bidi="ar-SA"/>
        </w:rPr>
        <w:t xml:space="preserve">. Tinley may have considered it a dismissal of all the issues raised in the first action. Accordingly, in my view,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should not apply to the filing of the document in the circumstances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On the other hand, where the court's inquiry into the parties' intention reveals an agreement to compromise all possible claims between the parties, then the consent order gives rise to cause of action estoppel: </w:t>
      </w:r>
      <w:r>
        <w:rPr>
          <w:rFonts w:ascii="arial" w:eastAsia="arial" w:hAnsi="arial" w:cs="arial"/>
          <w:i/>
          <w:color w:val="000000"/>
          <w:sz w:val="20"/>
          <w:lang w:val="en-US" w:eastAsia="en-US" w:bidi="ar-SA"/>
        </w:rPr>
        <w:t>Reid v. Reid</w:t>
      </w:r>
      <w:r>
        <w:rPr>
          <w:rFonts w:ascii="arial" w:eastAsia="arial" w:hAnsi="arial" w:cs="arial"/>
          <w:color w:val="000000"/>
          <w:sz w:val="20"/>
          <w:lang w:val="en-US" w:eastAsia="en-US" w:bidi="ar-SA"/>
        </w:rPr>
        <w:t xml:space="preserve"> (1969), 68 W.W.R. 93 at 94 (B.C.S.C.); </w:t>
      </w:r>
      <w:r>
        <w:rPr>
          <w:rFonts w:ascii="arial" w:eastAsia="arial" w:hAnsi="arial" w:cs="arial"/>
          <w:i/>
          <w:color w:val="000000"/>
          <w:sz w:val="20"/>
          <w:lang w:val="en-US" w:eastAsia="en-US" w:bidi="ar-SA"/>
        </w:rPr>
        <w:t>Campbell v. Campbell</w:t>
      </w:r>
      <w:r>
        <w:rPr>
          <w:rFonts w:ascii="arial" w:eastAsia="arial" w:hAnsi="arial" w:cs="arial"/>
          <w:color w:val="000000"/>
          <w:sz w:val="20"/>
          <w:lang w:val="en-US" w:eastAsia="en-US" w:bidi="ar-SA"/>
        </w:rPr>
        <w:t>, supra.</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Mr. Justice Rice in </w:t>
      </w:r>
      <w:r>
        <w:rPr>
          <w:rFonts w:ascii="arial" w:eastAsia="arial" w:hAnsi="arial" w:cs="arial"/>
          <w:i/>
          <w:color w:val="000000"/>
          <w:sz w:val="20"/>
          <w:lang w:val="en-US" w:eastAsia="en-US" w:bidi="ar-SA"/>
        </w:rPr>
        <w:t>Royal Bank</w:t>
      </w:r>
      <w:r>
        <w:rPr>
          <w:rFonts w:ascii="arial" w:eastAsia="arial" w:hAnsi="arial" w:cs="arial"/>
          <w:color w:val="000000"/>
          <w:sz w:val="20"/>
          <w:lang w:val="en-US" w:eastAsia="en-US" w:bidi="ar-SA"/>
        </w:rPr>
        <w:t xml:space="preserve"> said this about the doctrine of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 the court may, in the alternative to applying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apply the doctrine of abuse of process, which was recently restated by the Supreme Court of Canada in </w:t>
      </w:r>
      <w:r>
        <w:rPr>
          <w:rFonts w:ascii="arial" w:eastAsia="arial" w:hAnsi="arial" w:cs="arial"/>
          <w:i/>
          <w:color w:val="000000"/>
          <w:sz w:val="20"/>
          <w:lang w:val="en-US" w:eastAsia="en-US" w:bidi="ar-SA"/>
        </w:rPr>
        <w:t>Toronto (City) v. Canadian Union of Public Employees</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at para. 35: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Judges have an inherent and residual discretion to prevent an abuse of the court's process. This concept of abuse of process was described at common law as proceedings "unfair to the point that they are contrary to the interest of justice" (</w:t>
      </w:r>
      <w:r>
        <w:rPr>
          <w:rFonts w:ascii="arial" w:eastAsia="arial" w:hAnsi="arial" w:cs="arial"/>
          <w:i/>
          <w:color w:val="000000"/>
          <w:sz w:val="20"/>
          <w:lang w:val="en-US" w:eastAsia="en-US" w:bidi="ar-SA"/>
        </w:rPr>
        <w:t>R. v. Power</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[1994] 1 S.C.R. 601</w:t>
        </w:r>
      </w:hyperlink>
      <w:r>
        <w:rPr>
          <w:rFonts w:ascii="arial" w:eastAsia="arial" w:hAnsi="arial" w:cs="arial"/>
          <w:color w:val="000000"/>
          <w:sz w:val="20"/>
          <w:lang w:val="en-US" w:eastAsia="en-US" w:bidi="ar-SA"/>
        </w:rPr>
        <w:t>, at p. 616), and as "oppressive treatment" (</w:t>
      </w:r>
      <w:r>
        <w:rPr>
          <w:rFonts w:ascii="arial" w:eastAsia="arial" w:hAnsi="arial" w:cs="arial"/>
          <w:i/>
          <w:color w:val="000000"/>
          <w:sz w:val="20"/>
          <w:lang w:val="en-US" w:eastAsia="en-US" w:bidi="ar-SA"/>
        </w:rPr>
        <w:t>R. v. Conway</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[1989] 1 S.C.R. 1659</w:t>
        </w:r>
      </w:hyperlink>
      <w:r>
        <w:rPr>
          <w:rFonts w:ascii="arial" w:eastAsia="arial" w:hAnsi="arial" w:cs="arial"/>
          <w:color w:val="000000"/>
          <w:sz w:val="20"/>
          <w:lang w:val="en-US" w:eastAsia="en-US" w:bidi="ar-SA"/>
        </w:rPr>
        <w:t xml:space="preserve">, at p. 1667). McLachlin J. (as she then was) expressed it this way in </w:t>
      </w:r>
      <w:r>
        <w:rPr>
          <w:rFonts w:ascii="arial" w:eastAsia="arial" w:hAnsi="arial" w:cs="arial"/>
          <w:i/>
          <w:color w:val="000000"/>
          <w:sz w:val="20"/>
          <w:lang w:val="en-US" w:eastAsia="en-US" w:bidi="ar-SA"/>
        </w:rPr>
        <w:t>R. v. Scott</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[1990] 3 S.C.R. 979</w:t>
        </w:r>
      </w:hyperlink>
      <w:r>
        <w:rPr>
          <w:rFonts w:ascii="arial" w:eastAsia="arial" w:hAnsi="arial" w:cs="arial"/>
          <w:color w:val="000000"/>
          <w:sz w:val="20"/>
          <w:lang w:val="en-US" w:eastAsia="en-US" w:bidi="ar-SA"/>
        </w:rPr>
        <w:t>, at p. 1007: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abuse of process may be established where: (1) the proceedings are oppressive or vexatious; and, (2) violate the fundamental principles of justice underlying the community's sense of fair play and decency. The concepts of oppressiveness and vexatiousness underline the interest of the accused in a fair trial. But the doctrine evokes as well the public interest in a fair and just trial process and the proper administration of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doctrine of abuse of process is more flexible than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is typically invoked where the requirements of issue estoppel are not strictly met, yet it is apparent that the applicant is attempting to re-litigate a matter or to otherwise undermine the consistency and finality of judicial decision-making.</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Collateral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doctrine of collateral attack was also discussed by Mr. Justice Rice in </w:t>
      </w:r>
      <w:r>
        <w:rPr>
          <w:rFonts w:ascii="arial" w:eastAsia="arial" w:hAnsi="arial" w:cs="arial"/>
          <w:i/>
          <w:color w:val="000000"/>
          <w:sz w:val="20"/>
          <w:lang w:val="en-US" w:eastAsia="en-US" w:bidi="ar-SA"/>
        </w:rPr>
        <w:t>Royal Bank</w:t>
      </w:r>
      <w:r>
        <w:rPr>
          <w:rFonts w:ascii="arial" w:eastAsia="arial" w:hAnsi="arial" w:cs="arial"/>
          <w:color w:val="000000"/>
          <w:sz w:val="20"/>
          <w:lang w:val="en-US" w:eastAsia="en-US" w:bidi="ar-SA"/>
        </w:rPr>
        <w:t xml:space="preserve"> where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Another closely related doctrine to that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abuse of process is the rule against collateral attack on final judgments. In </w:t>
      </w:r>
      <w:r>
        <w:rPr>
          <w:rFonts w:ascii="arial" w:eastAsia="arial" w:hAnsi="arial" w:cs="arial"/>
          <w:i/>
          <w:color w:val="000000"/>
          <w:sz w:val="20"/>
          <w:lang w:val="en-US" w:eastAsia="en-US" w:bidi="ar-SA"/>
        </w:rPr>
        <w:t>R. v. Wilson</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4 D.L.R. (4th) 577</w:t>
        </w:r>
      </w:hyperlink>
      <w:r>
        <w:rPr>
          <w:rFonts w:ascii="arial" w:eastAsia="arial" w:hAnsi="arial" w:cs="arial"/>
          <w:color w:val="000000"/>
          <w:sz w:val="20"/>
          <w:lang w:val="en-US" w:eastAsia="en-US" w:bidi="ar-SA"/>
        </w:rPr>
        <w:t>, the Supreme Court of Canada stated the rule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 and a collateral attack may be described as an attack made in proceedings other than those whose specific object is the reversal, variation, or nullification of the order or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In </w:t>
      </w:r>
      <w:r>
        <w:rPr>
          <w:rFonts w:ascii="arial" w:eastAsia="arial" w:hAnsi="arial" w:cs="arial"/>
          <w:i/>
          <w:color w:val="000000"/>
          <w:sz w:val="20"/>
          <w:lang w:val="en-US" w:eastAsia="en-US" w:bidi="ar-SA"/>
        </w:rPr>
        <w:t>Roeder v. Lang Michener Lawrence &amp; Shaw,</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2005 BCSC 1784</w:t>
        </w:r>
      </w:hyperlink>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[2005] B.C.J. No. 2830</w:t>
        </w:r>
      </w:hyperlink>
      <w:r>
        <w:rPr>
          <w:rFonts w:ascii="arial" w:eastAsia="arial" w:hAnsi="arial" w:cs="arial"/>
          <w:color w:val="000000"/>
          <w:sz w:val="20"/>
          <w:lang w:val="en-US" w:eastAsia="en-US" w:bidi="ar-SA"/>
        </w:rPr>
        <w:t xml:space="preserve"> at para. 23, Rogers J.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proceeding is a collateral attack when it asserts facts inconsistent with a previous factual determination by a court that had jurisdiction to make it, or when the proceeding seeks relief that is inconsistent with a previous disposition by a similarly competent court. To be a collateral attack it is not necessary that the proceeding bluntly assert that the previous order should be set aside.</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Doctrine of 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doctrine of estoppel or estoppel by representation was discussed by the Court of Appeal in </w:t>
      </w:r>
      <w:r>
        <w:rPr>
          <w:rFonts w:ascii="arial" w:eastAsia="arial" w:hAnsi="arial" w:cs="arial"/>
          <w:i/>
          <w:color w:val="000000"/>
          <w:sz w:val="20"/>
          <w:lang w:val="en-US" w:eastAsia="en-US" w:bidi="ar-SA"/>
        </w:rPr>
        <w:t>Bowen v. O'Brien Financial Corp.</w:t>
      </w:r>
      <w:r>
        <w:rPr>
          <w:rFonts w:ascii="arial" w:eastAsia="arial" w:hAnsi="arial" w:cs="arial"/>
          <w:color w:val="000000"/>
          <w:sz w:val="20"/>
          <w:lang w:val="en-US" w:eastAsia="en-US" w:bidi="ar-SA"/>
        </w:rPr>
        <w:t xml:space="preserve"> (1991), 62 B.C.L.R. (2d) (C.A.) at 336-339: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Court's judgment in </w:t>
      </w:r>
      <w:r>
        <w:rPr>
          <w:rFonts w:ascii="arial" w:eastAsia="arial" w:hAnsi="arial" w:cs="arial"/>
          <w:i/>
          <w:color w:val="000000"/>
          <w:sz w:val="20"/>
          <w:lang w:val="en-US" w:eastAsia="en-US" w:bidi="ar-SA"/>
        </w:rPr>
        <w:t>Litwin v. Kiss</w:t>
      </w:r>
      <w:r>
        <w:rPr>
          <w:rFonts w:ascii="arial" w:eastAsia="arial" w:hAnsi="arial" w:cs="arial"/>
          <w:color w:val="000000"/>
          <w:sz w:val="20"/>
          <w:lang w:val="en-US" w:eastAsia="en-US" w:bidi="ar-SA"/>
        </w:rPr>
        <w:t xml:space="preserve"> (the Dunelm appeal) [</w:t>
      </w:r>
      <w:hyperlink r:id="rId844" w:history="1">
        <w:r>
          <w:rPr>
            <w:rFonts w:ascii="arial" w:eastAsia="arial" w:hAnsi="arial" w:cs="arial"/>
            <w:i/>
            <w:color w:val="0077CC"/>
            <w:sz w:val="20"/>
            <w:u w:val="single"/>
            <w:shd w:val="clear" w:color="auto" w:fill="FFFFFF"/>
            <w:lang w:val="en-US" w:eastAsia="en-US" w:bidi="ar-SA"/>
          </w:rPr>
          <w:t>(1988), 29 B.C.L.R. (2d) 88</w:t>
        </w:r>
      </w:hyperlink>
      <w:r>
        <w:rPr>
          <w:rFonts w:ascii="arial" w:eastAsia="arial" w:hAnsi="arial" w:cs="arial"/>
          <w:color w:val="000000"/>
          <w:sz w:val="20"/>
          <w:lang w:val="en-US" w:eastAsia="en-US" w:bidi="ar-SA"/>
        </w:rPr>
        <w:t xml:space="preserve"> (C.A.)] the following statement of the principle of estoppel is found at pp. 99 - 100 [B.C.L.R.] of the report:</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Statement of the principle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adopt, as did the trial judge, the question posed by Mr. Justice Lysyk in </w:t>
      </w:r>
      <w:r>
        <w:rPr>
          <w:rFonts w:ascii="arial" w:eastAsia="arial" w:hAnsi="arial" w:cs="arial"/>
          <w:i/>
          <w:color w:val="000000"/>
          <w:sz w:val="20"/>
          <w:lang w:val="en-US" w:eastAsia="en-US" w:bidi="ar-SA"/>
        </w:rPr>
        <w:t>First City Dev. v. Bekei</w:t>
      </w:r>
      <w:r>
        <w:rPr>
          <w:rFonts w:ascii="arial" w:eastAsia="arial" w:hAnsi="arial" w:cs="arial"/>
          <w:color w:val="000000"/>
          <w:sz w:val="20"/>
          <w:lang w:val="en-US" w:eastAsia="en-US" w:bidi="ar-SA"/>
        </w:rPr>
        <w:t xml:space="preserve"> [ </w:t>
      </w:r>
      <w:hyperlink r:id="rId845" w:history="1">
        <w:r>
          <w:rPr>
            <w:rFonts w:ascii="arial" w:eastAsia="arial" w:hAnsi="arial" w:cs="arial"/>
            <w:i/>
            <w:color w:val="0077CC"/>
            <w:sz w:val="20"/>
            <w:u w:val="single"/>
            <w:shd w:val="clear" w:color="auto" w:fill="FFFFFF"/>
            <w:lang w:val="en-US" w:eastAsia="en-US" w:bidi="ar-SA"/>
          </w:rPr>
          <w:t>(1986), 3 B.C.L.R. (2d) 175</w:t>
        </w:r>
      </w:hyperlink>
      <w:r>
        <w:rPr>
          <w:rFonts w:ascii="arial" w:eastAsia="arial" w:hAnsi="arial" w:cs="arial"/>
          <w:color w:val="000000"/>
          <w:sz w:val="20"/>
          <w:lang w:val="en-US" w:eastAsia="en-US" w:bidi="ar-SA"/>
        </w:rPr>
        <w:t>] as an accurate formulation of the principle: has the party invoking the statute affirmed the contract unequivocally by his words or conduct in circumstances making it unfair or unjust for him now to resile from that contract?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 prefer the words "unfair or unjust" to "unconscionable" because in the context of "unconscionable transactions" the latter has developed a special meaning in relation to inequality of bargaining power. "Unfair or unjust" means "producing a result contrary to a sound sense of the equities, rights and conduct of the parties".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Under this broad principle, the distinctions between estoppel, promissory estoppel, waiver, election, laches and acquiescence do not always affect the outcome, though they may in some cases. The underlying concept is that of unfairness or injustice and it is not essential to its application that there be knowledge, detriment, acquiescence or encouragement although their presence may serve to raise the unfairness or injustice to the level requiring the exercise of judgment. If the unfairness or injustice is very slight, then the principle would not be applied. If it is more than slight, then the principle may be applicable.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as to knowledge, Mr. Justice Oliver in </w:t>
      </w:r>
      <w:r>
        <w:rPr>
          <w:rFonts w:ascii="arial" w:eastAsia="arial" w:hAnsi="arial" w:cs="arial"/>
          <w:i/>
          <w:color w:val="000000"/>
          <w:sz w:val="20"/>
          <w:lang w:val="en-US" w:eastAsia="en-US" w:bidi="ar-SA"/>
        </w:rPr>
        <w:t>Taylor Fashions</w:t>
      </w:r>
      <w:r>
        <w:rPr>
          <w:rFonts w:ascii="arial" w:eastAsia="arial" w:hAnsi="arial" w:cs="arial"/>
          <w:color w:val="000000"/>
          <w:sz w:val="20"/>
          <w:lang w:val="en-US" w:eastAsia="en-US" w:bidi="ar-SA"/>
        </w:rPr>
        <w:t xml:space="preserve">, quoted above [[1982] 1 Q.B. 133, [1981] 1 All E.R. 897], said "it would be unreasonable for a party to be permitted to deny that which, </w:t>
      </w:r>
      <w:r>
        <w:rPr>
          <w:rFonts w:ascii="arial" w:eastAsia="arial" w:hAnsi="arial" w:cs="arial"/>
          <w:i/>
          <w:color w:val="000000"/>
          <w:sz w:val="20"/>
          <w:lang w:val="en-US" w:eastAsia="en-US" w:bidi="ar-SA"/>
        </w:rPr>
        <w:t>knowingly or unknowingly</w:t>
      </w:r>
      <w:r>
        <w:rPr>
          <w:rFonts w:ascii="arial" w:eastAsia="arial" w:hAnsi="arial" w:cs="arial"/>
          <w:color w:val="000000"/>
          <w:sz w:val="20"/>
          <w:lang w:val="en-US" w:eastAsia="en-US" w:bidi="ar-SA"/>
        </w:rPr>
        <w:t xml:space="preserve">, he has allowed or encouraged another to assume to his detriment . . ." [Emphasis in original.] That statement was affirmed by the English Court of Appeal in </w:t>
      </w:r>
      <w:r>
        <w:rPr>
          <w:rFonts w:ascii="arial" w:eastAsia="arial" w:hAnsi="arial" w:cs="arial"/>
          <w:i/>
          <w:color w:val="000000"/>
          <w:sz w:val="20"/>
          <w:lang w:val="en-US" w:eastAsia="en-US" w:bidi="ar-SA"/>
        </w:rPr>
        <w:t>Habib Bank</w:t>
      </w:r>
      <w:r>
        <w:rPr>
          <w:rFonts w:ascii="arial" w:eastAsia="arial" w:hAnsi="arial" w:cs="arial"/>
          <w:color w:val="000000"/>
          <w:sz w:val="20"/>
          <w:lang w:val="en-US" w:eastAsia="en-US" w:bidi="ar-SA"/>
        </w:rPr>
        <w:t xml:space="preserve"> and, as we read the decision, accepted by that court in </w:t>
      </w:r>
      <w:r>
        <w:rPr>
          <w:rFonts w:ascii="arial" w:eastAsia="arial" w:hAnsi="arial" w:cs="arial"/>
          <w:i/>
          <w:color w:val="000000"/>
          <w:sz w:val="20"/>
          <w:lang w:val="en-US" w:eastAsia="en-US" w:bidi="ar-SA"/>
        </w:rPr>
        <w:t>Peyman v. Lanjani</w:t>
      </w:r>
      <w:r>
        <w:rPr>
          <w:rFonts w:ascii="arial" w:eastAsia="arial" w:hAnsi="arial" w:cs="arial"/>
          <w:color w:val="000000"/>
          <w:sz w:val="20"/>
          <w:lang w:val="en-US" w:eastAsia="en-US" w:bidi="ar-SA"/>
        </w:rPr>
        <w:t>, [1985] Ch. 457, [1985] 2 W.L.R. 154, [1984] 3 All E.R. 703 at 721 and 725 (Stephenson L.J.), 731 (May L.J.) and 735 (Slade L.J.).</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knowledge may be determinative of the issue as it was in </w:t>
      </w:r>
      <w:r>
        <w:rPr>
          <w:rFonts w:ascii="arial" w:eastAsia="arial" w:hAnsi="arial" w:cs="arial"/>
          <w:i/>
          <w:color w:val="000000"/>
          <w:sz w:val="20"/>
          <w:lang w:val="en-US" w:eastAsia="en-US" w:bidi="ar-SA"/>
        </w:rPr>
        <w:t>Springer Dev. Corp. v. Rogers</w:t>
      </w:r>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11 B.C.L.R. (2d) 145</w:t>
        </w:r>
      </w:hyperlink>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[1987] 3 W.W.R. 494</w:t>
        </w:r>
      </w:hyperlink>
      <w:r>
        <w:rPr>
          <w:rFonts w:ascii="arial" w:eastAsia="arial" w:hAnsi="arial" w:cs="arial"/>
          <w:color w:val="000000"/>
          <w:sz w:val="20"/>
          <w:lang w:val="en-US" w:eastAsia="en-US" w:bidi="ar-SA"/>
        </w:rPr>
        <w:t xml:space="preserve"> (C.A.). In that case, this court held that Springer Development lost its right to award the contract when it continued to perform the contract for several months with knowledge of its right.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case in Canada has been cited that would cast doubt on the approach followed by the trial judge. Indeed, Mr. Macaulay, junior counsel for Litwin, relied in support of that approach on the decision of the Supreme Court of Canada in </w:t>
      </w:r>
      <w:r>
        <w:rPr>
          <w:rFonts w:ascii="arial" w:eastAsia="arial" w:hAnsi="arial" w:cs="arial"/>
          <w:i/>
          <w:color w:val="000000"/>
          <w:sz w:val="20"/>
          <w:lang w:val="en-US" w:eastAsia="en-US" w:bidi="ar-SA"/>
        </w:rPr>
        <w:t>Dorsch v. Freeholders Oil Co.</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[1965] S.C.R. 670</w:t>
        </w:r>
      </w:hyperlink>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52 W.W.R. 304</w:t>
        </w:r>
      </w:hyperlink>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52 D.L.R. (2d) 658</w:t>
        </w:r>
      </w:hyperlink>
      <w:r>
        <w:rPr>
          <w:rFonts w:ascii="arial" w:eastAsia="arial" w:hAnsi="arial" w:cs="arial"/>
          <w:color w:val="000000"/>
          <w:sz w:val="20"/>
          <w:lang w:val="en-US" w:eastAsia="en-US" w:bidi="ar-SA"/>
        </w:rPr>
        <w:t xml:space="preserve">. There is little analysis in that case of the rules on which the court based its decision. We think it sufficient for our purposes to say there is nothing in that decision or any other decision in Canada to suggest that the approach followed by the trial judge was wrong. (See also </w:t>
      </w:r>
      <w:r>
        <w:rPr>
          <w:rFonts w:ascii="arial" w:eastAsia="arial" w:hAnsi="arial" w:cs="arial"/>
          <w:i/>
          <w:color w:val="000000"/>
          <w:sz w:val="20"/>
          <w:lang w:val="en-US" w:eastAsia="en-US" w:bidi="ar-SA"/>
        </w:rPr>
        <w:t>Robertson v. McCarron</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(1986), 71 N.S.R. (2d) 34</w:t>
        </w:r>
      </w:hyperlink>
      <w:r>
        <w:rPr>
          <w:rFonts w:ascii="arial" w:eastAsia="arial" w:hAnsi="arial" w:cs="arial"/>
          <w:color w:val="000000"/>
          <w:sz w:val="20"/>
          <w:lang w:val="en-US" w:eastAsia="en-US" w:bidi="ar-SA"/>
        </w:rPr>
        <w:t>, 171 A.P.R. 34 (T.D.), in which Mr. Justice Hallett adopted the concept of unconscionability as a ground for invoking estoppel.)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these circumstances, our opinion is that the test used by the trial judge in reaching his conclusion was in accord with the modern doctrine of estoppel and with the equitable jurisdiction to interfere in cases where the assertion of strict legal rights may be unjust or unfair.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statement of the modern principle of estoppel is in marked contrast to that set out in paragraph 6 of the appellant's factum, for which Spencer Bower and Turner, </w:t>
      </w:r>
      <w:r>
        <w:rPr>
          <w:rFonts w:ascii="arial" w:eastAsia="arial" w:hAnsi="arial" w:cs="arial"/>
          <w:i/>
          <w:color w:val="000000"/>
          <w:sz w:val="20"/>
          <w:lang w:val="en-US" w:eastAsia="en-US" w:bidi="ar-SA"/>
        </w:rPr>
        <w:t>The Law Relating to Estoppel by Representation</w:t>
      </w:r>
      <w:r>
        <w:rPr>
          <w:rFonts w:ascii="arial" w:eastAsia="arial" w:hAnsi="arial" w:cs="arial"/>
          <w:color w:val="000000"/>
          <w:sz w:val="20"/>
          <w:lang w:val="en-US" w:eastAsia="en-US" w:bidi="ar-SA"/>
        </w:rPr>
        <w:t>, 3rd ed. (1977), at p. 375, is cited as authority:</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underlying nature of estoppel is that a party has said or done something, intended to induce a course of conduct on the part of the person to whom the representation is made, and that person suffers detriment as a consequence of such reliance.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read the authorities, and in particular those relied upon by this Court when formulating the modern doctrine in </w:t>
      </w:r>
      <w:r>
        <w:rPr>
          <w:rFonts w:ascii="arial" w:eastAsia="arial" w:hAnsi="arial" w:cs="arial"/>
          <w:i/>
          <w:color w:val="000000"/>
          <w:sz w:val="20"/>
          <w:lang w:val="en-US" w:eastAsia="en-US" w:bidi="ar-SA"/>
        </w:rPr>
        <w:t>Litwin v. Kiss</w:t>
      </w:r>
      <w:r>
        <w:rPr>
          <w:rFonts w:ascii="arial" w:eastAsia="arial" w:hAnsi="arial" w:cs="arial"/>
          <w:color w:val="000000"/>
          <w:sz w:val="20"/>
          <w:lang w:val="en-US" w:eastAsia="en-US" w:bidi="ar-SA"/>
        </w:rPr>
        <w:t>, there is no requirement that the conduct, which was relied upon by the person who seeks to raise an estoppel, have been intentionally designed to induce that reliance. Nor is it essential that there be any positive acts upon which the reliance may reasonably be said to have arisen. The conduct relied upon may, in fact, be a failure to act in circumstances which gave rise to an inference upon which the reliance is founded.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to the requirement that the reliance be based upon unequivocal conduct, the perspective from which the application of the doctrine must be viewed is that of the person who seeks to rely on it. The issue is not so much whether the reliance was based on unequivocal conduct, as it is whether the conduct, when viewed through the eyes of the party raising the doctrine, was such as would reasonably lead that person to rely upon it.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points were succinctly made by Mr. Justice Issac in </w:t>
      </w:r>
      <w:r>
        <w:rPr>
          <w:rFonts w:ascii="arial" w:eastAsia="arial" w:hAnsi="arial" w:cs="arial"/>
          <w:i/>
          <w:color w:val="000000"/>
          <w:sz w:val="20"/>
          <w:lang w:val="en-US" w:eastAsia="en-US" w:bidi="ar-SA"/>
        </w:rPr>
        <w:t>Craine v. Colonial Mutual Fire Insurance Co.</w:t>
      </w:r>
      <w:r>
        <w:rPr>
          <w:rFonts w:ascii="arial" w:eastAsia="arial" w:hAnsi="arial" w:cs="arial"/>
          <w:color w:val="000000"/>
          <w:sz w:val="20"/>
          <w:lang w:val="en-US" w:eastAsia="en-US" w:bidi="ar-SA"/>
        </w:rPr>
        <w:t xml:space="preserve"> (1920), 28 C.L.R. 305, 26 A.L.R. 326, where at p. 327 [C.L.R.] of the report he sought to distinguish between waiver and estoppel: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First of all, the law of estoppel looks chiefly at the situation of the person relying on the estoppel; next, as a consequence of the first, the knowledge of the person sought to be estopped is immaterial; thirdly, as a further consequence, it is not essential that the person sought to be estopped should have acted with any intention to deceive; fourthly, conduct, short of positive acts, is sufficient.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statement was adopted with approval by Mr. Justice Oliver in </w:t>
      </w:r>
      <w:r>
        <w:rPr>
          <w:rFonts w:ascii="arial" w:eastAsia="arial" w:hAnsi="arial" w:cs="arial"/>
          <w:i/>
          <w:color w:val="000000"/>
          <w:sz w:val="20"/>
          <w:lang w:val="en-US" w:eastAsia="en-US" w:bidi="ar-SA"/>
        </w:rPr>
        <w:t>Taylor Fashions Ltd. v. Liverpool Victoria Friendly Society; Old &amp; Campbell v. Liverpool Victoria Friendly Society</w:t>
      </w:r>
      <w:r>
        <w:rPr>
          <w:rFonts w:ascii="arial" w:eastAsia="arial" w:hAnsi="arial" w:cs="arial"/>
          <w:color w:val="000000"/>
          <w:sz w:val="20"/>
          <w:lang w:val="en-US" w:eastAsia="en-US" w:bidi="ar-SA"/>
        </w:rPr>
        <w:t>, [1981] 1 Q.B. 133, [1981] 1 All E.R. 897 (Ch.D.). ... In concluding that the landlord must be estopped from relying on s. 13(2) Mr. Justice Oliver noted at p. 151 [Q.B.] of the report: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Furthermore the more recent cases indicate, in my judgment, that the application of the </w:t>
      </w:r>
      <w:r>
        <w:rPr>
          <w:rFonts w:ascii="arial" w:eastAsia="arial" w:hAnsi="arial" w:cs="arial"/>
          <w:i/>
          <w:color w:val="000000"/>
          <w:sz w:val="20"/>
          <w:lang w:val="en-US" w:eastAsia="en-US" w:bidi="ar-SA"/>
        </w:rPr>
        <w:t>Ramsden v. Dyson</w:t>
      </w:r>
      <w:r>
        <w:rPr>
          <w:rFonts w:ascii="arial" w:eastAsia="arial" w:hAnsi="arial" w:cs="arial"/>
          <w:color w:val="000000"/>
          <w:sz w:val="20"/>
          <w:lang w:val="en-US" w:eastAsia="en-US" w:bidi="ar-SA"/>
        </w:rPr>
        <w:t xml:space="preserve">, L.R. 1 H.L. 129 principle - whether you call it proprietary estoppel, estoppel by acquiescence or estoppel by encouragement is really immaterial - requires a </w:t>
      </w:r>
      <w:r>
        <w:rPr>
          <w:rFonts w:ascii="arial" w:eastAsia="arial" w:hAnsi="arial" w:cs="arial"/>
          <w:i/>
          <w:color w:val="000000"/>
          <w:sz w:val="20"/>
          <w:lang w:val="en-US" w:eastAsia="en-US" w:bidi="ar-SA"/>
        </w:rPr>
        <w:t>very much broader approach which is directed rather at ascertaining whether, in particular individual circumstances, it would be unconscionable for a party to be permitted to deny that which, knowingly, or unknowingly, he has allowed or encouraged another to assume to his detriment than to inquiring whether the circumstances can be fitted within the confines of some preconceived formula serving as a universal yardstick for every form of unconscionable behaviour.</w:t>
      </w:r>
      <w:r>
        <w:rPr>
          <w:rFonts w:ascii="arial" w:eastAsia="arial" w:hAnsi="arial" w:cs="arial"/>
          <w:color w:val="000000"/>
          <w:sz w:val="20"/>
          <w:lang w:val="en-US" w:eastAsia="en-US" w:bidi="ar-SA"/>
        </w:rPr>
        <w:t xml:space="preserve">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statement of the modern doctrine of estoppel was adopted by this Court in </w:t>
      </w:r>
      <w:r>
        <w:rPr>
          <w:rFonts w:ascii="arial" w:eastAsia="arial" w:hAnsi="arial" w:cs="arial"/>
          <w:i/>
          <w:color w:val="000000"/>
          <w:sz w:val="20"/>
          <w:lang w:val="en-US" w:eastAsia="en-US" w:bidi="ar-SA"/>
        </w:rPr>
        <w:t>Litwin v. Kiss</w:t>
      </w:r>
      <w:r>
        <w:rPr>
          <w:rFonts w:ascii="arial" w:eastAsia="arial" w:hAnsi="arial" w:cs="arial"/>
          <w:color w:val="000000"/>
          <w:sz w:val="20"/>
          <w:lang w:val="en-US" w:eastAsia="en-US" w:bidi="ar-SA"/>
        </w:rPr>
        <w:t>. The hallmark of that doctrine is its flexibility. It defies a single definition and resists imprisonment in any specific formulation.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Since October 2005 Mr. Lakhani and Chancery have expended time, effort, and money based on Ms. Jetha's conduct and position that Chancery had a beneficial ownership interest in the Property and was entitled to its proportionate share of profits. In reliance on Ms. Jetha's conduct Chancery did not obtain the declaration that it sought in the first proceeding that Chancery was a beneficial owner of the Property, Chancery funded cash shortfalls relating to the operation of the Property, including making a substantial mortgage payment, and Chancery funded 30 percent of the costs of Bashir Jaffer, as receiver-manager of the Property until it was sold. In addition, Chancery paid out funds for appraisal fees, and lawyers fees, and Mr. Lakhani spent a great deal of time negotiating with agents for prospective purchasers of the Property. As a result of Chancery's funds being tied up in the Property, it has been denied the opportunity to otherwise invest its funds for the past five years.</w:t>
      </w:r>
      <w:r>
        <w:rPr>
          <w:rFonts w:ascii="arial" w:eastAsia="arial" w:hAnsi="arial" w:cs="arial"/>
          <w:sz w:val="20"/>
          <w:lang w:val="en-US" w:eastAsia="en-US" w:bidi="ar-SA"/>
        </w:rPr>
        <w:cr/>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Laches can be relied upon to strike out a claim on the basis that the claim is bound to fail and is therefore frivolous and vexatious: </w:t>
      </w:r>
      <w:r>
        <w:rPr>
          <w:rFonts w:ascii="arial" w:eastAsia="arial" w:hAnsi="arial" w:cs="arial"/>
          <w:i/>
          <w:color w:val="000000"/>
          <w:sz w:val="20"/>
          <w:lang w:val="en-US" w:eastAsia="en-US" w:bidi="ar-SA"/>
        </w:rPr>
        <w:t>Louie v. Lastman</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(2002), 217 D.L.R. (4th) 269</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M.(K.) v. M.(H.)</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[1992] 3 S.C.R. 6</w:t>
        </w:r>
      </w:hyperlink>
      <w:r>
        <w:rPr>
          <w:rFonts w:ascii="arial" w:eastAsia="arial" w:hAnsi="arial" w:cs="arial"/>
          <w:color w:val="000000"/>
          <w:sz w:val="20"/>
          <w:lang w:val="en-US" w:eastAsia="en-US" w:bidi="ar-SA"/>
        </w:rPr>
        <w:t>, summarized the principles which govern the doctrine of laches at 76-77: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Historically, statutes of limitation did not apply to equitable claims, and as such courts of equity developed their own limitation defences. Limitation by analogy was one of these, but the more important development was the defence of laches. While laches must be considered here as in any delayed equitable claim, in my view it does not afford the respondent redress.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leading authority on laches would appear to be </w:t>
      </w:r>
      <w:r>
        <w:rPr>
          <w:rFonts w:ascii="arial" w:eastAsia="arial" w:hAnsi="arial" w:cs="arial"/>
          <w:i/>
          <w:color w:val="000000"/>
          <w:sz w:val="20"/>
          <w:lang w:val="en-US" w:eastAsia="en-US" w:bidi="ar-SA"/>
        </w:rPr>
        <w:t>Lindsay Petroleum Co. v. Hurd</w:t>
      </w:r>
      <w:r>
        <w:rPr>
          <w:rFonts w:ascii="arial" w:eastAsia="arial" w:hAnsi="arial" w:cs="arial"/>
          <w:color w:val="000000"/>
          <w:sz w:val="20"/>
          <w:lang w:val="en-US" w:eastAsia="en-US" w:bidi="ar-SA"/>
        </w:rPr>
        <w:t xml:space="preserve"> (1874), L.R. 5 P.C. 221, in which the doctrine is explained as follows, at pp. 239-40: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doctrine of laches in Courts of Equity is not an arbitrary or a technical doctrine. Where it would be practically unjust to give a remedy, either because the party has, by his conduct, done that which might fairly be regarded as equivalent to a waiver of it, or where by his conduct and neglect he has, though perhaps not waiving that remedy, yet put the other party in a situation in which it would not be reasonable to place him if the remedy were afterwards to be asserted, in either of these cases, lapse of time and delay are most material. But in every case, if an argument against relief, which otherwise would be just, is founded upon mere delay, that delay of course not amounting to a bar by any statute of limitations, the validity of that defence must be tried upon principles substantially equitable. Two circumstances, always important in such cases, are, the length of the delay and the nature of the acts done during the interval, which might affect either party and cause a balance of justice or injustice in taking the one course or the other, so far as relates to the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explanation was approved by Lord Blackburn in </w:t>
      </w:r>
      <w:r>
        <w:rPr>
          <w:rFonts w:ascii="arial" w:eastAsia="arial" w:hAnsi="arial" w:cs="arial"/>
          <w:i/>
          <w:color w:val="000000"/>
          <w:sz w:val="20"/>
          <w:lang w:val="en-US" w:eastAsia="en-US" w:bidi="ar-SA"/>
        </w:rPr>
        <w:t>Erlanger v. New Sombrero Phosphate Co.</w:t>
      </w:r>
      <w:r>
        <w:rPr>
          <w:rFonts w:ascii="arial" w:eastAsia="arial" w:hAnsi="arial" w:cs="arial"/>
          <w:color w:val="000000"/>
          <w:sz w:val="20"/>
          <w:lang w:val="en-US" w:eastAsia="en-US" w:bidi="ar-SA"/>
        </w:rPr>
        <w:t xml:space="preserve"> (1878), 3 App. Cas. 1218 (H.L.), where, after quoting the above passage, he comments, at pp. 1279-80: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looked in vain for any authority which gives a more distinct and definite rule than this; and I think, from the nature of the inquiry, it must always be a question of more or less, depending on the degree of diligence which might reasonably be required, and the degree of change which has occurred, whether the balance of justice or injustice is in favour of granting the remedy or withholding it. The determination of such a question must largely depend on the turn of mind of those who have to decide, and must therefore be subject to uncertainty; but that, I think, is inherent in the nature of the inquiry.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turn, this formulation has been applied by this Court; see </w:t>
      </w:r>
      <w:r>
        <w:rPr>
          <w:rFonts w:ascii="arial" w:eastAsia="arial" w:hAnsi="arial" w:cs="arial"/>
          <w:i/>
          <w:color w:val="000000"/>
          <w:sz w:val="20"/>
          <w:lang w:val="en-US" w:eastAsia="en-US" w:bidi="ar-SA"/>
        </w:rPr>
        <w:t>Canada Trust Co. v. Lloyd</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[1968] S.C.R. 300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Blundon v. Storm</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[1972] S.C.R. 135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developed in </w:t>
      </w:r>
      <w:r>
        <w:rPr>
          <w:rFonts w:ascii="arial" w:eastAsia="arial" w:hAnsi="arial" w:cs="arial"/>
          <w:i/>
          <w:color w:val="000000"/>
          <w:sz w:val="20"/>
          <w:lang w:val="en-US" w:eastAsia="en-US" w:bidi="ar-SA"/>
        </w:rPr>
        <w:t>Lindsay</w:t>
      </w:r>
      <w:r>
        <w:rPr>
          <w:rFonts w:ascii="arial" w:eastAsia="arial" w:hAnsi="arial" w:cs="arial"/>
          <w:color w:val="000000"/>
          <w:sz w:val="20"/>
          <w:lang w:val="en-US" w:eastAsia="en-US" w:bidi="ar-SA"/>
        </w:rPr>
        <w:t xml:space="preserve"> is certainly amorphous, perhaps admirably so. However, some structure can be derived from the cases. A good discussion of the rule and of laches in general is found in Meagher, Gummow and Lehane,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755-65, where the authors distill the doctrine in this manner, at p. 755: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a defence which requires that a defendant can successfully resist an equitable (although not a legal) claim made against him if he can demonstrate that the plaintiff, by delaying the institution or prosecution of his case, has either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acquiesced in the defendant's conduct or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caused the defendant to alter his position in reasonable reliance on the plaintiff's acceptance of the status quo, or otherwise permitted a situation to arise which it would be unjust to disturb.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(f) Section 8(3) of the </w:t>
      </w:r>
      <w:r>
        <w:rPr>
          <w:rFonts w:ascii="arial" w:eastAsia="arial" w:hAnsi="arial" w:cs="arial"/>
          <w:b/>
          <w:i/>
          <w:color w:val="000000"/>
          <w:sz w:val="20"/>
          <w:lang w:val="en-US" w:eastAsia="en-US" w:bidi="ar-SA"/>
        </w:rPr>
        <w:t>Law and Equity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Section 8(3)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whether or not a party to a cause or matter pending before the court, who would have been entitled, but for this Act, to apply to the court to restrain the prosecution of it, or who may be entitled to enforce, by attachment or otherwise, any judgment, decree, rule or order, contrary to which all or any part of the proceedings in the cause or matter may have been taken, may apply to the court, by motion in a summary way, for a stay of proceedings in the cause or matter, either generally or so far as may be necessary for the purposes of justice and the court must make any order that is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Robertson v. Walwyn Stodgell Cochrane Murray Ltd.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(1988), 24 B.C.L.R. (2d) 385</w:t>
        </w:r>
      </w:hyperlink>
      <w:r>
        <w:rPr>
          <w:rFonts w:ascii="arial" w:eastAsia="arial" w:hAnsi="arial" w:cs="arial"/>
          <w:color w:val="000000"/>
          <w:sz w:val="20"/>
          <w:lang w:val="en-US" w:eastAsia="en-US" w:bidi="ar-SA"/>
        </w:rPr>
        <w:t xml:space="preserve"> (C.A.), Mr. Justice Lambert for the Court of Appeal in dismissing the appeal stated at 387-389: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case, it is not disputed that Mr. and Mrs. Robertson gave their lawyer instructions to make the settlement agreement that was made. The Robertsons' argument is that they received erroneous advice from their lawyer; that the advice induced them to make the settlement agreement; that the settlement agreement was unfair; and that the court should not enforce the settlement agreement. That argument depends on the view that the court, under s. 8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or otherwise, has power to refuse to give effect to a settlement agreement if the court considers that the settlement is not just. In my opinion, that view is wrong. A completed settlement agreement is the same as any other contract. If the contract is valid and enforceable by ordinary principles of contract law, and if it is put in issue in appropriate proceedings, then the court, in the end, must give effect to it. That was the point that governed the decision of this court in </w:t>
      </w:r>
      <w:r>
        <w:rPr>
          <w:rFonts w:ascii="arial" w:eastAsia="arial" w:hAnsi="arial" w:cs="arial"/>
          <w:i/>
          <w:color w:val="000000"/>
          <w:sz w:val="20"/>
          <w:lang w:val="en-US" w:eastAsia="en-US" w:bidi="ar-SA"/>
        </w:rPr>
        <w:t>Moric v. Handspiker; Moric v. Yablonski</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(1985), 65 B.C.L.R. 74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not referred to any case, and, after a thorough search, I have not found one, where a concluded contract of settlement, that was made with the knowledge and consent of the parties to the litigation, was later set aside or not enforced on the ground that it was unfair or unjust, or on the ground that it was based on a unilateral misapprehension of the facts or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it has been conceded, as it has been conceded in this case, that a settlement agreement was made with the knowledge and consent of the parties to the litigation, and where no ground is advanced for setting aside the agreement under general contract principles, such as fraud, duress, lack of capacity, or mutual mistake, then the court has no alternative, in the end, but to enforce the agreement. That being so, the proper course is normally to grant the stay of proceedings when it is applied for, rather than to defer the inevitable result by refusing the stay and leaving the defence of settlement to be upheld at trial or in collateral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Justice affects both parties and requires a balancing of their interests. The fact that the settlement agreement may not have been a desirable one from the point of view of the Robertsons, or the fact that they may have received poor advice from their lawyer, or the fact that they later changed their minds, cannot provide grounds for setting aside the settlement agreement, or a refusal to enforce it. And it would do scant justice to the interests of the defendants in this case to recognize the validity of the settlement agreement, and that it will ultimately prevail, but to refuse to enforce it at this time and in these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order granting the stay is, in the circumstances of this case, the only order that is just, within the meaning of s. 8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plaintiffs argue that Ms. Jetha seeks to resile from the position she took in the first proceeding and her petition proceeding in which she admitted under oath the respective 30 and seven percent ownership interests of Chancery and Mr. Valji. Those admissions were fundamental to her claims in her partition proceeding and application and were the foundation of the consent order in respect of which the court is now </w:t>
      </w:r>
      <w:r>
        <w:rPr>
          <w:rFonts w:ascii="arial" w:eastAsia="arial" w:hAnsi="arial" w:cs="arial"/>
          <w:i/>
          <w:color w:val="000000"/>
          <w:sz w:val="20"/>
          <w:lang w:val="en-US" w:eastAsia="en-US" w:bidi="ar-SA"/>
        </w:rPr>
        <w:t>functus</w:t>
      </w:r>
      <w:r>
        <w:rPr>
          <w:rFonts w:ascii="arial" w:eastAsia="arial" w:hAnsi="arial" w:cs="arial"/>
          <w:color w:val="000000"/>
          <w:sz w:val="20"/>
          <w:lang w:val="en-US" w:eastAsia="en-US" w:bidi="ar-SA"/>
        </w:rPr>
        <w:t xml:space="preserve">. Ms. Jetha in effect seeks to set aside or undermine the basis of the consent order.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applies to those questions or issues that were expressly or by implication the subject of the consent order. The ownership interests were </w:t>
      </w:r>
      <w:r>
        <w:rPr>
          <w:rFonts w:ascii="arial" w:eastAsia="arial" w:hAnsi="arial" w:cs="arial"/>
          <w:i/>
          <w:color w:val="000000"/>
          <w:sz w:val="20"/>
          <w:lang w:val="en-US" w:eastAsia="en-US" w:bidi="ar-SA"/>
        </w:rPr>
        <w:t>expressly</w:t>
      </w:r>
      <w:r>
        <w:rPr>
          <w:rFonts w:ascii="arial" w:eastAsia="arial" w:hAnsi="arial" w:cs="arial"/>
          <w:color w:val="000000"/>
          <w:sz w:val="20"/>
          <w:lang w:val="en-US" w:eastAsia="en-US" w:bidi="ar-SA"/>
        </w:rPr>
        <w:t xml:space="preserve"> admitted by Ms. Jetha in Clause 14.4 and Recital C of the Services Agreement, and Clauses 5.2 and 13.11 and Recital D of the Escrow Agreement. Under the terms of the Services Agreement and Escrow Agreement that formed part of the consent order, Ms. Jetha agreed to the sale of the Property, distribution of the proceeds of sale, subject to an accounting, and to the consent dismissal of all pending litigation and the release of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Ms. Jetha elected between inconsistent rights and cannot now change that election. Chancery was either a lender or an equity investor; it could not be both at the same time. For five years within ongoing litigation Ms. Jetha elected to characterize Chancery as an equity investor. Having elected to treat Chancery and Mr. Valji as co-owners of the Property and admitted their beneficial interests in the Property, it is no longer open to Ms. Jetha to advance a position that is fundamentally inconsistent without offending the principle in </w:t>
      </w:r>
      <w:r>
        <w:rPr>
          <w:rFonts w:ascii="arial" w:eastAsia="arial" w:hAnsi="arial" w:cs="arial"/>
          <w:i/>
          <w:color w:val="000000"/>
          <w:sz w:val="20"/>
          <w:lang w:val="en-US" w:eastAsia="en-US" w:bidi="ar-SA"/>
        </w:rPr>
        <w:t>Hoysted v. Commissioner of Taxation,</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[1926] A.C. 155</w:t>
        </w:r>
      </w:hyperlink>
      <w:r>
        <w:rPr>
          <w:rFonts w:ascii="arial" w:eastAsia="arial" w:hAnsi="arial" w:cs="arial"/>
          <w:color w:val="000000"/>
          <w:sz w:val="20"/>
          <w:lang w:val="en-US" w:eastAsia="en-US" w:bidi="ar-SA"/>
        </w:rPr>
        <w:t xml:space="preserve"> (P.C.) at 165-166: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opinion of their Lordships it is settled, first, that the admission of a fact fundamental to the decision arrived at cannot be withdrawn and a fresh litigation started, with a view of obtaining another judgment upon a different assumption of fact; secondly, the same principle applies not only to an erroneous admission of a fundamental fact, but to an erroneous assumption as to the legal quality of that fact. Parties are not permitted to begin fresh litigations because of new views they may entertain of the law of the case, or new versions which they present as to what should be a proper apprehension by the Court of the legal result either of the construction of the documents or the weight of certain circumstances. If this were permitted litigation would have no end, except when legal ingenuity is exhausted. It is a principle of law that this cannot be permitted and there is abundant authority reiterating that principle. Thirdly, the same principle namely, that of setting to rest rights of litigants, applies to the case where a point, fundamental to the decision, taken or assumed by the plaintiff and traversable by the defendant, has not been traversed. In that case also a defendant is bound by the judgment, although it may be true enough that subsequent light or ingenuity might suggest some traverse which had not been taken. The same principle of setting parties' rights to rest applies and estoppel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examination for discovery of Ms. Jetha there is the following exchange between counsel and Ms. Jetha's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FREDRICKSEN: What information did she fail to give Bull Housser &amp; Tupper that would have been of value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WINSTANLEY: She gave everything to Bull Housser Tupper that was of value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FREDRICKSEN: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WINSTANLEY: They just simply didn't find the answer. They didn't find the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FREDRICKSEN: Okay.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WINSTANLEY: Find the remedy or didn't see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FREDRICKSEN: Flowing from what you said yesterday, I think you should allow her to answer this question but I'll leave it up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2790</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Were you able to provide Mr. Winstanley with any information that you were not able or did not provide to Bull Housser &amp; Tupper or to Jack Andersen up till the time of his termination?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No, I provided everything to everybody.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2791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So in essence, keeping in mind the different time periods, you provided all of the same information to Bull Housser &amp; Tupper, to Jack Andersen, and to Andrew Winstanley?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I think so,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Ms. Jetha and all of her previous lawyers were aware of all of the facts which are now being relied upon in support of her claims. However, Ms. Jetha now claims that as a result of Lakhani's breach of fiduciary duty she has a right to avoid the agreements by which Chancery obtained its ownership interest. Although Ms. Jetha maintains that her former lawyers "just simply didn't find the answer or the remedy", at best, the new claims are the result of Mr. Winstanley's "legal ingenuity". She should not be allowed to withdraw her admissions to allow her to "begin fresh litigations because of new views" that she or her new counsel may entertain of events which occurred in the spring and summer of 2005. Ms. Jetha's prior admissions and conduct create an estoppel which render her claims "frivolous" within the meaning in Rule 9-5(1). The counterclaims are both frivolous and vexatious because they are "obviously unsustainable" and an abuse in the sense stated by Bowen L.J. in the Court of Appeal in </w:t>
      </w:r>
      <w:r>
        <w:rPr>
          <w:rFonts w:ascii="arial" w:eastAsia="arial" w:hAnsi="arial" w:cs="arial"/>
          <w:i/>
          <w:color w:val="000000"/>
          <w:sz w:val="20"/>
          <w:lang w:val="en-US" w:eastAsia="en-US" w:bidi="ar-SA"/>
        </w:rPr>
        <w:t>Willis v. Earl Beauchamp</w:t>
      </w:r>
      <w:r>
        <w:rPr>
          <w:rFonts w:ascii="arial" w:eastAsia="arial" w:hAnsi="arial" w:cs="arial"/>
          <w:color w:val="000000"/>
          <w:sz w:val="20"/>
          <w:lang w:val="en-US" w:eastAsia="en-US" w:bidi="ar-SA"/>
        </w:rPr>
        <w:t xml:space="preserve"> (1886), 11 P.D. 59 (C.A.) at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this action ought to be stayed as being a vexatious action within the meaning attached to that word by the Courts, because it can really lead to no possible good. It does not fall under the rule as the Lord Justice has said, but the rules, as we have pointed out more than once, do not, and that particular rule does not, deprive the Court in any way of the inherent power which every Court has to prevent the abuse of legal machinery which would occur, if for no possible benefit the defendants are to be dragged through litigation which much be long and expensive.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If the allegations are not struck, other parties (Ms. Jetha's previous lawyers, Gillian Chee and Antony Dusevic of Chee Dusevic; Jack Andersen of Andersen Paul; and James Goulden and Vince Aldridge of Bull Housser &amp; Tupper) will likely be added as parties in the proceedings, and the trial currently estimated for four weeks will be considerably lengthened.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 ARGUMENT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Jetha seeks to set aside the bargains she made with Mr. Lakhani and recover the profit that would otherwise be payable to Chancery and Mr. Valji. Of the approximately $3 million remaining in escrow, Mr. Winstanley states that the profit to be divided would otherwise be approximately $900,000 for Chancery, $210,000 for Mr. Valji, $252,000 for Mr. Tejani whose interest was sold to Mr. Kassam, and $1,638,000 for Sahara Inc. However, Ms. Jetha now claims the $900,000 and $210,000 that would otherwise by payable to Chancery and Mr. Valji, so that her or Sahara Inc.'s total profit from the sale of the Property would be approximately $2,748,000. In addition, Ms. Jetha seeks compensation for loss suffered as a result of the Property being sold as a whole, pursuant to the terms of the settlement agreement and court order, rather than each strata unit being sold individually, which would have resulted in greater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support of his argument Mr. Winstanley for the defendants provided an extensive brief of authorities which includes the following cases: </w:t>
      </w:r>
      <w:r>
        <w:rPr>
          <w:rFonts w:ascii="arial" w:eastAsia="arial" w:hAnsi="arial" w:cs="arial"/>
          <w:i/>
          <w:color w:val="000000"/>
          <w:sz w:val="20"/>
          <w:lang w:val="en-US" w:eastAsia="en-US" w:bidi="ar-SA"/>
        </w:rPr>
        <w:t>Gibson v. Jeyes</w:t>
      </w:r>
      <w:r>
        <w:rPr>
          <w:rFonts w:ascii="arial" w:eastAsia="arial" w:hAnsi="arial" w:cs="arial"/>
          <w:color w:val="000000"/>
          <w:sz w:val="20"/>
          <w:lang w:val="en-US" w:eastAsia="en-US" w:bidi="ar-SA"/>
        </w:rPr>
        <w:t xml:space="preserve"> (1801), 31 E.R. 1044 (Ch.D.); </w:t>
      </w:r>
      <w:r>
        <w:rPr>
          <w:rFonts w:ascii="arial" w:eastAsia="arial" w:hAnsi="arial" w:cs="arial"/>
          <w:i/>
          <w:color w:val="000000"/>
          <w:sz w:val="20"/>
          <w:lang w:val="en-US" w:eastAsia="en-US" w:bidi="ar-SA"/>
        </w:rPr>
        <w:t>Roche v. O'Brien</w:t>
      </w:r>
      <w:r>
        <w:rPr>
          <w:rFonts w:ascii="arial" w:eastAsia="arial" w:hAnsi="arial" w:cs="arial"/>
          <w:color w:val="000000"/>
          <w:sz w:val="20"/>
          <w:lang w:val="en-US" w:eastAsia="en-US" w:bidi="ar-SA"/>
        </w:rPr>
        <w:t xml:space="preserve"> (1810), [1803-13] All E.R. Rep. 640 (Ch.D.); </w:t>
      </w:r>
      <w:r>
        <w:rPr>
          <w:rFonts w:ascii="arial" w:eastAsia="arial" w:hAnsi="arial" w:cs="arial"/>
          <w:i/>
          <w:color w:val="000000"/>
          <w:sz w:val="20"/>
          <w:lang w:val="en-US" w:eastAsia="en-US" w:bidi="ar-SA"/>
        </w:rPr>
        <w:t>Wood v. Downes</w:t>
      </w:r>
      <w:r>
        <w:rPr>
          <w:rFonts w:ascii="arial" w:eastAsia="arial" w:hAnsi="arial" w:cs="arial"/>
          <w:color w:val="000000"/>
          <w:sz w:val="20"/>
          <w:lang w:val="en-US" w:eastAsia="en-US" w:bidi="ar-SA"/>
        </w:rPr>
        <w:t xml:space="preserve"> (1811), [1803-13] All E.R. Rep. 575, 34 E.R. 263 (Ch.D.); </w:t>
      </w:r>
      <w:r>
        <w:rPr>
          <w:rFonts w:ascii="arial" w:eastAsia="arial" w:hAnsi="arial" w:cs="arial"/>
          <w:i/>
          <w:color w:val="000000"/>
          <w:sz w:val="20"/>
          <w:lang w:val="en-US" w:eastAsia="en-US" w:bidi="ar-SA"/>
        </w:rPr>
        <w:t>Gregory v. Gregory</w:t>
      </w:r>
      <w:r>
        <w:rPr>
          <w:rFonts w:ascii="arial" w:eastAsia="arial" w:hAnsi="arial" w:cs="arial"/>
          <w:color w:val="000000"/>
          <w:sz w:val="20"/>
          <w:lang w:val="en-US" w:eastAsia="en-US" w:bidi="ar-SA"/>
        </w:rPr>
        <w:t xml:space="preserve"> (1815), 35 E.R. 530 (Ch.D.); </w:t>
      </w:r>
      <w:r>
        <w:rPr>
          <w:rFonts w:ascii="arial" w:eastAsia="arial" w:hAnsi="arial" w:cs="arial"/>
          <w:i/>
          <w:color w:val="000000"/>
          <w:sz w:val="20"/>
          <w:lang w:val="en-US" w:eastAsia="en-US" w:bidi="ar-SA"/>
        </w:rPr>
        <w:t>Charter v. Trevelyan</w:t>
      </w:r>
      <w:r>
        <w:rPr>
          <w:rFonts w:ascii="arial" w:eastAsia="arial" w:hAnsi="arial" w:cs="arial"/>
          <w:color w:val="000000"/>
          <w:sz w:val="20"/>
          <w:lang w:val="en-US" w:eastAsia="en-US" w:bidi="ar-SA"/>
        </w:rPr>
        <w:t xml:space="preserve"> (1844), 8 E.R. 1273 (H.L.); </w:t>
      </w:r>
      <w:r>
        <w:rPr>
          <w:rFonts w:ascii="arial" w:eastAsia="arial" w:hAnsi="arial" w:cs="arial"/>
          <w:i/>
          <w:color w:val="000000"/>
          <w:sz w:val="20"/>
          <w:lang w:val="en-US" w:eastAsia="en-US" w:bidi="ar-SA"/>
        </w:rPr>
        <w:t>Salmon v. Cutts</w:t>
      </w:r>
      <w:r>
        <w:rPr>
          <w:rFonts w:ascii="arial" w:eastAsia="arial" w:hAnsi="arial" w:cs="arial"/>
          <w:color w:val="000000"/>
          <w:sz w:val="20"/>
          <w:lang w:val="en-US" w:eastAsia="en-US" w:bidi="ar-SA"/>
        </w:rPr>
        <w:t xml:space="preserve"> (1850), 64 E.R. 764 (Ch.D.); </w:t>
      </w:r>
      <w:r>
        <w:rPr>
          <w:rFonts w:ascii="arial" w:eastAsia="arial" w:hAnsi="arial" w:cs="arial"/>
          <w:i/>
          <w:color w:val="000000"/>
          <w:sz w:val="20"/>
          <w:lang w:val="en-US" w:eastAsia="en-US" w:bidi="ar-SA"/>
        </w:rPr>
        <w:t>Barnard v. Hunter</w:t>
      </w:r>
      <w:r>
        <w:rPr>
          <w:rFonts w:ascii="arial" w:eastAsia="arial" w:hAnsi="arial" w:cs="arial"/>
          <w:color w:val="000000"/>
          <w:sz w:val="20"/>
          <w:lang w:val="en-US" w:eastAsia="en-US" w:bidi="ar-SA"/>
        </w:rPr>
        <w:t xml:space="preserve"> (1856), 5 W.R. 92 (Ch.D.); </w:t>
      </w:r>
      <w:r>
        <w:rPr>
          <w:rFonts w:ascii="arial" w:eastAsia="arial" w:hAnsi="arial" w:cs="arial"/>
          <w:i/>
          <w:color w:val="000000"/>
          <w:sz w:val="20"/>
          <w:lang w:val="en-US" w:eastAsia="en-US" w:bidi="ar-SA"/>
        </w:rPr>
        <w:t>Savery v. King</w:t>
      </w:r>
      <w:r>
        <w:rPr>
          <w:rFonts w:ascii="arial" w:eastAsia="arial" w:hAnsi="arial" w:cs="arial"/>
          <w:color w:val="000000"/>
          <w:sz w:val="20"/>
          <w:lang w:val="en-US" w:eastAsia="en-US" w:bidi="ar-SA"/>
        </w:rPr>
        <w:t xml:space="preserve"> (1856), 10 E.R. 1046 (H.L.); </w:t>
      </w:r>
      <w:r>
        <w:rPr>
          <w:rFonts w:ascii="arial" w:eastAsia="arial" w:hAnsi="arial" w:cs="arial"/>
          <w:i/>
          <w:color w:val="000000"/>
          <w:sz w:val="20"/>
          <w:lang w:val="en-US" w:eastAsia="en-US" w:bidi="ar-SA"/>
        </w:rPr>
        <w:t>Gresley v. Mousley</w:t>
      </w:r>
      <w:r>
        <w:rPr>
          <w:rFonts w:ascii="arial" w:eastAsia="arial" w:hAnsi="arial" w:cs="arial"/>
          <w:color w:val="000000"/>
          <w:sz w:val="20"/>
          <w:lang w:val="en-US" w:eastAsia="en-US" w:bidi="ar-SA"/>
        </w:rPr>
        <w:t xml:space="preserve"> (1859), 45 E.R. 31 (Ch.D.); </w:t>
      </w:r>
      <w:r>
        <w:rPr>
          <w:rFonts w:ascii="arial" w:eastAsia="arial" w:hAnsi="arial" w:cs="arial"/>
          <w:i/>
          <w:color w:val="000000"/>
          <w:sz w:val="20"/>
          <w:lang w:val="en-US" w:eastAsia="en-US" w:bidi="ar-SA"/>
        </w:rPr>
        <w:t>Life Association of Scotland v. Siddal</w:t>
      </w:r>
      <w:r>
        <w:rPr>
          <w:rFonts w:ascii="arial" w:eastAsia="arial" w:hAnsi="arial" w:cs="arial"/>
          <w:color w:val="000000"/>
          <w:sz w:val="20"/>
          <w:lang w:val="en-US" w:eastAsia="en-US" w:bidi="ar-SA"/>
        </w:rPr>
        <w:t xml:space="preserve"> (1861), [1861-73] All E.R. Rep. 892, 45 E.R. 800 (Ch.D.); </w:t>
      </w:r>
      <w:r>
        <w:rPr>
          <w:rFonts w:ascii="arial" w:eastAsia="arial" w:hAnsi="arial" w:cs="arial"/>
          <w:i/>
          <w:color w:val="000000"/>
          <w:sz w:val="20"/>
          <w:lang w:val="en-US" w:eastAsia="en-US" w:bidi="ar-SA"/>
        </w:rPr>
        <w:t>Gibbs v. Daniel</w:t>
      </w:r>
      <w:r>
        <w:rPr>
          <w:rFonts w:ascii="arial" w:eastAsia="arial" w:hAnsi="arial" w:cs="arial"/>
          <w:color w:val="000000"/>
          <w:sz w:val="20"/>
          <w:lang w:val="en-US" w:eastAsia="en-US" w:bidi="ar-SA"/>
        </w:rPr>
        <w:t xml:space="preserve"> (1862), 66 E.R. 595 (Ch.D.); </w:t>
      </w:r>
      <w:r>
        <w:rPr>
          <w:rFonts w:ascii="arial" w:eastAsia="arial" w:hAnsi="arial" w:cs="arial"/>
          <w:i/>
          <w:color w:val="000000"/>
          <w:sz w:val="20"/>
          <w:lang w:val="en-US" w:eastAsia="en-US" w:bidi="ar-SA"/>
        </w:rPr>
        <w:t>Rhodes v. Bate</w:t>
      </w:r>
      <w:r>
        <w:rPr>
          <w:rFonts w:ascii="arial" w:eastAsia="arial" w:hAnsi="arial" w:cs="arial"/>
          <w:color w:val="000000"/>
          <w:sz w:val="20"/>
          <w:lang w:val="en-US" w:eastAsia="en-US" w:bidi="ar-SA"/>
        </w:rPr>
        <w:t xml:space="preserve"> (1866), 14 W.R. 292 (Ch.D.); </w:t>
      </w:r>
      <w:r>
        <w:rPr>
          <w:rFonts w:ascii="arial" w:eastAsia="arial" w:hAnsi="arial" w:cs="arial"/>
          <w:i/>
          <w:color w:val="000000"/>
          <w:sz w:val="20"/>
          <w:lang w:val="en-US" w:eastAsia="en-US" w:bidi="ar-SA"/>
        </w:rPr>
        <w:t>Browne v. McClintock</w:t>
      </w:r>
      <w:r>
        <w:rPr>
          <w:rFonts w:ascii="arial" w:eastAsia="arial" w:hAnsi="arial" w:cs="arial"/>
          <w:color w:val="000000"/>
          <w:sz w:val="20"/>
          <w:lang w:val="en-US" w:eastAsia="en-US" w:bidi="ar-SA"/>
        </w:rPr>
        <w:t xml:space="preserve"> (1873), 22 W.R. 521 (H.L.); </w:t>
      </w:r>
      <w:r>
        <w:rPr>
          <w:rFonts w:ascii="arial" w:eastAsia="arial" w:hAnsi="arial" w:cs="arial"/>
          <w:i/>
          <w:color w:val="000000"/>
          <w:sz w:val="20"/>
          <w:lang w:val="en-US" w:eastAsia="en-US" w:bidi="ar-SA"/>
        </w:rPr>
        <w:t>Moxon v. Payne</w:t>
      </w:r>
      <w:r>
        <w:rPr>
          <w:rFonts w:ascii="arial" w:eastAsia="arial" w:hAnsi="arial" w:cs="arial"/>
          <w:color w:val="000000"/>
          <w:sz w:val="20"/>
          <w:lang w:val="en-US" w:eastAsia="en-US" w:bidi="ar-SA"/>
        </w:rPr>
        <w:t xml:space="preserve"> (1873), 8 Ch. App. 881; </w:t>
      </w:r>
      <w:r>
        <w:rPr>
          <w:rFonts w:ascii="arial" w:eastAsia="arial" w:hAnsi="arial" w:cs="arial"/>
          <w:i/>
          <w:color w:val="000000"/>
          <w:sz w:val="20"/>
          <w:lang w:val="en-US" w:eastAsia="en-US" w:bidi="ar-SA"/>
        </w:rPr>
        <w:t>Ward v. Sharp</w:t>
      </w:r>
      <w:r>
        <w:rPr>
          <w:rFonts w:ascii="arial" w:eastAsia="arial" w:hAnsi="arial" w:cs="arial"/>
          <w:color w:val="000000"/>
          <w:sz w:val="20"/>
          <w:lang w:val="en-US" w:eastAsia="en-US" w:bidi="ar-SA"/>
        </w:rPr>
        <w:t xml:space="preserve"> (1883), 32 W.R. 584 (Ch.D.); </w:t>
      </w:r>
      <w:r>
        <w:rPr>
          <w:rFonts w:ascii="arial" w:eastAsia="arial" w:hAnsi="arial" w:cs="arial"/>
          <w:i/>
          <w:color w:val="000000"/>
          <w:sz w:val="20"/>
          <w:lang w:val="en-US" w:eastAsia="en-US" w:bidi="ar-SA"/>
        </w:rPr>
        <w:t>Wright v. Carter</w:t>
      </w:r>
      <w:r>
        <w:rPr>
          <w:rFonts w:ascii="arial" w:eastAsia="arial" w:hAnsi="arial" w:cs="arial"/>
          <w:color w:val="000000"/>
          <w:sz w:val="20"/>
          <w:lang w:val="en-US" w:eastAsia="en-US" w:bidi="ar-SA"/>
        </w:rPr>
        <w:t xml:space="preserve">, [1903] 1 Ch. 27, [1900-3] All E.R. Rep. 706 (C.A.); </w:t>
      </w:r>
      <w:r>
        <w:rPr>
          <w:rFonts w:ascii="arial" w:eastAsia="arial" w:hAnsi="arial" w:cs="arial"/>
          <w:i/>
          <w:color w:val="000000"/>
          <w:sz w:val="20"/>
          <w:lang w:val="en-US" w:eastAsia="en-US" w:bidi="ar-SA"/>
        </w:rPr>
        <w:t>Allison v. Clayhills</w:t>
      </w:r>
      <w:r>
        <w:rPr>
          <w:rFonts w:ascii="arial" w:eastAsia="arial" w:hAnsi="arial" w:cs="arial"/>
          <w:color w:val="000000"/>
          <w:sz w:val="20"/>
          <w:lang w:val="en-US" w:eastAsia="en-US" w:bidi="ar-SA"/>
        </w:rPr>
        <w:t xml:space="preserve"> (1908), [1904-7] All E.R. Rep. 500 (Ch.D.); </w:t>
      </w:r>
      <w:r>
        <w:rPr>
          <w:rFonts w:ascii="arial" w:eastAsia="arial" w:hAnsi="arial" w:cs="arial"/>
          <w:i/>
          <w:color w:val="000000"/>
          <w:sz w:val="20"/>
          <w:lang w:val="en-US" w:eastAsia="en-US" w:bidi="ar-SA"/>
        </w:rPr>
        <w:t>Demerara Bauxite Co. v. Hubbard</w:t>
      </w:r>
      <w:r>
        <w:rPr>
          <w:rFonts w:ascii="arial" w:eastAsia="arial" w:hAnsi="arial" w:cs="arial"/>
          <w:color w:val="000000"/>
          <w:sz w:val="20"/>
          <w:lang w:val="en-US" w:eastAsia="en-US" w:bidi="ar-SA"/>
        </w:rPr>
        <w:t xml:space="preserve">, [1923] A.C. 673 (P.C.); </w:t>
      </w:r>
      <w:r>
        <w:rPr>
          <w:rFonts w:ascii="arial" w:eastAsia="arial" w:hAnsi="arial" w:cs="arial"/>
          <w:i/>
          <w:color w:val="000000"/>
          <w:sz w:val="20"/>
          <w:lang w:val="en-US" w:eastAsia="en-US" w:bidi="ar-SA"/>
        </w:rPr>
        <w:t>McMaster v. Byrne</w:t>
      </w:r>
      <w:r>
        <w:rPr>
          <w:rFonts w:ascii="arial" w:eastAsia="arial" w:hAnsi="arial" w:cs="arial"/>
          <w:color w:val="000000"/>
          <w:sz w:val="20"/>
          <w:lang w:val="en-US" w:eastAsia="en-US" w:bidi="ar-SA"/>
        </w:rPr>
        <w:t xml:space="preserve">, [1952] 1 All E.R. 1362 (P.C.); </w:t>
      </w:r>
      <w:r>
        <w:rPr>
          <w:rFonts w:ascii="arial" w:eastAsia="arial" w:hAnsi="arial" w:cs="arial"/>
          <w:i/>
          <w:color w:val="000000"/>
          <w:sz w:val="20"/>
          <w:lang w:val="en-US" w:eastAsia="en-US" w:bidi="ar-SA"/>
        </w:rPr>
        <w:t>Purdom v. Northern Life Assurances Co. of Canada</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[1928] 4 D.L.R. 679</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Levitt v. Carr</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(1992), 66 B.C.L.R. (2d) 58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M.(K.) v. M.(H.),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Bolkiah v. KPMG</w:t>
      </w:r>
      <w:r>
        <w:rPr>
          <w:rFonts w:ascii="arial" w:eastAsia="arial" w:hAnsi="arial" w:cs="arial"/>
          <w:color w:val="000000"/>
          <w:sz w:val="20"/>
          <w:lang w:val="en-US" w:eastAsia="en-US" w:bidi="ar-SA"/>
        </w:rPr>
        <w:t xml:space="preserve">, [1999] 2 A.C. 222 (H.L.);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2005 BCCA 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defendants argue that Mr. Lakhani breached his duty to Ms. Jetha by failing to provide "any information of importance" to her subsequent lawyers and they were therefore unable to provide her with independent competent legal advice. In advancing that position, the defendants rely on the following passage from the decision of </w:t>
      </w:r>
      <w:r>
        <w:rPr>
          <w:rFonts w:ascii="arial" w:eastAsia="arial" w:hAnsi="arial" w:cs="arial"/>
          <w:i/>
          <w:color w:val="000000"/>
          <w:sz w:val="20"/>
          <w:lang w:val="en-US" w:eastAsia="en-US" w:bidi="ar-SA"/>
        </w:rPr>
        <w:t>Gibbs v. Daniel</w:t>
      </w:r>
      <w:r>
        <w:rPr>
          <w:rFonts w:ascii="arial" w:eastAsia="arial" w:hAnsi="arial" w:cs="arial"/>
          <w:color w:val="000000"/>
          <w:sz w:val="20"/>
          <w:lang w:val="en-US" w:eastAsia="en-US" w:bidi="ar-SA"/>
        </w:rPr>
        <w:t xml:space="preserve"> at 610-611: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Crosby was called in to act in their stead as the Plaintiffs' confidential adviser they withheld from him the knowledge of this and other facts essential to enable him to discharge his duty with effect. Where a purchase of this kind is defended on the ground of the intervention of other professional assistance it must be shewn that the new advisor had a proper opportunity of discharging his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appears that the solicitor purchasing from his late client is aware of a neglect of duty, or takes advantage of any neglect of duty, in the new adviser, but especially if he withholds or suppresses from the new adviser </w:t>
      </w:r>
      <w:r>
        <w:rPr>
          <w:rFonts w:ascii="arial" w:eastAsia="arial" w:hAnsi="arial" w:cs="arial"/>
          <w:color w:val="000000"/>
          <w:sz w:val="20"/>
          <w:u w:val="single"/>
          <w:lang w:val="en-US" w:eastAsia="en-US" w:bidi="ar-SA"/>
        </w:rPr>
        <w:t>any information of importance</w:t>
      </w:r>
      <w:r>
        <w:rPr>
          <w:rFonts w:ascii="arial" w:eastAsia="arial" w:hAnsi="arial" w:cs="arial"/>
          <w:color w:val="000000"/>
          <w:sz w:val="20"/>
          <w:lang w:val="en-US" w:eastAsia="en-US" w:bidi="ar-SA"/>
        </w:rPr>
        <w:t>, the transaction is vitiated. The intervention of one who is seen or known to neglect his duty is no protection. [Underlining added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While the cases do not set out a list of factors for determining what information is of importance, the defendants argue that the information of importance that Mr. Lakhani failed to give or provide to Mr. Dusevic, Mr. Anderson, and Mr. Goulden and Mr. Aldridge of Bull Housser &amp; Tupper includes the following:</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acting as solicitor in various aspects of the purchase transaction and that Ms. Jetha and Sahara Inc. were his clients;</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acting in a conflict of interest when he prepared the memorandum of understanding and addenda, the Chancery closing documents, and the various joint venture agreements;</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bargains he made with Ms. Jetha and Sahara Inc. were unfair and why they were unfair;</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 issue existed as to whether the oral joint venture agreement reached on August 16, 2005 was the result of the exercise of Ms. Jetha's free will, or the result of actual pressure put on her;</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had received no written assurance that Ms. Jetha had sought or obtained independent legal advice prior to making any of these bargains, in which case, she would need it now, even though after the fact; and</w:t>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Jetha had the equitable right to set aside any and all bargains he made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Mr. Lakhani did not provide this information to Ms. Jetha's subsequent counsel, it is argued that he is not entitled to keep the benefit of his bargains.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further argue that during the meetings of August 15 and 16 Ms. Jetha was stressed, and this Court should find that her stress was caused by the pressures put on her by Mr. Lakhani who continued to put undue pressure on Ms. Jetha by commencing the first proceeding, and that the undue pressure continues up until the present because the proceeding is still extant. By reason of the continued existence of the first proceeding, Ms. Jetha cannot be said to be free of Mr. Lakhani's undue influence, pressure, power, or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defendants contend that Mr. Lakhani never withdrew and never secured her informed consent, and throughout the time to the conclusion of the joint venture agreement he was therefore acting in a conflict of interest and every bargain he made with her must be set aside. The defendants rely on the following passages from the decision of Madam Justice Newbury in </w:t>
      </w:r>
      <w:r>
        <w:rPr>
          <w:rFonts w:ascii="arial" w:eastAsia="arial" w:hAnsi="arial" w:cs="arial"/>
          <w:i/>
          <w:color w:val="000000"/>
          <w:sz w:val="20"/>
          <w:lang w:val="en-US" w:eastAsia="en-US" w:bidi="ar-SA"/>
        </w:rPr>
        <w:t>3464920 Canada Inc. v. Strother,</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2005 BCCA 35</w:t>
        </w:r>
      </w:hyperlink>
      <w:r>
        <w:rPr>
          <w:rFonts w:ascii="arial" w:eastAsia="arial" w:hAnsi="arial" w:cs="arial"/>
          <w:color w:val="000000"/>
          <w:sz w:val="20"/>
          <w:lang w:val="en-US" w:eastAsia="en-US" w:bidi="ar-SA"/>
        </w:rPr>
        <w:t xml:space="preserve">, (varied </w:t>
      </w:r>
      <w:hyperlink r:id="rId857" w:history="1">
        <w:r>
          <w:rPr>
            <w:rFonts w:ascii="arial" w:eastAsia="arial" w:hAnsi="arial" w:cs="arial"/>
            <w:i/>
            <w:color w:val="0077CC"/>
            <w:sz w:val="20"/>
            <w:u w:val="single"/>
            <w:shd w:val="clear" w:color="auto" w:fill="FFFFFF"/>
            <w:lang w:val="en-US" w:eastAsia="en-US" w:bidi="ar-SA"/>
          </w:rPr>
          <w:t>2007 SCC 24</w:t>
        </w:r>
      </w:hyperlink>
      <w:r>
        <w:rPr>
          <w:rFonts w:ascii="arial" w:eastAsia="arial" w:hAnsi="arial" w:cs="arial"/>
          <w:color w:val="000000"/>
          <w:sz w:val="20"/>
          <w:lang w:val="en-US" w:eastAsia="en-US" w:bidi="ar-SA"/>
        </w:rPr>
        <w:t xml:space="preserve">, </w:t>
      </w:r>
      <w:hyperlink r:id="rId857" w:history="1">
        <w:r>
          <w:rPr>
            <w:rFonts w:ascii="arial" w:eastAsia="arial" w:hAnsi="arial" w:cs="arial"/>
            <w:i/>
            <w:color w:val="0077CC"/>
            <w:sz w:val="20"/>
            <w:u w:val="single"/>
            <w:shd w:val="clear" w:color="auto" w:fill="FFFFFF"/>
            <w:lang w:val="en-US" w:eastAsia="en-US" w:bidi="ar-SA"/>
          </w:rPr>
          <w:t>[2007] 2 S.C.R. 177</w:t>
        </w:r>
      </w:hyperlink>
      <w:r>
        <w:rPr>
          <w:rFonts w:ascii="arial" w:eastAsia="arial" w:hAnsi="arial" w:cs="arial"/>
          <w:color w:val="000000"/>
          <w:sz w:val="20"/>
          <w:lang w:val="en-US" w:eastAsia="en-US" w:bidi="ar-SA"/>
        </w:rPr>
        <w:t>) at paras. 6 and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From the time he entered into this agreement, the lawyer </w:t>
      </w:r>
      <w:r>
        <w:rPr>
          <w:rFonts w:ascii="arial" w:eastAsia="arial" w:hAnsi="arial" w:cs="arial"/>
          <w:color w:val="000000"/>
          <w:sz w:val="20"/>
          <w:u w:val="single"/>
          <w:lang w:val="en-US" w:eastAsia="en-US" w:bidi="ar-SA"/>
        </w:rPr>
        <w:t>could not</w:t>
      </w:r>
      <w:r>
        <w:rPr>
          <w:rFonts w:ascii="arial" w:eastAsia="arial" w:hAnsi="arial" w:cs="arial"/>
          <w:color w:val="000000"/>
          <w:sz w:val="20"/>
          <w:lang w:val="en-US" w:eastAsia="en-US" w:bidi="ar-SA"/>
        </w:rPr>
        <w:t xml:space="preserve"> meet the duty of loyalty of every lawyer to his client. In </w:t>
      </w:r>
      <w:r>
        <w:rPr>
          <w:rFonts w:ascii="arial" w:eastAsia="arial" w:hAnsi="arial" w:cs="arial"/>
          <w:i/>
          <w:color w:val="000000"/>
          <w:sz w:val="20"/>
          <w:lang w:val="en-US" w:eastAsia="en-US" w:bidi="ar-SA"/>
        </w:rPr>
        <w:t>Ramrakha v. Zinner</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(1994) 157 A.R. 279</w:t>
        </w:r>
      </w:hyperlink>
      <w:r>
        <w:rPr>
          <w:rFonts w:ascii="arial" w:eastAsia="arial" w:hAnsi="arial" w:cs="arial"/>
          <w:color w:val="000000"/>
          <w:sz w:val="20"/>
          <w:lang w:val="en-US" w:eastAsia="en-US" w:bidi="ar-SA"/>
        </w:rPr>
        <w:t xml:space="preserve"> (Alta. C.A.), Harradence J.A. described the duty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solicitor is in a fiduciary relationship to his client and must avoid situations </w:t>
      </w:r>
      <w:r>
        <w:rPr>
          <w:rFonts w:ascii="arial" w:eastAsia="arial" w:hAnsi="arial" w:cs="arial"/>
          <w:color w:val="000000"/>
          <w:sz w:val="20"/>
          <w:u w:val="single"/>
          <w:lang w:val="en-US" w:eastAsia="en-US" w:bidi="ar-SA"/>
        </w:rPr>
        <w:t>where he has, or potentially may</w:t>
      </w:r>
      <w:r>
        <w:rPr>
          <w:rFonts w:ascii="arial" w:eastAsia="arial" w:hAnsi="arial" w:cs="arial"/>
          <w:color w:val="000000"/>
          <w:sz w:val="20"/>
          <w:lang w:val="en-US" w:eastAsia="en-US" w:bidi="ar-SA"/>
        </w:rPr>
        <w:t>, develop a conflict of interests: . . . . The logic behind this is cogent in that a solicitor must be able to provide his client with complete and undivided loyalty, dedication, full disclosure, and good faith, all of which may be jeopardized if more than one interest is represented. [para. 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emphasize the phrase "where he has, or potentially may develop" to make the point that even if the agreement, properly construed, had given the lawyer an option to acquire an interest, as opposed to an immediate entitlement, the conflict would arise immediately.) [Underlining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acknowledge that we are not concerned with "risks" in this case. I also appreciate that as stated in </w:t>
      </w:r>
      <w:r>
        <w:rPr>
          <w:rFonts w:ascii="arial" w:eastAsia="arial" w:hAnsi="arial" w:cs="arial"/>
          <w:i/>
          <w:color w:val="000000"/>
          <w:sz w:val="20"/>
          <w:lang w:val="en-US" w:eastAsia="en-US" w:bidi="ar-SA"/>
        </w:rPr>
        <w:t>Clark Boyce</w:t>
      </w:r>
      <w:r>
        <w:rPr>
          <w:rFonts w:ascii="arial" w:eastAsia="arial" w:hAnsi="arial" w:cs="arial"/>
          <w:color w:val="000000"/>
          <w:sz w:val="20"/>
          <w:lang w:val="en-US" w:eastAsia="en-US" w:bidi="ar-SA"/>
        </w:rPr>
        <w:t xml:space="preserve"> at 275, it would pose an "intolerable burden" on solicitors if they were expected to offer advice on any matter that might affect their clients' interests, regardless of how remote the connection to the subject-matter of the retainer. However, authorities concerning the scope of a lawyer's duty of care for purposes of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concerning the scope of a lawyer's contractual obligation to provide advice, are of limited relevance where a conflict of interest is concerned. </w:t>
      </w:r>
      <w:r>
        <w:rPr>
          <w:rFonts w:ascii="arial" w:eastAsia="arial" w:hAnsi="arial" w:cs="arial"/>
          <w:color w:val="000000"/>
          <w:sz w:val="20"/>
          <w:u w:val="single"/>
          <w:lang w:val="en-US" w:eastAsia="en-US" w:bidi="ar-SA"/>
        </w:rPr>
        <w:t>Such a conflict must always be disclosed and the solicitor must withdraw from the position of conflict unless his client gives an informed consent.</w:t>
      </w:r>
      <w:r>
        <w:rPr>
          <w:rFonts w:ascii="arial" w:eastAsia="arial" w:hAnsi="arial" w:cs="arial"/>
          <w:color w:val="000000"/>
          <w:sz w:val="20"/>
          <w:lang w:val="en-US" w:eastAsia="en-US" w:bidi="ar-SA"/>
        </w:rPr>
        <w:t xml:space="preserve"> It is hardly necessary to state that this context is not governed by the law of the marketplace or of contract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but by the principles of "trust, confidence, and independence":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La Forest J.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at 415.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Mr. Winstanley for the defendants makes it clear that he does not suggest that the other lawyers retained by Ms. Jetha after Mr. Lakhani were negligent in any way. Nor does he suggest that Mr. Lakhani's conduct was fraudulent. Instead, he argues that a breach of fiduciary obligation is equitable fraud and is not barred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abuse of process or any limitation period. It was only when Ms. Jetha received competent independent legal advice from him (that she has an equitable right to set aside the bargains) that Mr. Lakhani's continuing fiduciary duty to her came to an end. Until then, the advice she received from the other lawyers may have been independent legal advice, but it was not competent independent legal advice. Therefore Ms. Jetha is now aware of her cause of action in equity and meets "the criteria of discoverability" set out in </w:t>
      </w:r>
      <w:r>
        <w:rPr>
          <w:rFonts w:ascii="arial" w:eastAsia="arial" w:hAnsi="arial" w:cs="arial"/>
          <w:i/>
          <w:color w:val="000000"/>
          <w:sz w:val="20"/>
          <w:lang w:val="en-US" w:eastAsia="en-US" w:bidi="ar-SA"/>
        </w:rPr>
        <w:t>M.(K.) v. M.(H.)</w:t>
      </w:r>
      <w:r>
        <w:rPr>
          <w:rFonts w:ascii="arial" w:eastAsia="arial" w:hAnsi="arial" w:cs="arial"/>
          <w:color w:val="000000"/>
          <w:sz w:val="20"/>
          <w:lang w:val="en-US" w:eastAsia="en-US" w:bidi="ar-SA"/>
        </w:rPr>
        <w:t>; whether there has been delay, acquiescence or estoppel, equity "is far more forgiving".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conceded by the defendants that Mr. Valji is under no fiduciary duty towards Ms. Jetha or Sahara Inc. However, the defendants argue that Mr. Valji has actual knowledge of Mr. Lakhani's breach of fiduciary duty because the draft unsigned and unfiled writ of summons that Mr. Lakhani e-mailed to Ms. Chee on August 22, 2009 shows Mr. Lakhani as the plaintiffs' solicitor, and the plaintiffs were Chancery, Mr. Tejani, and Mr. Valji. Therefore actual knowledge of Mr. Lakhani regarding his breach of fiduciary duty to Ms. Jetha is "imputable to Mr. Valji".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Allison v. Clayhills</w:t>
      </w:r>
      <w:r>
        <w:rPr>
          <w:rFonts w:ascii="arial" w:eastAsia="arial" w:hAnsi="arial" w:cs="arial"/>
          <w:color w:val="000000"/>
          <w:sz w:val="20"/>
          <w:lang w:val="en-US" w:eastAsia="en-US" w:bidi="ar-SA"/>
        </w:rPr>
        <w:t xml:space="preserve"> as establishing that Mr. Lakhani had a continuing duty to Ms. Jetha throughout, but in my view the facts in that case do not assist Ms. Jetha. In that case, Mr. Clayhills was a solicitor who also carried on business as a brewer. He provided to Mr. Allison, who was an innkeeper, both legal services and beer and malt liquor for his inn. Mr. Clayhills entered into a lease (drawn up by his clerk) with Mr. Alison with an option to purchase at the end of the term at a fixed price. The executors and trustees of Mr. Allison's estate sought to set aside the lease on the basis that it was executed during the relationship of solicitor and client. Mr. Justice Parker made it clear that even where the solicitor buys from his own client, the outcome must depend on the facts. Although Mr. Clayhills acted for Mr. Allison from time to time, he had "really no opportunity of getting into such intimate relations with Allison as would give rise to any presumption of ascendancy or personal influence". When Mr. Clayhills asked Mr. Allison if he wanted to have the lease read over by anyone else, Mr. Allison said no. The bargain was essentially fair. The Court found that while Mr. Allison was old and barely literate, he was a shrewd man of business and "knew how to look after his own interests", that Mr. Clayhills had no personal influence over him, and that in this bargain Mr. Clayhills was not acting as his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What is important from </w:t>
      </w:r>
      <w:r>
        <w:rPr>
          <w:rFonts w:ascii="arial" w:eastAsia="arial" w:hAnsi="arial" w:cs="arial"/>
          <w:i/>
          <w:color w:val="000000"/>
          <w:sz w:val="20"/>
          <w:lang w:val="en-US" w:eastAsia="en-US" w:bidi="ar-SA"/>
        </w:rPr>
        <w:t>Allison</w:t>
      </w:r>
      <w:r>
        <w:rPr>
          <w:rFonts w:ascii="arial" w:eastAsia="arial" w:hAnsi="arial" w:cs="arial"/>
          <w:color w:val="000000"/>
          <w:sz w:val="20"/>
          <w:lang w:val="en-US" w:eastAsia="en-US" w:bidi="ar-SA"/>
        </w:rPr>
        <w:t xml:space="preserve"> is the following passage by Mr. Justice Parker at 711-712: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appears to me to be quite clear that a solicitor is not wholly incapacitated from purchasing or taking a lease from his client, but, where the relationship of solicitor and client exists, the onus of upholding the vitality of such a transaction will rest upon the solicitor. It is, I think, equally clear that, although the relationship of solicitor and client in its strict sense has been discontinued, the same principle applies as long as the confidence naturally arising from such a relationship is proved or may be presumed to continue. There are cases in which it is laid down that this principle only applies when the solicitor is the solicitor of his client in </w:t>
      </w:r>
      <w:r>
        <w:rPr>
          <w:rFonts w:ascii="arial" w:eastAsia="arial" w:hAnsi="arial" w:cs="arial"/>
          <w:color w:val="000000"/>
          <w:sz w:val="20"/>
          <w:u w:val="single"/>
          <w:lang w:val="en-US" w:eastAsia="en-US" w:bidi="ar-SA"/>
        </w:rPr>
        <w:t>the particular transaction</w:t>
      </w:r>
      <w:r>
        <w:rPr>
          <w:rFonts w:ascii="arial" w:eastAsia="arial" w:hAnsi="arial" w:cs="arial"/>
          <w:color w:val="000000"/>
          <w:sz w:val="20"/>
          <w:lang w:val="en-US" w:eastAsia="en-US" w:bidi="ar-SA"/>
        </w:rPr>
        <w:t xml:space="preserve"> the validity of which is in dispute; but, in my opinion, that only means that when the relationship is of such a nature that it does not impose on the solicitor any duty towards his client in the particular transaction, then the principle has no application. It does not mean, in my opinion, that the principle has no application in any case in which the solicitor is not in the particular transaction actually retained by or actually acting for his client under such circumstances that if he neglected his professional duty he would be liable to an action at law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even if he be no longer so retained or acting, his duties in the contemplation of a court of equity may still be such as to throw upon him the onus of upholding the validity of a purchase or a lease from his client. ... If he owes his client any duty in the particular transaction, the equal footing on which the parties to any bargain should stand is impaired or destroyed, and the solicitor is, I think, solicitor </w:t>
      </w:r>
      <w:r>
        <w:rPr>
          <w:rFonts w:ascii="arial" w:eastAsia="arial" w:hAnsi="arial" w:cs="arial"/>
          <w:i/>
          <w:color w:val="000000"/>
          <w:sz w:val="20"/>
          <w:lang w:val="en-US" w:eastAsia="en-US" w:bidi="ar-SA"/>
        </w:rPr>
        <w:t>in hac re</w:t>
      </w:r>
      <w:r>
        <w:rPr>
          <w:rFonts w:ascii="arial" w:eastAsia="arial" w:hAnsi="arial" w:cs="arial"/>
          <w:color w:val="000000"/>
          <w:sz w:val="20"/>
          <w:lang w:val="en-US" w:eastAsia="en-US" w:bidi="ar-SA"/>
        </w:rPr>
        <w:t xml:space="preserve"> within the meaning of the decisions although not retained to act as solicitor in the transaction or, indeed, in any pending transaction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considering whether </w:t>
      </w:r>
      <w:r>
        <w:rPr>
          <w:rFonts w:ascii="arial" w:eastAsia="arial" w:hAnsi="arial" w:cs="arial"/>
          <w:color w:val="000000"/>
          <w:sz w:val="20"/>
          <w:u w:val="single"/>
          <w:lang w:val="en-US" w:eastAsia="en-US" w:bidi="ar-SA"/>
        </w:rPr>
        <w:t>in any particular transaction</w:t>
      </w:r>
      <w:r>
        <w:rPr>
          <w:rFonts w:ascii="arial" w:eastAsia="arial" w:hAnsi="arial" w:cs="arial"/>
          <w:color w:val="000000"/>
          <w:sz w:val="20"/>
          <w:lang w:val="en-US" w:eastAsia="en-US" w:bidi="ar-SA"/>
        </w:rPr>
        <w:t xml:space="preserve"> any duty exists such as to bring the ordinary rule into operation, all the circumstances of the individual case must be weighed and examined.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While some of the older cases that the defendants rely on indicate that a client cannot be found to have acquiesced to a breach of fiduciary duty, or be guilty of laches unless the client has full knowledge of his or her legal and equitable rights at the time of the conduct, the law has evolved and changed up to the present. What is important is whether the client has full knowledge of the facts on which his or her claim could be based; not whether the client has full knowledge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difficulty I find with the argument that Mr. Lakhani failed to provide any information of importance to her subsequent lawyers is that Ms. Jetha knew all of the facts and she admittedly gave all of the facts and "anything of value" to her successive counsel including Mr. Anderson and Bull Housser &amp; Tupper. It makes little sense for Mr. Lakhani to inform Ms. Jetha's subsequent counsel of facts that she knew and that were clearly put in issue or alleged in the statement of claim in the first proceeding which set out the facts in excruciating detail. Another difficulty with the argument is that Mr. Lakhani believed from what he was told by Ms. Jetha that she had obtained independent legal advice, and it seems somewhat odd for one lawyer to inform another lawyer of a right -- that Ms. Jetha has the right to bring an action against him -- when he does not believe that she has such a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my view, Ms. Jetha clearly understood there may have been a conflict of interest when on August 31, 2005 she forwarded to Ms. Chee, who was then her lawyer, a copy of a Law Society extract containing the warning to lawyers that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Public</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Lawyer Conduct &amp; Complaints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Society requires lawyers to practise law ethically and competently. For example, a lawyer should: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act in a conflict of interest (such as improperly acting against a former client or improperly sharing a business interest with a client).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When there are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Sometimes people have questions or concerns about a lawyer's actions or lack of action. A good first step is to talk to the lawyer or the lawyer's firm. Misunderstandings can arise because of a lack of communication. Often you can resolve these misunderstandings simply by discussing your concerns. If not, you can write or call the Law Society's Professional Conduct Department.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Society has authority to review the conduct and competence of all BC lawyers, including lawyers in private practice, legal aid lawyers, government lawyers and Crown prosecutors. The Law Society can also review the conduct of a lawyer outside the practice of law if the conduct reflects badly on the legal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an experienced realtor and real estate investor Ms. Jetha must be taken to understand the issue of conflicts of interest. It is nothing new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Jetha may be stressed from the litigation commenced by Chancery to enforce its legal right, but that does not equate to Mr. Lakhani exerting undue influence over her. Mr. Andersen knew from his discussions with Ms. Jetha and from what was alleged in the statement of claim in the first proceeding that Ms. Jetha was under stress, and he clearly understood there was the potential for a conflict of interest argument. On November 21, 2005 in an e-mail to Mr. Lakhani, Mr. Andersen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experience the Courts do not look particularly favourably upon counsel who find themselves in this type of circumstance with a former client. I do not believe that your characterization of Jetha's actions constitutes fraud or dishonesty at all but reflects the stress of a client dealing with her then lawyer in a business matter in a high pressure situation where she was the only Party who was at risk to lose a substantial amount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find that Mr. Lakhani withdrew as Ms. Jetha's lawyer before the Property purchase completed and after he had written or told her more than 15 times that she needed to obtain independent legal advice. If I am wrong, it surely cannot be said that Mr. Lakhani was acting for her and in a position of conflict when the first proceeding was commenced by Chancery because then they were adverse in interest, and Ms. Jetha was represented by Mr. Andersen.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argument that a claim for breach of fiduciary duty is not barred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abuse of process is erroneous. In </w:t>
      </w:r>
      <w:r>
        <w:rPr>
          <w:rFonts w:ascii="arial" w:eastAsia="arial" w:hAnsi="arial" w:cs="arial"/>
          <w:i/>
          <w:color w:val="000000"/>
          <w:sz w:val="20"/>
          <w:lang w:val="en-US" w:eastAsia="en-US" w:bidi="ar-SA"/>
        </w:rPr>
        <w:t>Hoque v. Montreal Trust Co. of Canada</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(1997), 162 N.S.R. (2d) 321</w:t>
        </w:r>
      </w:hyperlink>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[1997] N.S.J. No. 430</w:t>
        </w:r>
      </w:hyperlink>
      <w:r>
        <w:rPr>
          <w:rFonts w:ascii="arial" w:eastAsia="arial" w:hAnsi="arial" w:cs="arial"/>
          <w:color w:val="000000"/>
          <w:sz w:val="20"/>
          <w:lang w:val="en-US" w:eastAsia="en-US" w:bidi="ar-SA"/>
        </w:rPr>
        <w:t xml:space="preserve"> (C.A.), and in </w:t>
      </w:r>
      <w:r>
        <w:rPr>
          <w:rFonts w:ascii="arial" w:eastAsia="arial" w:hAnsi="arial" w:cs="arial"/>
          <w:i/>
          <w:color w:val="000000"/>
          <w:sz w:val="20"/>
          <w:lang w:val="en-US" w:eastAsia="en-US" w:bidi="ar-SA"/>
        </w:rPr>
        <w:t>Bank of British Columbia v. Singh</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(1989), 17 B.C.L.R. (2d) 256</w:t>
        </w:r>
      </w:hyperlink>
      <w:r>
        <w:rPr>
          <w:rFonts w:ascii="arial" w:eastAsia="arial" w:hAnsi="arial" w:cs="arial"/>
          <w:color w:val="000000"/>
          <w:sz w:val="20"/>
          <w:lang w:val="en-US" w:eastAsia="en-US" w:bidi="ar-SA"/>
        </w:rPr>
        <w:t xml:space="preserve"> (S.C.), claims for breach of fiduciary duty were struck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Mr. Winstanley concedes that Ms. Jetha made admissions of fact in her two affidavits from which she cannot resile. The admissions of fact are that Chancery and Mr. Valji had a beneficial interest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main thrust of the defendants' argument is that Mr. Lakhani breached his fiduciary duty towards Ms. Jetha and therefore the bargains he made with her must be set aside. However the important point is not whether Mr. Lakhani was acting in a conflict of interest, or in breach of fiduciary duty (it is questionable whether Ms. Jetha would have succeeded in her claim), the point is that there was a time where Ms. Jetha could have and should have advanced that claim and that was during the first proceeding or the partition proceeding. It is now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With respect to the claim against Mr. Valji, the writ of summons and statement of claim was filed by Edward F. Macaulay as solicitor for the plaintiffs, and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Mr. Lakhani. A case against Mr. Valji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only evidence of Ms. Jetha that seems to bear on Ms. Nathu is that she is Mr. Lakhani's wife and a lawyer. A case against Ms. Nathu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For all of the reasons and arguments advanced by the plaintiffs I order:</w:t>
      </w:r>
      <w:r>
        <w:rPr>
          <w:rFonts w:ascii="arial" w:eastAsia="arial" w:hAnsi="arial" w:cs="arial"/>
          <w:sz w:val="20"/>
          <w:lang w:val="en-US" w:eastAsia="en-US" w:bidi="ar-SA"/>
        </w:rPr>
        <w:cr/>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3 - 19, 21(d) - (i), 22 - 24, 27(n) - (s), 29 - 37, 39(v), 42, 46 and 48 (the "impugned paragraphs") of the further amended statement of defence and the entire amended counterclaim in action number S094923 is struck out; and</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amended statement of defence and counterclaim in action number S054717 is struck out and action number S054717 is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parties wish to speak to the issue of costs, and may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6"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Cowen v. Gray, [2001] B.C.J. No. 662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received: November 15,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March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S058316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662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487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104 A.C.W.S. (3d) 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487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CarswellBC 779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Eileen Cowen, plaintiff, and Dr. David W. Gray,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7"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6" w:name="Keywords_40"/>
      <w:bookmarkEnd w:id="286"/>
      <w:r>
        <w:rPr>
          <w:rFonts w:ascii="arial" w:eastAsia="arial" w:hAnsi="arial" w:cs="arial"/>
          <w:b/>
          <w:color w:val="000000"/>
          <w:sz w:val="20"/>
          <w:lang w:val="en-US" w:eastAsia="en-US" w:bidi="ar-SA"/>
        </w:rPr>
        <w:t xml:space="preserve">Limitation of actions — Actions in 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When time begins to run — Persons under disability and exemptions and exclusions — Persons under disability, what constitutes — Suspension of time — Postponement or suspension of statute — Mental incompetence.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7" w:name="Case Summary_38"/>
            <w:bookmarkEnd w:id="28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Gray, to dismiss Cowen's action on the ground that it was statute barred. Cowen commenced a medical malpractice action against Gray in February 2000, as a result of a motor vehicle collision in August 1995. Cowen claimed that, after taking medication as instructed by Gray, she lost consciousness while driving and her car left the road. She alleged that she suffered a closed head injury, post-traumatic stress, headaches, anxiety, sleeplessness and shock. Although the two-year limitation period under the Limitation Act had expired, Cowen claimed that the running of the time was postponed pursuant to section 7(1)(a)(ii) of the Limitation Act, as she was incapable of or substantially impeded in managing her affairs. She relied on Gray's acknowledgement that for a period of time it was difficult for her to handle her day-to-day affairs. She also relied upon clinical records which confirmed her injuries, and the fact that she was unable to be gainfully employed.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8" w:name="Holdings of Court_36"/>
            <w:bookmarkEnd w:id="288"/>
            <w:r>
              <w:rPr>
                <w:rFonts w:ascii="arial" w:eastAsia="arial" w:hAnsi="arial" w:cs="arial"/>
                <w:color w:val="000000"/>
                <w:sz w:val="20"/>
                <w:lang w:val="en-US" w:eastAsia="en-US" w:bidi="ar-SA"/>
              </w:rPr>
              <w:t>HELD: Application allowed and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Cowen failed to discharge the onus of proving that she was incapable of or substantially impeded in managing her affairs until February 1998. Gray's acknowledgement that Cowen had difficulties handling her affairs did not meet the requisite standard of proof. The clinical records did not establish incapacity or a substantial impediment within the meaning of section 7 of the Act. Nor could Cowen rely on section 6(4)(b), which postponed the running of the time where the plaintiff's circumstances were so serious, significant and compelling as to warrant the postponement of the running of the time. Although Cowen suffered considerable pain and discomfort in the years following the accident, her hold on life was not so tenuous either physically or mentally, and litigation would not have been so overwhelming as to make it impossible for her to have initiated an action earlier than she did.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9" w:name="Legislation Cited_30"/>
      <w:bookmarkEnd w:id="28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8"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ss. 3, 3(2)(a), 6, 6(4)(b), 7, 7(1)(a)(ii), 7(9).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0" w:name="Counsel_41"/>
      <w:bookmarkEnd w:id="29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9"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D.W. Blinkhorn, for the plaintiff. B.W. Stock,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1" w:name="Judgment_41"/>
      <w:bookmarkEnd w:id="291"/>
      <w:r>
        <w:pict>
          <v:line id="_x0000_s1230"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2" w:name="DROST J."/>
            <w:bookmarkEnd w:id="292"/>
            <w:r>
              <w:rPr>
                <w:rFonts w:ascii="arial" w:eastAsia="arial" w:hAnsi="arial" w:cs="arial"/>
                <w:b/>
                <w:color w:val="000000"/>
                <w:sz w:val="30"/>
                <w:lang w:val="en-US" w:eastAsia="en-US" w:bidi="ar-SA"/>
              </w:rPr>
              <w:t>DROST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pursuant to Rule 18A of the Rules of Court, for an order that the action be dismissed with costs. The sole issue is whether the action is barred by the provisions of the Limitation Act, </w:t>
      </w:r>
      <w:hyperlink r:id="rId29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August 11, 1995, the plaintiff consulted the defendant, who had been her family doctor for approximately 30 years, about feelings of dizziness and nausea she had experienced while driving. Mrs. Cowen claims that, after examining her, Dr. Gray negligently "instructed" her to obtain Gravol tablets and take two every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Dr. Gray, on the other hand, says that after examining Ms. Cowen on August 11, 1995, he "queried" whether she might have a viral labyrinthis, a condition which he says may cause a person to feel slightly seasick with activity, and "suggested" that she purchase some Gravol tablets and use them if she continued to feel dizzy or nauseous.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any event, Ms. Cowen bought some Gravol at about noon that day and immediately took two tablets, followed by two more tablets at about 4:00 p.m. and again at 8:00 p.m.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Cowen admits that she did not read the dosage instructions or the caution printed on the box containing the bottle of tablets which, in part,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CAUSE DROWSINESS. AVOID DRIVING A MOTOR VEHICLE OR PERFORMING TASKS REQUIRING MENTAL ALERTNESS. Avoid alcoholic beverages....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That evening, Ms. Cowen attended a dinner function during which she admits consuming two glasses of wine. She deposed that she is not sure of exactly when she drank the wine, but that it was in the early part of the evening, not later than 9:00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approximately 11:45 p.m. that evening, while driving home from the dinner, she lost consciousness and her car left the road. She alleges that, as a result of the accident, she suffered significant injuries including a closed head injury, a cranofacial injury, post-traumatic stress, headaches, anxiety, sleeplessness and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Cowen attended at Dr. Gray's office the next day. He deposes that she told him about the accident and advised him that she had consumed three glasses of wine that evening, and that she had taken another Gravol tablet at approximately 10:30 p.m., just before she began the drive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February 10, 2000, approximately two and one half years beyond the statutory limitation period, Ms. Cowen commenced this action in which she seeks damages for alleged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Liability, causation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relevant provisions of sections 3, 6 and 7 of the Limitation Act </w:t>
      </w:r>
      <w:hyperlink r:id="rId294"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"Act"),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Limitation periods</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expiration of 2 years after the date on which the right to do so arose a person may not bring any of the following actions: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damages in respect of injury to person or property, including economic loss arising from the injury, whether based on contract, tort, or statutory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Running of time postponed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is a minor or incapable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section,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is under a disability while the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fact incapable of or substantially impeded in managing his or her affairs...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the time the right to bring an action arises, a person is under a disability, the running of time with respect to a limitation period set by this Act is postponed so long as that person is under a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of proving that the running of time has been postponed or suspended under this section is on the person claiming the benefit of the postponement or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Was the plaintiff, as she alleges, incapable or substantially impeded in the management of her affairs within the meaning of subsection 7(1)(a)(ii) of the Act for a period of two and one-half years, that is, from August 11, 1995, when the cause of action arose, until February 10, 1998, two years prior to the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should first point out that counsels' submissions were directed only to section 7 of the Act and these reasons relate primarily to that question. For completeness, I have also included in these reasons my conclusion regarding the effect of section 6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on whom the onus rests, relies on two earlier decisions of this court: Wirtanen v. British Columbia </w:t>
      </w:r>
      <w:hyperlink r:id="rId868" w:history="1">
        <w:r>
          <w:rPr>
            <w:rFonts w:ascii="arial" w:eastAsia="arial" w:hAnsi="arial" w:cs="arial"/>
            <w:i/>
            <w:color w:val="0077CC"/>
            <w:sz w:val="20"/>
            <w:u w:val="single"/>
            <w:shd w:val="clear" w:color="auto" w:fill="FFFFFF"/>
            <w:lang w:val="en-US" w:eastAsia="en-US" w:bidi="ar-SA"/>
          </w:rPr>
          <w:t>(1994), 98 B.C.L.R. (2d) 335</w:t>
        </w:r>
      </w:hyperlink>
      <w:r>
        <w:rPr>
          <w:rFonts w:ascii="arial" w:eastAsia="arial" w:hAnsi="arial" w:cs="arial"/>
          <w:color w:val="000000"/>
          <w:sz w:val="20"/>
          <w:lang w:val="en-US" w:eastAsia="en-US" w:bidi="ar-SA"/>
        </w:rPr>
        <w:t xml:space="preserve">, and Evans v. Vancouver Port Corp. </w:t>
      </w:r>
      <w:hyperlink r:id="rId869" w:history="1">
        <w:r>
          <w:rPr>
            <w:rFonts w:ascii="arial" w:eastAsia="arial" w:hAnsi="arial" w:cs="arial"/>
            <w:i/>
            <w:color w:val="0077CC"/>
            <w:sz w:val="20"/>
            <w:u w:val="single"/>
            <w:shd w:val="clear" w:color="auto" w:fill="FFFFFF"/>
            <w:lang w:val="en-US" w:eastAsia="en-US" w:bidi="ar-SA"/>
          </w:rPr>
          <w:t>(1988), 30 B.C.L.R. (2d) 265</w:t>
        </w:r>
      </w:hyperlink>
      <w:r>
        <w:rPr>
          <w:rFonts w:ascii="arial" w:eastAsia="arial" w:hAnsi="arial" w:cs="arial"/>
          <w:color w:val="000000"/>
          <w:sz w:val="20"/>
          <w:lang w:val="en-US" w:eastAsia="en-US" w:bidi="ar-SA"/>
        </w:rPr>
        <w:t xml:space="preserve"> (reversed on other grounds </w:t>
      </w:r>
      <w:hyperlink r:id="rId870" w:history="1">
        <w:r>
          <w:rPr>
            <w:rFonts w:ascii="arial" w:eastAsia="arial" w:hAnsi="arial" w:cs="arial"/>
            <w:i/>
            <w:color w:val="0077CC"/>
            <w:sz w:val="20"/>
            <w:u w:val="single"/>
            <w:shd w:val="clear" w:color="auto" w:fill="FFFFFF"/>
            <w:lang w:val="en-US" w:eastAsia="en-US" w:bidi="ar-SA"/>
          </w:rPr>
          <w:t>(1989), 42 B.C.L.R. (2d) 174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Wirtanen, Maczko J. canvassed a good many authorities relating to s. 7 of the Act and concluded that the standard to be met in demonstrating a disability is "relatively low". He summarized his views by stating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considered the following factors when determining whether Mrs. Wirtanen was "disabled" under the Limitation Act: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cognizant of the facts giving rise to the cause of action? For example, is the plaintiff aware that there was a motor vehicle accidence, that she was injured and may be able to sue and collect money?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plaintiff understand the nature and purpose of the proceedings, including the respective roles of judge, jury and counsel?</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plaintiff comprehend the personal import of the proceedings? Is she able to form a rational judgment about the effect of the action on her interests? Specifically, she must be able to understand what costs mean and comprehend enough of the information provided to her to appreciate the consequences of winning and losing.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able to comprehend legal advice being given to her? Is she able to instruct counsel and make critical decisions on counsel's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Justice Maczko went on to state that he did not consider those factors to be definitive; rather, they are only some of the factors to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Wirtanen, the plaintiff had suffered "an extremely severe traumatic brain injury". She had suffered post-traumatic amnesia for 12 weeks. She was confined to a wheelchair, had no control over her bladder, was significantly cognitively impaired, could not cook, needed assistance in toileting, dressing, feeding and transporting herself and was dependant on Ritalin. Doctors' opinions were submitted at trial indicating the plaintiff was "substantially impeded in the management of her affairs". On the basis of that evidence and the factors he took into account, Maczko J. found the plaintiff to be disabled "by virtually any standard one might wish to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Evans v. Vancouver Port Corp. </w:t>
      </w:r>
      <w:hyperlink r:id="rId869" w:history="1">
        <w:r>
          <w:rPr>
            <w:rFonts w:ascii="arial" w:eastAsia="arial" w:hAnsi="arial" w:cs="arial"/>
            <w:i/>
            <w:color w:val="0077CC"/>
            <w:sz w:val="20"/>
            <w:u w:val="single"/>
            <w:shd w:val="clear" w:color="auto" w:fill="FFFFFF"/>
            <w:lang w:val="en-US" w:eastAsia="en-US" w:bidi="ar-SA"/>
          </w:rPr>
          <w:t>(1988), 30 B.C.L.R. (2d) 265</w:t>
        </w:r>
      </w:hyperlink>
      <w:r>
        <w:rPr>
          <w:rFonts w:ascii="arial" w:eastAsia="arial" w:hAnsi="arial" w:cs="arial"/>
          <w:color w:val="000000"/>
          <w:sz w:val="20"/>
          <w:lang w:val="en-US" w:eastAsia="en-US" w:bidi="ar-SA"/>
        </w:rPr>
        <w:t xml:space="preserve"> (S.C.), reversed on other grounds </w:t>
      </w:r>
      <w:hyperlink r:id="rId870" w:history="1">
        <w:r>
          <w:rPr>
            <w:rFonts w:ascii="arial" w:eastAsia="arial" w:hAnsi="arial" w:cs="arial"/>
            <w:i/>
            <w:color w:val="0077CC"/>
            <w:sz w:val="20"/>
            <w:u w:val="single"/>
            <w:shd w:val="clear" w:color="auto" w:fill="FFFFFF"/>
            <w:lang w:val="en-US" w:eastAsia="en-US" w:bidi="ar-SA"/>
          </w:rPr>
          <w:t>(1989), 42 B.C.L.R. (2d) 174</w:t>
        </w:r>
      </w:hyperlink>
      <w:r>
        <w:rPr>
          <w:rFonts w:ascii="arial" w:eastAsia="arial" w:hAnsi="arial" w:cs="arial"/>
          <w:color w:val="000000"/>
          <w:sz w:val="20"/>
          <w:lang w:val="en-US" w:eastAsia="en-US" w:bidi="ar-SA"/>
        </w:rPr>
        <w:t xml:space="preserve"> (C.A.), the plaintiff alleged that he was "disabled" within the meaning of s. 7 of the Act because certain provisions of the Workers Compensation Act, and actions of the Workers Compensation Board, prevented him from initiating a cause of action within the limitations period. In other words, the plaintiff was not suffering a physical disability, but rather was statutorily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dismissing the plaintiff's action on the ground that it was barred by the Limitation Act, Gibbs J. referred to the following passage from the decision of Joyal J. of the Federal Court Trial Division in Scott v. Canada </w:t>
      </w:r>
      <w:hyperlink r:id="rId871" w:history="1">
        <w:r>
          <w:rPr>
            <w:rFonts w:ascii="arial" w:eastAsia="arial" w:hAnsi="arial" w:cs="arial"/>
            <w:i/>
            <w:color w:val="0077CC"/>
            <w:sz w:val="20"/>
            <w:u w:val="single"/>
            <w:shd w:val="clear" w:color="auto" w:fill="FFFFFF"/>
            <w:lang w:val="en-US" w:eastAsia="en-US" w:bidi="ar-SA"/>
          </w:rPr>
          <w:t>(1986), 4 F.T.R. 241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 "disability", according to these dictionary definitions, lends itself to two meanings, one strictly juridical, and the other more generic. When speaking of a minor, the term is strictly juridical. When it speaks of disability resulting in incapacity or impediment to managing one's affairs, the word "disability" may take on any number of meanings. A rough outline of circumstances when disability of that nature might be found might include physical or mental illness, a lengthy period of coma following a grievous accident, temporary loss of memory, exterior constraints including ship-wreck or incarceration in a foreign prison with any communications denied, all in all, physical or mental incapacity of the person or exterior forces beyond his control which substantially impede him from managing his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Justice Gibbs noted that Joyal J.'s description of the term disability "accords with what a reasonable man would understand to be the meaning of the expression" and counsel for the plaintiff cites that statement as authority for the proposition that the word "disability" as it is used in s. 7 of the Act should be given the meaning that a reasonable person would apply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do not agree and I do not think that was Mr. Justice Gibbs' intent. In my view, the word "disability" must be given the meanings defined in s. 7(1)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consider it necessary to conduct a detailed review of the authorities cited by the defendant in support of this application. However, it is worth noting that in all the cases in which the plaintiff was found to be disabled, a doctor's opinion had been submitted to the court indicating that the plaintiff was substantially impeded in the management of his or her daily affairs. The only case in which the plaintiff failed to provided such medical opinion evidence is also the only case in which the plaintiff was found not to be disabled.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there is no legal requirement that the plaintiff provide medical opinion evidence, as noted above, s. 7(9) places the onus of proof on Ms. Cowen to establish that she was under a disability which rendered her incapable of, or substantially impeded in, the management of her affairs. In fact, I find it difficult to imagine how a plaintiff could successfully establish that he or she is "in fact incapable of or substantially impeded in managing his or her own affairs" absent medical evidence to support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written submissions, counsel for the plaintiff refers to the following evidence as support for such a finding:</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acknowledgement on examination for discovery that the plaintiff "is not able to handle her day to day affairs";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clinical records of the plaintiff which, he submits, establish that she suffered and continues to suffer from an illness that caused her to be unable, or at least substantially impeded her ability, to handle her affairs for "at least two years prior to the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following are the relevant questions asked of and answers given by or on behalf of the defendant during his examination for discovery by Mr. Blinkhorn on October 11, 2000, at which time Ms. Kimberly Brown appeared as counsel for Dr. Gray:</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Ms. Cowen's treating physician following the accident, you'd agree with me that she had some difficulties in concentration and cognitive function?</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You'd agree with me that Mrs. Cowen was having difficulties accepting her injuries? Emotional difficulties in accepting her injuries?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would you agree with me that when you met with her from time to time, the emotional impact of her injuries was the main focus of - I'll rephrase that. Following the accident when you would meet with her, would you agree with me that she had difficulties dealing with much else in her life other than her injuries that she suffered in that motor vehicle accident? If you're unclear on that question, I can try and rephrase it for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Brown:</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know that he can tell you what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Blinkhorn: -- he can give me his opinion as to what he believed her state of mind was in regards to her abilities to deal with what had happened to her, being a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Brown:</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he can tell you is what she told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Blinkhorn: He can form an opinion as to what his assessment of her mental state was at the time of the accident. Doctors do that all the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Brown: You can answer that, if you can. I don't know how he can possibly tell you what was in her mind.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Blinkhorn: I'm not asking what was in her mind, I'm asking for his opinion on what he believed her ability was to handle her affairs following this accident. Why don't we say it that way.</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your opinion on her ability to be able to handle her affairs following her injuries?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obviously having difficulties. She's a -- I think the diagnosis was made of a post-traumatic stress, with what all that entails.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suggests that Dr. Gray's acknowledgement that she had "difficulties" handling her affairs following the accident amounts to an acknowledgement that she was, in fact, incapable of or substantially impeded in the management of her affairs during the relevant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not agree. In my view, his acknowledgement falls well short of meeting the requisite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also submits the medical evidence, including Dr. Gray's clinical records as well as certain medical reports, establishes that she was substantially impeded in managing her affairs for at least two years prior to the commencement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Gray's clinical records indicate that during the period August 11, 1995 to September 4, 1998, Ms. Cowen's primary medical problems were headaches, depression, short-term memory loss and chronic facial, neck and back pain. They do not establish incapacity or a substantial impediment.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 Canada Pension Plan Disability Reassessment Medical Report dated May 17, 2000, a Dr. Pereira stated that he considered the plaintiff to be "genuinely totally disabled". His diagnosis was as follows: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concussion syndrome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memory loss with black outs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syndrome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depression - [illegible]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[illegible] headache [illegible]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section of his Report entitled "Current Limitations", Dr. Pereira indicated that Ms. Cowen was "Unable to be gainfully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Pereira's opinion must be considered in light of the fact that his report was for the purposes of a Canada Pension Plan disability claim, a work-related benefit. Accordingly, his assessment was focussed specifically on Ms. Cowen's ability to work, not her ability to manage her day-to-day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neuropsychological consultation report prepared by Dr. Donald Meen, a clinical and counselling psychologist, and dated June 20, 1997, indicates Ms. Cowen the suffered from cognitive impairment which impeded her return to work. But by all other standards, Ms. Cowen was considered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neither of those reports support a finding of disability within the meaning of s.7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summary, I find that the medical evidence is insufficient to support the conclusion that Mrs. Cowen was, until at least February 10, 1998, incapable of or substantially impeded in managing her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Next, taking account of the factors listed by Maczko J. in Wirtanen, I find that the evidence as a whole fails to support the conclusion that Ms. Cowen was not cognizant of the facts giving rise to the cause of action, the nature and purpose of the proceedings, the consequences of the proceedings or any legal advice that has been given to her. She did suffer from depression, but there is no evidence to suggest that her mental distress was so overwhelming as to cloud her understanding of her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conclusion, I find that Ms. Cowen has failed to meet the onus of establishing, on a balance of probabilities, that she was throughout the relevant period in fact incapable of or substantially impeded in managing her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turn next to s. 6(4)(b) of the Act which, as set forth above, postpones the running of time until:</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the defendant is known to the plaintiff; and</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facts within the plaintiff's means of knowledge are such that a reasonable person, knowing those facts and having taken the appropriate advice a reasonable person would seek on those facts, would regard those facts as showing</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expiration of a limitation period, have a reasonable prospect of success,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Once again, the plaintiff bears the burden of proving that the running of time has been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First, it is clear that the identity of the defendant, Dr. Gray, has been known to the plaintiff since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Second, on the basis of the facts that I find were within the plaintiff's means of knowledge at the time, I will assume, for the purposes of this analysis only, that, having taken appropriate advice on those facts, a reasonable person would regard those facts as showing that an action on the cause of action the plaintiff now asserts would (apart from the limitation problem) have a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That leaves the question, whether the requirements of s.6(4)(b) have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Section 6(4)(b) was recently considered by the Supreme Court of Canada in Novak v. Bond </w:t>
      </w:r>
      <w:hyperlink r:id="rId872" w:history="1">
        <w:r>
          <w:rPr>
            <w:rFonts w:ascii="arial" w:eastAsia="arial" w:hAnsi="arial" w:cs="arial"/>
            <w:i/>
            <w:color w:val="0077CC"/>
            <w:sz w:val="20"/>
            <w:u w:val="single"/>
            <w:shd w:val="clear" w:color="auto" w:fill="FFFFFF"/>
            <w:lang w:val="en-US" w:eastAsia="en-US" w:bidi="ar-SA"/>
          </w:rPr>
          <w:t>(1999), 63 B.C.L.R. (3d) 41</w:t>
        </w:r>
      </w:hyperlink>
      <w:r>
        <w:rPr>
          <w:rFonts w:ascii="arial" w:eastAsia="arial" w:hAnsi="arial" w:cs="arial"/>
          <w:color w:val="000000"/>
          <w:sz w:val="20"/>
          <w:lang w:val="en-US" w:eastAsia="en-US" w:bidi="ar-SA"/>
        </w:rPr>
        <w:t>. There, McLachlin J. (as she then was), writing for the majority, noted that the phrase "ought...to be able to bring an action" is "troubling" and has led to a plethora of interpretations by B.C.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After reviewing four separate and distinct approaches taken by the British Columbia Court of Appeal, McLachlin J. stated, at para. 39, that the proper interpretation of the section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6(4)(b) requires the court to adopt the perspective of a reasonable person who knows the facts that are within the plaintiff's knowledge and has taken the appropriate advice a reasonable person would seek on those facts. Time does not begin to run until this reasonable person would conclude that someone in the plaintiff's position could, acting reasonably in light of his or her own circumstances and interests, bring an action. The question posed by s. 6(4)(b) therefore becomes: "in light of his or her own particular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concerns have no place in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para. 40, McLachlin J.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approach recognizes the special problems injured persons may encounter and the intense stresses and strains involved in litigation. It recognizes that in some cases, the plaintiff's own circumstances and interests may be so compelling that it cannot be reasonably said that he or she could bring an action within the prescribed limitation period. Finally, it makes practical sense. People ought to be encouraged to take steps short of litigation to deal with their problems. They should not be compelled to sue when to do so runs counter to a vital interest, such as the need to maintain their health in the face of a life-threatening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McLachlin J. stated clearly that the phrase "could bring an action" is normatively different from the phrase "should bring an action" as the former connotes practical ability while the latter connotes subjective choice. Thus, she states at para. 84, that s.6(4)(b):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refers to a time at which, in light of the plaintiff's particular situation, the bringing of a suit is reasonably possible, not when it would be ideal from the plaintiff's perspective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determining what "interests and circumstances" should be considered by the trial judge, McLachlin J. stated at para. 85 that the reasonable person would only consider that the plaintiff could not have brought an action at the time the right to do so first arose if the plaintiff's own interests and circumstances were "serious, significant, and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then provided the following as examples of when a plaintiff may not reasonably be able to bring an action when viewed objectively but with regard to the plaintiff's own situation:</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and strains of litigation would be overwhelming to him or her;</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possible damages recoverable would be minimal or speculative at best, or</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personal circumstances combined to make it unfeasible to initiate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stressed however, that "whether a particular circumstance or interest has the practical effect of preventing the plaintiff from being able to commence the action must be assessed in each individual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Novak, the plaintiff had complained to her doctor, Dr. Bond, about a lump and soreness in her left breast six times over the course of a year. Each time Dr. Bond told her she had nothing to worry about. Eventually she was referred to a specialist who diagnosed breast cancer. On October 9, 1990, she underwent a partial radical mastectomy and it was discovered that the cancer had spread to 12 of her 13 lymph nodes. Between October 1990 and April 1991 she underwent chemotherapy and radiation therapy. In late summer 1991, Ms. Novak considered whether to sue Dr. Bond but decided against it. She later explained that she made this decision in order to focus all her energies on attempting to recover from her illness. She felt that expending time and energy on a lawsuit would be harmful to her as it would require her to prove the likely recurrence of the very cancer she was trying desperately to eradicate.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Novak had no symptoms of cancer from April 1991 to May 1995. However, in May 1995 she was diagnosed with cancer of the spine, liver and lung. She commenced proceedings against Dr. Bond in April, 1996. The defendant argued that her action was statute-barred as it was commenced after the expiration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Supreme Court of Canada held that the running of time was postponed under s. 6(4)(b). The Court found that Novak was concerned with nothing less than how to maintain her threatened hold on life and that this was a serious and compelling concern by any measure. It held that it wasn't until May 1995, when Ms. Novak learned that the cancer had recurred, that a reasonable person would consider that, taking into account her own unique interests and circumstances, Ms. Novak reasonably could bring an action. As she had commenced the action 13 months after that date, she was not statute-barred.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Notwithstanding that Ms. Cowen suffered from a mental disability (loss of short term memory) as well as several physical illness, I am unable to find that her circumstances meet the requirements of s. 6(4)(b). While I accept that she suffered considerable pain and discomfort in the years following the accident, her interests and circumstances were not so "serious, significant, and compelling" as to warrant the postponement of the running of time until February 10,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no time was her hold on life "tenuous", either physically or mentally. The costs and strains of litigation would likely have been difficult for her, but there is no evidence to suggest they would have been "overwhelming". Nor do I believe that her circumstances combined to make it "unfeasible" for her to initiate an action earlier than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fact, it appears that Ms. Cowen's situation has not changed appreciably since the time of the accident. It seems that she still suffers from headaches, depression, back and neck pain and short term memory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summary, I find that Ms. Cowen has failed to satisfy the onus placed upon her of proving that the running of time has been postponed under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application is allowed and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is entitled to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1" style="position:absolute;z-index:251895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Gadhri v. 0760815 B.C. Ltd., [2016] B.C.J. No. 602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Burke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15-19, 22-26, 29, October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December 1-5 and 8, 2014; June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1-5, 8-12 and 16-19,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S129050, 134046, S130642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602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521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266 A.C.W.S. (3d) 486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B.L.R. (5th) 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808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Sarbjeet Gadhri, Plaintiff, and 0760815 B.C. Ltd., Defendants, and Harmadan Gadhri and Raj Kumar Gupta, Defendants by way of Counterclaim And between Harmadan Singh Gadhri, Plaintiff, and Simranjeet Singh Dhanoa, 0760815 B.C. Ltd., and 078528 B.C. Ltd., Defendants, and Harmadan Gadhri and Raj Kumar Gupta And between Raj Kumar Gupta, Plaintiff, and Harmadan Singh Gadhri,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2"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3" w:name="Keywords_41"/>
      <w:bookmarkEnd w:id="293"/>
      <w:r>
        <w:rPr>
          <w:rFonts w:ascii="arial" w:eastAsia="arial" w:hAnsi="arial" w:cs="arial"/>
          <w:b/>
          <w:color w:val="000000"/>
          <w:sz w:val="20"/>
          <w:lang w:val="en-US" w:eastAsia="en-US" w:bidi="ar-SA"/>
        </w:rPr>
        <w:t>Corporations, partnerships and associations law — Joint ventures — Relations of venturers to one another — Action by Gupta for debt and misappropriation of funds dismissed — Action by Gadhri for debt and breach of fiduciary duty dismissed — Action by Dhanoa for damages for abuse of process allowed — The actions related to a joint venture created to develop and sell a residential subdivision — No fiduciary duty was owed by Dhanoa to Gadhri — There was no misappropriation of funds and the loans had been repaid in full — Gadhri commenced litigation against Dhanoa and his numbered companies to punish him — Gadhri was to pay $25,000 in damages for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Fiduciary duty — Action by Gupta for debt and misappropriation of funds dismissed — Action by Gadhri for debt and breach of fiduciary duty dismissed — Action by Dhanoa for damages for abuse of process allowed — The actions related to a joint venture created to develop and sell a residential subdivision — No fiduciary duty was owed by Dhanoa to Gadhri — There was no misappropriation of funds and the loans had been repaid in full — Gadhri commenced litigation against Dhanoa and his numbered companies to punish him — Gadhri was to pay $25,000 in damages for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legal procedure or process — Abuse of process — Action by Gupta for debt and misappropriation of funds dismissed — Action by Gadhri for debt and breach of fiduciary duty dismissed — Action by Dhanoa for damages for abuse of process allowed — The actions related to a joint venture created to develop and sell a residential subdivision — No fiduciary duty was owed by Dhanoa to Gadhri — There was no misappropriation of funds and the loans had been repaid in full — Gadhri commenced litigation against Dhanoa and his numbered companies to punish him — Gadhri was to pay $25,000 in damages for abuse of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4" w:name="Case Summary_39"/>
            <w:bookmarkEnd w:id="29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Gupta against Gadhri for debt and misappropriation of funds. Action by Gadhri for debt and breach of fiduciary duty. Action by Dhanoa for damages for abuse of process. A joint venture was created to develop and sell a residential subdivision in Surrey, British Columbia. The parties involved were formerly close friends but their relationship broke down. The disputes turned primarily upon agreements and conduct between the parties in the joint venture and whether loans were repaid. Gadhri disputed the effect of many of the written documents and submitted that he did not understand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5" w:name="Holdings of Court_37"/>
            <w:bookmarkEnd w:id="295"/>
            <w:r>
              <w:rPr>
                <w:rFonts w:ascii="arial" w:eastAsia="arial" w:hAnsi="arial" w:cs="arial"/>
                <w:color w:val="000000"/>
                <w:sz w:val="20"/>
                <w:lang w:val="en-US" w:eastAsia="en-US" w:bidi="ar-SA"/>
              </w:rPr>
              <w:t>HELD: Gupta's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Ghadri's action dismissed. Dhanoa's action allowed. The parties were businessmen of similar bargaining strength. No fiduciary duty was owed by Dhanoa or the numbered companies to Gadhri. Gadhri was an experienced businessperson capable of understanding agreements and documents put before him. The agreements were valid and Gadhri was bound by all the agreements he signed. There was no misappropriation of funds and the loans had been repaid in full. Gadhri commenced litigation against Dhanoa and his numbered companies to punish him for not supporting Gadhri in his dispute with Gupta. Gadhri was therefore liable for abuse of process and was to pay $25,000 in damages to Dhanoa and the numbered companies.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6" w:name="Legislation Cited_31"/>
      <w:bookmarkEnd w:id="2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3"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Condominium Act, R.S.B.C. 1979, c.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880" w:history="1">
        <w:r>
          <w:rPr>
            <w:rFonts w:ascii="arial" w:eastAsia="arial" w:hAnsi="arial" w:cs="arial"/>
            <w:i/>
            <w:color w:val="0077CC"/>
            <w:sz w:val="20"/>
            <w:u w:val="single"/>
            <w:shd w:val="clear" w:color="auto" w:fill="FFFFFF"/>
            <w:lang w:val="en-US" w:eastAsia="en-US" w:bidi="ar-SA"/>
          </w:rPr>
          <w:t>R.S.B.C. 1996, c. 250, s. 72</w:t>
        </w:r>
      </w:hyperlink>
      <w:r>
        <w:rPr>
          <w:rFonts w:ascii="arial" w:eastAsia="arial" w:hAnsi="arial" w:cs="arial"/>
          <w:color w:val="000000"/>
          <w:sz w:val="20"/>
          <w:lang w:val="en-US" w:eastAsia="en-US" w:bidi="ar-SA"/>
        </w:rPr>
        <w:t>, s.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Partnership Act, </w:t>
      </w:r>
      <w:hyperlink r:id="rId881" w:history="1">
        <w:r>
          <w:rPr>
            <w:rFonts w:ascii="arial" w:eastAsia="arial" w:hAnsi="arial" w:cs="arial"/>
            <w:i/>
            <w:color w:val="0077CC"/>
            <w:sz w:val="20"/>
            <w:u w:val="single"/>
            <w:shd w:val="clear" w:color="auto" w:fill="FFFFFF"/>
            <w:lang w:val="en-US" w:eastAsia="en-US" w:bidi="ar-SA"/>
          </w:rPr>
          <w:t>R.S.B.C. 1996, c. 348, s. 2</w:t>
        </w:r>
      </w:hyperlink>
      <w:r>
        <w:rPr>
          <w:rFonts w:ascii="arial" w:eastAsia="arial" w:hAnsi="arial" w:cs="arial"/>
          <w:color w:val="000000"/>
          <w:sz w:val="20"/>
          <w:lang w:val="en-US" w:eastAsia="en-US" w:bidi="ar-SA"/>
        </w:rPr>
        <w:t>, s. 7, s. 31, s. 32, s.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Perpetuity Act, </w:t>
      </w:r>
      <w:hyperlink r:id="rId882" w:history="1">
        <w:r>
          <w:rPr>
            <w:rFonts w:ascii="arial" w:eastAsia="arial" w:hAnsi="arial" w:cs="arial"/>
            <w:i/>
            <w:color w:val="0077CC"/>
            <w:sz w:val="20"/>
            <w:u w:val="single"/>
            <w:shd w:val="clear" w:color="auto" w:fill="FFFFFF"/>
            <w:lang w:val="en-US" w:eastAsia="en-US" w:bidi="ar-SA"/>
          </w:rPr>
          <w:t>R.S.B.C. 1996, c. 358, s. 8</w:t>
        </w:r>
      </w:hyperlink>
      <w:r>
        <w:rPr>
          <w:rFonts w:ascii="arial" w:eastAsia="arial" w:hAnsi="arial" w:cs="arial"/>
          <w:color w:val="000000"/>
          <w:sz w:val="20"/>
          <w:lang w:val="en-US" w:eastAsia="en-US" w:bidi="ar-SA"/>
        </w:rPr>
        <w:t>, s. 9,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Strata Property Act,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11-7</w:t>
      </w:r>
      <w:r>
        <w:rPr>
          <w:rFonts w:ascii="arial" w:eastAsia="arial" w:hAnsi="arial" w:cs="arial"/>
          <w:color w:val="000000"/>
          <w:sz w:val="20"/>
          <w:lang w:val="en-US" w:eastAsia="en-US" w:bidi="ar-SA"/>
        </w:rPr>
        <w:t>(6), Rule 14-1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7" w:name="Counsel_42"/>
      <w:bookmarkEnd w:id="29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Raj Gupta: R. Davidson.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Sarbjeet Gadhri and Harmadan Gadhri: D. Gautam.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0760815 B.C. Ltd., Simranjeet Dhanoa, and 0758528 B.C. Ltd.: D. Moseley, G. Reeves.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8" w:name="Judgment_42"/>
      <w:bookmarkEnd w:id="298"/>
      <w:r>
        <w:pict>
          <v:line id="_x0000_s1235" style="position:absolute;z-index:2518548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April 15,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III. THE CLAIMS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 First Claim -- Sarbjeet Gadhri v. 815 B. The Second Claim -- Gupta v. Gadhri C. The Third Claim -- Gadhri v. Dhanoa, 815, and 528</w:t>
      </w:r>
    </w:p>
    <w:p>
      <w:pPr>
        <w:numPr>
          <w:numId w:val="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V. ISSUES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 Joint Venture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Loans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The Gupta/Gadhri Relationship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Abuse of Process and/or Conspiracy</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CREDIBILITY OF THE PARTIES</w:t>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The Joint Venture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Did Mr. Dhanoa, 528, or 815 owe any duties to Mr. Gadhri in the Joint Venture and, if so, were they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 Mr. Dhanoa, 528, or 815 owe Mr. Gadhri a fiduciary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duty?</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Conclusion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Do Mr. Dhanoa or the Numbered Companies owe Mr. Gadhri a duty of good faith?</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Legal Principles Conclusion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3. Are various of the agreements entered into by the parties valid and binding?</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Non Est Factum Undue Influence Unconscionability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Joint Venture -- September 20, 2006 The Cost Sharing Agreement -- June 14, 2007 The Detention Pond Agreement -- October 24, 2007 Conclusion on Agreements Generally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Option Agreements -- October 29, 2008</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Legal Principles on the Option Agreements</w:t>
      </w:r>
    </w:p>
    <w:p>
      <w:pPr>
        <w:spacing w:before="120"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Consideration Mutuality of Obligation The Rule against Perpetuities Section 73(2) of the Land Title Act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4. Did Mr. Dhanoa, 528, or 815 breach the joint venture agreement by failing to provide a timely proper accounting?</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The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Did Mr. Dhanoa misappropriate refund monies from the City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Surrey?</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The Surrey Refund</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Pre-Sales to Coach Holdings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Original Financing -- June 2007</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Were the Midwest Sand invoices inflated?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The Loans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815 and 528 repay the private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3"/>
        <w:gridCol w:w="2091"/>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First Loan to 528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Second Loan to 815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Loan Repayment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November 2008 Agreement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Consent Order of Mr. Justice Armstrong dated June 20,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Expert Reports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 The Gupta/Gadhri Relationship</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Gupta and Mr. Gadhri have a partnership?</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Mr. Gupta and Mr. Gadhri's Relationship Legal Principles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Lots -- Outstanding Issues</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Lots 61, 62, 67, and 68</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Raymond Atwell lots/Bhatti lots and litigation</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Jaswinder Dahliwhal -- 3 lots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Lot 23</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Lot 79</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Secret Profits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Monetary Contributions -- Outstanding Issues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 Abuse of Process and/or Conspiracy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Has Mr. Gadhri committed an abuse of process or are Mr. and Mrs. Gadhri liable for conspiracy by pursuing these actions?</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Abuse of process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Conspiracy</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Breach of good faith</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for Abuse of Process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Are Mr. Gadhri or Mrs. Gadhri liable for punitive damages?</w:t>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VIII.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9" w:name="E. BURKE J."/>
            <w:bookmarkEnd w:id="299"/>
            <w:r>
              <w:rPr>
                <w:rFonts w:ascii="arial" w:eastAsia="arial" w:hAnsi="arial" w:cs="arial"/>
                <w:b/>
                <w:color w:val="000000"/>
                <w:sz w:val="30"/>
                <w:lang w:val="en-US" w:eastAsia="en-US" w:bidi="ar-SA"/>
              </w:rPr>
              <w:t>E. BURKE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matter concerns three separate actions involving a real estate development in Surrey, B.C. It deals with a joint venture, the monies invested in it, and the accounting of those monies. The relationship between Mr. Raj Gupta and Mr. Harmadan Gadhri, and its breakdown, permeates all these disputes. The quarrel is bitter, as it involves two formerly close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disputes turn primarily upon agreements and conduct between the parties in the joint venture and whether loans in the amount of $300,000, separate and apart from the joint venture, were repaid. The joint venture development involved Mr. Gadhri, Mr. Gupta, and Mr. Simranjeet Dhanoa and his numbered companies, 0760815 B.C. Ltd. ("815") and 078528 B.C. Ltd. ("528") (collectively, the "Numbered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Gupta claims against Mr. Gadhri for misappropriation of funds, debt, unjust enrichment, and ownership of lots relating to the joint venture. Mr. Gadhri counterclaims against Mr. Gupta for debt,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and unjust enrichment and seeks an accounting as between the two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Gadhri also claims Mr. Dhanoa and the Numbered Companies breached the joint venture agreement and breached a fiduciary duty to Mr. Gadhri. These allegations are denied by Mr. Dhanoa and the Numbered Companies. Mr. Dhanoa claims this lawsuit is an abuse of process, a conspiracy to cause damage to him and the Numbered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comments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at para. 2, are apropos to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trial of this action was originally set for ten days. In the end, it took 48 days to complete. The trial was unduly lengthened because it became apparent quite quickly that there were substantially different versions of events from both sides of the action and counsel intensely investigated to ascertain the truth. The extent of the conflict in evidence was so large as to astonish even this experienced judge. As a result, fairness required that I proceed slowly through all of the evidence to determine who was telling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So too in this matter. The litigation spanned five years. The trial, originally set for 15 days, took 35 days over 10 months. Much of this case turns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Gadhri disputes the effect of many of the written documents. He says he did not understand them and documents were simply placed before him for signature. Mr. Gupta and Mr. Dhanoa, however, say the agreements, as reflected by the documents, modified the original joint venture agreement and Mr. Gadhri willingly participated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difficult to untangle the various transactions between the parties, some of which are said to include verbal agreements that transcend different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begin with a brief description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Harmadan Gadhri was born in the Punjab and came to Canada as an adult in 1978. Initially, he worked in a sawmill and ran a motel with his wife in Campbell River. He sold the motel in 2003 and purchased two or three properties in Surrey. Mr. Gadhri then moved to Surrey and built his house on one of those properties. He commenced a property development business and installed services in new subdivisions. He gained experience by consulting with his uncle, Anter Pamma, an experienced land developer in Surrey. He regularly consulted with Mr. Pamma throughout his participation in the property development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Starting small, with one or two lots, Mr. Gadhri eventually moved into larger property development. He developed lots with Mr. Gupta at 11709-98th Avenue, Surrey. He was also developed another project on 104th Avenue and a property on River Road, which he purchased in 2003 and developed into 11 to 13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same time as the development at issue, Mr. Gadhri developed four lots at 127th Street with his siblings and Mr. Pamma. Mr. Gadhri's company is Gadhri Holdings, while his brother, Amjer Gadhri, operates through a company called Gadhri Investments. The four lots at 127th Street were developed through Gadhri Development, a company in which all three siblings participated (Mr. Gadhri, Amjer, and their sister). Mr. Gadhri was clear, however, he did all the work on that development through Gadhri Holdings. He sought quotes, contracted with the subcontractors, and generally acted as the developer.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this establishes Mr. Gadhri as an experienced developer. He is a businessman with over a decade of experience in land development and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some dispute concerning Mr. Gadhri's English language capabilities. I will comment on this later as part of my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Sarbjeet Gadhri married Mr. Gadhri in 1978 and is now a cook's helper.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Raj Gupta came to Canada as an adult in 1981. Initially a construction worker, he obtained his realtor's license in 1997, working with Century 21 in Vancouver until 2013. He moved to Century 21 in Surrey, B.C., in 2014. He is presently a licensed real estate agent, focusing primarily upon residential properties in Surrey, with some limited experience in land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Dhanoa immigrated to Canada from the Punjab in 1996. Initially employed as a travel agent, he entered the real estate business in 2006 through the development at issue. He is the president of the Numbered Companies and had no previous experience in land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subdivision at issue is located at 68th Avenue and 192nd Street in Surrey. A joint venture was created in 2006 to develop and sell a 79-lot residential subdivision created from four separate properties. Two large properties were owned by the Numbered Companies. Two smaller properties were owned jointly by Mr. Gupta and Mr. Gadhri.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The First Claim -- </w:t>
      </w:r>
      <w:r>
        <w:rPr>
          <w:rFonts w:ascii="arial" w:eastAsia="arial" w:hAnsi="arial" w:cs="arial"/>
          <w:b/>
          <w:i/>
          <w:color w:val="000000"/>
          <w:sz w:val="20"/>
          <w:lang w:val="en-US" w:eastAsia="en-US" w:bidi="ar-SA"/>
        </w:rPr>
        <w:t>Sarbjeet Gadhri v. 815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action filed July 2010, Mrs. Gadhri claims she advanced $300,000 as a loan to 815 and was never repaid. 815 and Mr. Dhanoa acknowledge there was a loan, but say the loan was between 815 and Mr. Gadhri and Mr. Gupta. 815 also claims the loan has been fully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Gupta agrees the loan has been fully repaid. He maintains that Mr. Gadhri acted as an agent for Mrs. Gadhri and payments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final argument, despite a significant amount of evidence on this point, counsel for Mrs. Gadhri abandoned the claim that Mrs. Gadhri advanced the loan. He now says it was a loan from both Mr. and Mrs. Gadhri.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815 counterclaims against Mr. and Mrs. Gadhri for conspiracy and abuse of process. It says the action commenced by Mrs. Gadhri is wholly without basis and an abuse of process. 815 says Mrs. Gadhri's claim was brought at the direction of Mr. Gadhri in retaliation for Mr. Dhanoa refusing to side with Mr. Gadhri in a dispute between Mr. Gupta and Mr. Gadhri.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The Second Claim -- </w:t>
      </w:r>
      <w:r>
        <w:rPr>
          <w:rFonts w:ascii="arial" w:eastAsia="arial" w:hAnsi="arial" w:cs="arial"/>
          <w:b/>
          <w:i/>
          <w:color w:val="000000"/>
          <w:sz w:val="20"/>
          <w:lang w:val="en-US" w:eastAsia="en-US" w:bidi="ar-SA"/>
        </w:rPr>
        <w:t>Gupta v. Gadhri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October 12, 2010, Mr. Gupta filed a claim against Mr. Gadhri for misappropriation of funds, debt, unjust enrichment, and ownership of lots relating to the joint venture. Mr. Gadhri counterclaims against Mr. Gupta for the same and seeks an accounting between the two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lawsuit deals with the determination and accounting to the partnership for monies that each of these individuals claim the other failed to invest or withdraw from the partnership. Mr. Gadhri denies the existence of a partnership between the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a significant amount of evidence was adduced on whether the joint venture accounting of Mr. Gupta and Mr. Gadhri should be done on the basis of 12.5 lots each, rather than on the basis of a 50% partnership, Mr. Gadhri abandoned the claim at the end of trial, on the basis "there is too much water under the bridge".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The Third Claim -- </w:t>
      </w:r>
      <w:r>
        <w:rPr>
          <w:rFonts w:ascii="arial" w:eastAsia="arial" w:hAnsi="arial" w:cs="arial"/>
          <w:b/>
          <w:i/>
          <w:color w:val="000000"/>
          <w:sz w:val="20"/>
          <w:lang w:val="en-US" w:eastAsia="en-US" w:bidi="ar-SA"/>
        </w:rPr>
        <w:t>Gadhri v. Dhanoa</w:t>
      </w:r>
      <w:r>
        <w:rPr>
          <w:rFonts w:ascii="arial" w:eastAsia="arial" w:hAnsi="arial" w:cs="arial"/>
          <w:b/>
          <w:color w:val="000000"/>
          <w:sz w:val="20"/>
          <w:lang w:val="en-US" w:eastAsia="en-US" w:bidi="ar-SA"/>
        </w:rPr>
        <w:t>, 815, and 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third claim, filed on March 30, 2011, is by Mr. Gadhri against Mr. Dhanoa and the Numbered Companies, relating to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Gadhri claims breach of the joint venture agreement, alleging Mr. Dhanoa and his numbered companies have failed to provide an accounting and owe him monies pursuant to the joint venture agreement. Mr. Gadhri also claims breach of fiduciary duty against Mr. Dhanoa for failure to provide an accounting and for failure to disclose the sale of the proportionate share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Gadhri takes issue with a variety of written agreements signed by him in the course of the subdivision development. He maintains he did not read the agreements, did not understand them, and in some cases, was pressured or coerced into signing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Gadhri initially claimed -- and then abandoned the claim in final argument -- that Mr. Dhanoa, 815, and 528 were in breach of the joint venture by failing to repay a private loan with interest within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815 and 528 deny the breach of the joint venture agreement. They provided all documents to the joint venture accountant and agreed to an accounting to determine the issues. Mr. Dhanoa also denies he owes a fiduciary duty to Mr. Gadhri and denies any allegations relating to that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Dhanoa and the Numbered Companies counterclaim, alleging, among other things, that Mr. Gadhri's actions are in breach of a number of agreements and the reasonable expectations of the parties. The defendants maintain these breaches were committed in bad faith and claim damages or restitution for abuse of process, conspiracy,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April 2006, Mr. Gadhri and Mr. Gupta purchased undeveloped lands at 19120-68th Avenue and 191408-68th Avenue, City of Surrey, known as Lot 28 and Lot 29. At the time, they understood a subdivision application was underway to develop the two lots into a 24.5-lot subdivision. The price of the property was $2,523,500.00, based on 24.5 lots at $103,000.00 each. Mr. Gupta and Mr. Gadhri were each registered as a 50% owner of each parcel.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To finance the purchase, Mr. Gupta and Mr. Gadhri entered into assignment contracts with buyers for the future lots. They were able to pre-sell 15 of the lots to be created; Mr. Gupta assigned 12 lots to his friends, while Mr. Gadhri assigned 3 lots to his friends, for a total of 15 lots. Mr. Gupta sold the lots for between $108,000 and $110,000. Mr. Gadhri sold his at $103,000. These pre-sale proceeds as well as their own funds were used to purchase the two parent parcels.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servicing costs of the lots, in addition to the pre-sale purchase price, were understood to be between $55,000 and $65,000 per lot. Ultimately, however, the servicing costs were closer to $100,000 per lot and led to problems with some of the buyers.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Gupta was clear he and Mr. Gadhri had a verbal agreement they would have 50% interest in each and every lot. His testimony was not shaken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Gadhri, however, testified and was of the view they had agreed to 12.5 lots each and not a 50% participation each in the joint venture. A significant amount of evidence, including testimony and documentation, was presented to establish this alleged fact. There is no need for me to resolve this issue. As noted earlier, Mr. Gadhri abandoned this claim in final argument, simply on the basis that "there is too much water under the bridge." I will say more about this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815 and 528 were the owners of undeveloped lands located at 6711-192nd and 6783-192nd Street in Surrey, adjacent to the properties purchased by Mr. Gupta and Mr. Gadhri. Those adjacent properties were significantly larger in size and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Dhanoa outlined a process whereby friends and relatives initially pooled money to purchase a property. Due to his inexperience, Mr. Dhanoa's understanding at the time was they were buying 24 lots. Once the deposit for the first parcel was provided, however, the group were advised they would not be able to develop the first parcel unless they purchased an adjoining parcel of 31 lots. The group ultimately felt compelled to purchase the second property, despite their inexperience.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Unbeknownst to either group, however, the development application underway involved all four pieces of property. Mr. Dhanoa's group were then informed the adjoining parcel owned by Mr. Gupta and Mr. Gadhri must be developed in conjunction with their two parcels.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This ultimately led to the two groups entering into the joint venture to develop all four pieces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issues that arise as a result of this development overlap the various claims and counterclaims. As Mr. Gadhri continued to raise issues and change his position throughout these proceedings, the matter was unnecessarily complex. I have, however, distilled and grouped the pertinent issues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became apparent Mr. Gadhri was unhappy in retrospect with his participation in the joint venture, stemming from his falling out with Mr. Gupta in June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Gadhri's main quarrel with Mr. Dhanoa and the Numbered Companies centers on his view that refund monies from the City of Surrey should have been paid to the joint venture and should be accounted for. He also takes this position with respect to certain deposit monies paid for some of the lots in the development. He maintains these amounts have not been accounted for in accordance with the various agreements of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addition, he maintains two options to purchase for lots 23 and 79 granted to the Numbered Companies are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remaining issues are set out below.</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Dhanoa, 528, or 815 owe any duties to Mr. Gadhri in the Joint Venture, and, if so, were they breached?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 Mr. Dhanoa or the Numbered Companies owe Mr. Gadhri a duty of good faith?</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various of the agreements entered into by the parties valid and binding?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Dhanoa, 528, and 815, breach the joint venture agreement by failing to provide a timely proper accounting?</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Dhanoa misappropriate refund monies from the City of Surrey or deposits?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Loans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815 and 528 repay the private loans?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Gupta/Gadhri Relationship</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Gupta and Mr. Gadhri have a partnership?</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Gadhri make secret profits in relation to lot 79?</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amounts to be credited to the Gupta-Gadhri venture?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Abuse of Process and/or Conspiracy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Gadhri committed an abuse of process or are Mr. and Mrs. Gadhri liable for conspiracy by pursuing these actions?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Mr. Gadhri or Mrs. Gadhri liable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CREDIBILITY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At the outset, it is necessary for me to deal with the credibility of the main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initially not easy to resolve the credibility issues between Mr. Gupta and Mr. Gadhri. There was significant contrast between their testimonies on disputed elements. In addition, Mr. Gupta appeared to use real estate forms as contracts with some regularity that would not appear to reflect what they intended. This, he said, was because he carried them in his briefcase and they were handy to use when writing up agreements of one sort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also note Mr. Gupta has strong memories of generalizations but not of the specifics. He regularly said he could not remember specifics of events in 2006, 2007, 2008, and 2009. This, however, included a lack of memory of items that might assist his case. He also agreed his memory had been refreshed by testimony in trial. He was candid about this, which ultimately assists his overall credibility. Lapses must, however, be fleshed out by some independent documents in this matter in order to be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Gadhri has memories of the specifics -- perhaps overly so. He specifically remembers matters that occurred a significant time ago without appearing to have a reason to do so. Unlike Mr. Gupta, he did not admit to much, if anything, adverse to his case. In addition, matters that involve Mr. Gadhri's family members are distinctly lacking in detail and appear at convenient junctures concerning matters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an example, Mr. Gadhri claims his brother purchased four lots and paid $35,000.00 plus $372,000.00 on the date of completion of the parent parcel purchase on April 12, 2006. Mr. Gadhri's testimony, however, is inconsistent with and shows a disregard of the documentation. Mr. Gupta said this was a loan. Mr. Gadhri, however, says it was a deposit from his brother's company, Gadhri Investments, for the purchase of two lots; yet the cheque written by Gadhri Investments has the word "loan" written on the memo line. When questioned as to why this was so, Mr. Gadhri said he asked his sister-in-law to write "loan"; otherwise, it was not significant. As far as he was concerned, this did not matter as it was "between [him] and [his] brother." When pressed in cross-examination, Mr. Gadhri said, "You can treat it whatever way you want. I took money from him, and this money was accounted for." This was repeatedly said when referencing monies that came from family members. It is therefore very difficult, when it comes to considering contributions from family members, including extended family members, to conclude the monies were indeed for what Mr. Gadhri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Gadhri also referred to one of the agreements at issue, the cost sharing agreement, as a "gimmick." Despite this, Mr. Gadhri clearly stated he sought additional legal advice at the time of the initial drafting of the joint venture agreement. He detailed a meeting in which he brought changes back to Mr. Rand Buckley, the lawyer retained to draft the original joint venture document between the parties. Mr. Gadhri's general overall claim that "they brought all the documents to [him] once they were prepared," and that he was not consulted, is simply not consistent with his own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supports the conclusion Mr. Gadhri is a man of some experience and intelligence. Of the three participants, Mr. Gadhri was the most experienced at the time of this development. He had, however, a significant disregard of documentation in financial matters when it did not suit his purpose. This became a problem due to the convoluted arrangements used to finance difficulties in a project that was beset by issues, due in part to its unfortunate timing, at the cusp of the 2008 financial turndown. Ultimately, this led to Mr. Gadhri being of the view he could unilaterally withdraw $200,000 from the joint account between Mr. Gupta and Mr. Gadhri, in payment of what he considered to be monies owing to him. This ultimately precipitated the litigation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notable that this withdrawal of monies Mr. Gadhri said he did not consider "a big deal". He said he discussed this first with Mr. Gupta and wrote the cheque in the name of his wife. He did not, however, give the $200,000 to his wife. Instead, he said he believes he used it to pay off other debts. Once again, this confirms Mr. Gadhri does not have much regard for the documents -- and perhaps agreements -- unless it suited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an aside, I note when it was pointed out to Mr. Gadhri he had entered into a Consent Order agreeing to the accounting of the joint venture up to October 31, 2008, he said he did not agree with that. Rather, he agreed to the accounting being "corrected" -- which I take to be corrected to his position in this matter. This testimony demonstrates his focus on his desired outcome. As noted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 this leads to a tendency to "reconstruct and distort history in a manner that favours a desired outcome". I find overall Mr. Gadhri has reconstructed history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Furthermore, as I have mentioned, in final argument, Mr. Gadhri abandoned the claim the accounting of the joint venture between Mr. Gupta and Mr. Gadhri should be on the basis of 12.5 lots, as "there is too much water under the bridge." I conclude this shift to largely be because the evidence does not support Mr. Gadhri's position, which again affects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contrast to Mr. Gadhri, Mr. Dhanoa was a very credible witness. He admitted to the limitation of his memory but had sufficient details of the agreements and transactions at issue that add to his credibility. His evidence was largely supported by the documentary evidence. Where it was not, he provided reasonable explanations. His evidence was also supported by other witnesses in these proceedings, in particular Ms. Manhas, a senior accountant/bookkeeper. By and large, where there was any conflict on evidence pertaining to matters concerning the joint venture between the parties, I prefer the evidence of Mr. Dhanoa.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the differences between Mr. Gupta and Mr. Gadhri are more difficult to resolve, Mr. Gadhri's testimony he did not understand or was forced or bullied into signing documents is not consistent with the overall evidence, including that of Mr. Bubber, an accountant; Mr. Buckley and Mr. Hogan, both lawyers; and, in particular, Ms. Manhas. These were all professionals retained by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Ultimately, I prefer the testimony of Mr. Dhanoa and Mr. Gupta where it contrasts with Mr. Gadhri. As noted in </w:t>
      </w:r>
      <w:r>
        <w:rPr>
          <w:rFonts w:ascii="arial" w:eastAsia="arial" w:hAnsi="arial" w:cs="arial"/>
          <w:i/>
          <w:color w:val="000000"/>
          <w:sz w:val="20"/>
          <w:lang w:val="en-US" w:eastAsia="en-US" w:bidi="ar-SA"/>
        </w:rPr>
        <w:t>Parmar v. Tiwari</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2016 BCSC 30</w:t>
        </w:r>
      </w:hyperlink>
      <w:r>
        <w:rPr>
          <w:rFonts w:ascii="arial" w:eastAsia="arial" w:hAnsi="arial" w:cs="arial"/>
          <w:color w:val="000000"/>
          <w:sz w:val="20"/>
          <w:lang w:val="en-US" w:eastAsia="en-US" w:bidi="ar-SA"/>
        </w:rPr>
        <w:t xml:space="preserve"> at para. 116, the factors considered in the assessment of a witness's credibility include whether the witness's evidence harmonizes with the independent evidence. Not only does the documentation support the testimony of Mr. Dhanoa in particular, but, as set out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(1951), </w:t>
      </w:r>
      <w:hyperlink r:id="rId1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(B.C.C.A.), it is in "harmony with the preponderance of probabilities" that a "practical and informed person" would recognize as reasonable in the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Joint Venture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Did Mr. Dhanoa, 528, or 815 owe any duties to Mr. Gadhri in the Joint Venture and, if so, were they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Gadhri has alleged Mr. Dhanoa and the Numbered Companies owed him a fiduciary duty with regard to the joint venture and breached that duty as well as a duty to act in good faith. Mr. Gadhri alleges they have done so by misappropriating certain refund monies from the City of Surrey and settlement funds from a dispute with Coach Holdings Ltd. Initially, he alleged a failure to provide a proper accounting. He appears to have dropped that allegation in final argument.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Do Mr. Dhanoa, 528, or 815 owe Mr. Gadhri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support of the principle that a fiduciary relationship exists in all joint ventures, Mr. Gadhri relied upon Butler J.'s comments in </w:t>
      </w:r>
      <w:r>
        <w:rPr>
          <w:rFonts w:ascii="arial" w:eastAsia="arial" w:hAnsi="arial" w:cs="arial"/>
          <w:i/>
          <w:color w:val="000000"/>
          <w:sz w:val="20"/>
          <w:lang w:val="en-US" w:eastAsia="en-US" w:bidi="ar-SA"/>
        </w:rPr>
        <w:t>Smithies Holdings Inc. v. RCV Holdings Ltd.</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2014 BCSC 1688</w:t>
        </w:r>
      </w:hyperlink>
      <w:r>
        <w:rPr>
          <w:rFonts w:ascii="arial" w:eastAsia="arial" w:hAnsi="arial" w:cs="arial"/>
          <w:color w:val="000000"/>
          <w:sz w:val="20"/>
          <w:lang w:val="en-US" w:eastAsia="en-US" w:bidi="ar-SA"/>
        </w:rPr>
        <w:t xml:space="preserve"> at para. 66, that "for some time, Canadian law has recognized that joint venturers owe fiduciary duties to each other similar to those owed by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Butler J. went on, however, to cite with approval the decision of Wedge J. in </w:t>
      </w:r>
      <w:r>
        <w:rPr>
          <w:rFonts w:ascii="arial" w:eastAsia="arial" w:hAnsi="arial" w:cs="arial"/>
          <w:i/>
          <w:color w:val="000000"/>
          <w:sz w:val="20"/>
          <w:lang w:val="en-US" w:eastAsia="en-US" w:bidi="ar-SA"/>
        </w:rPr>
        <w:t>Blue Line Hockey Acquisition Co. v. Orca Bay Hockey Ltd. Partnership</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2008 BCSC 27</w:t>
        </w:r>
      </w:hyperlink>
      <w:r>
        <w:rPr>
          <w:rFonts w:ascii="arial" w:eastAsia="arial" w:hAnsi="arial" w:cs="arial"/>
          <w:color w:val="000000"/>
          <w:sz w:val="20"/>
          <w:lang w:val="en-US" w:eastAsia="en-US" w:bidi="ar-SA"/>
        </w:rPr>
        <w:t xml:space="preserve"> at para. 167, aff'd </w:t>
      </w:r>
      <w:hyperlink r:id="rId887" w:history="1">
        <w:r>
          <w:rPr>
            <w:rFonts w:ascii="arial" w:eastAsia="arial" w:hAnsi="arial" w:cs="arial"/>
            <w:i/>
            <w:color w:val="0077CC"/>
            <w:sz w:val="20"/>
            <w:u w:val="single"/>
            <w:shd w:val="clear" w:color="auto" w:fill="FFFFFF"/>
            <w:lang w:val="en-US" w:eastAsia="en-US" w:bidi="ar-SA"/>
          </w:rPr>
          <w:t>2009 BCCA 34</w:t>
        </w:r>
      </w:hyperlink>
      <w:r>
        <w:rPr>
          <w:rFonts w:ascii="arial" w:eastAsia="arial" w:hAnsi="arial" w:cs="arial"/>
          <w:color w:val="000000"/>
          <w:sz w:val="20"/>
          <w:lang w:val="en-US" w:eastAsia="en-US" w:bidi="ar-SA"/>
        </w:rPr>
        <w:t>, where she noted a case-specific approach to determining whether that fiduciary duty existed was preferred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Whether a fiduciary relationship arises in a joint venture is therefore assessed on a case-by-case basis. In </w:t>
      </w:r>
      <w:r>
        <w:rPr>
          <w:rFonts w:ascii="arial" w:eastAsia="arial" w:hAnsi="arial" w:cs="arial"/>
          <w:i/>
          <w:color w:val="000000"/>
          <w:sz w:val="20"/>
          <w:lang w:val="en-US" w:eastAsia="en-US" w:bidi="ar-SA"/>
        </w:rPr>
        <w:t>PIPSC v. Canada (Attorney General)</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2012 SCC 71</w:t>
        </w:r>
      </w:hyperlink>
      <w:r>
        <w:rPr>
          <w:rFonts w:ascii="arial" w:eastAsia="arial" w:hAnsi="arial" w:cs="arial"/>
          <w:color w:val="000000"/>
          <w:sz w:val="20"/>
          <w:lang w:val="en-US" w:eastAsia="en-US" w:bidi="ar-SA"/>
        </w:rPr>
        <w:t xml:space="preserve"> at para. 113, the Supreme Court of Canada set out the ways in which fiduciary relationships can arise: those that are inherent in the relationship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relationships) or those that arise on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duties arise from relationships that traditionally fall within categories of trust -- for example, executor-beneficiary, solicitor-client, agent-principal, director-corporation, and guardian-ward or parent-child: </w:t>
      </w:r>
      <w:r>
        <w:rPr>
          <w:rFonts w:ascii="arial" w:eastAsia="arial" w:hAnsi="arial" w:cs="arial"/>
          <w:i/>
          <w:color w:val="000000"/>
          <w:sz w:val="20"/>
          <w:lang w:val="en-US" w:eastAsia="en-US" w:bidi="ar-SA"/>
        </w:rPr>
        <w:t>Elder Advocates of Alberta Society v. Alberta</w:t>
      </w:r>
      <w:r>
        <w:rPr>
          <w:rFonts w:ascii="arial" w:eastAsia="arial" w:hAnsi="arial" w:cs="arial"/>
          <w:color w:val="000000"/>
          <w:sz w:val="20"/>
          <w:lang w:val="en-US" w:eastAsia="en-US" w:bidi="ar-SA"/>
        </w:rPr>
        <w:t xml:space="preserve">, </w:t>
      </w:r>
      <w:hyperlink r:id="rId889"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xml:space="preserve">, McLachlin C.J.C. summarized the elements that identify the existence of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must establish that the alleged fiduciary gave an undertaking of responsibility, express or implied, to act in the best interests of a beneficiary -- "[t]he party asserting the duty must be able to point to a forsaking by the alleged fiduciary of the interests of all others in favour of those of the beneficiary, in relation to the specific legal interest at stake": paras. 30-31;</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must be owed to a defined person or class of persons vulnerable to the fiduciary, in that the fiduciary has a discretionary power over them: para. 33; and</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claimant must prove that the alleged fiduciary's power could affect the legal or substantial practical interests of the beneficiary -- the "party seeking to establish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duty must be able to point to an identifiable legal or vital practical interest that is at stake":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requirement of vulnerability is seldom present in the dealings of experienced businessmen of similar bargaining strength acting at arm's length as the parties can prevent vulnerability "through the more prudent exercise of their bargaining power": </w:t>
      </w:r>
      <w:r>
        <w:rPr>
          <w:rFonts w:ascii="arial" w:eastAsia="arial" w:hAnsi="arial" w:cs="arial"/>
          <w:i/>
          <w:color w:val="000000"/>
          <w:sz w:val="20"/>
          <w:lang w:val="en-US" w:eastAsia="en-US" w:bidi="ar-SA"/>
        </w:rPr>
        <w:t>Frame v. Smith</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137-38, Wilson J., dissenting (reasons later adopted and applied by the Court in </w:t>
      </w:r>
      <w:r>
        <w:rPr>
          <w:rFonts w:ascii="arial" w:eastAsia="arial" w:hAnsi="arial" w:cs="arial"/>
          <w:i/>
          <w:color w:val="000000"/>
          <w:sz w:val="20"/>
          <w:lang w:val="en-US" w:eastAsia="en-US" w:bidi="ar-SA"/>
        </w:rPr>
        <w:t>International Corona Resources Ltd. v. LAC Minerals Ltd</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Smithies Holdings</w:t>
      </w:r>
      <w:r>
        <w:rPr>
          <w:rFonts w:ascii="arial" w:eastAsia="arial" w:hAnsi="arial" w:cs="arial"/>
          <w:color w:val="000000"/>
          <w:sz w:val="20"/>
          <w:lang w:val="en-US" w:eastAsia="en-US" w:bidi="ar-SA"/>
        </w:rPr>
        <w:t xml:space="preserve">, Butler J. found that the joint venture agreement in that case led to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because the primary asset of the joint venture (land) was held in trust by the company (Spearpoint) that had "overall management and control of the Joint Venture." The Board of Directors of Spearpoint therefore were in a trustee-beneficiary relationship: para. 73. Butler J. went on to state that, had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relationship not existed, he would have found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 for the following reasons: (1) the structure of the venture had the land held in trust by Spearpoint; (2) Mr. Smithies was in charge of managing the project, leaving the other venturers in a vulnerable position; and (3) the Board of Directors of Spearpoint could make all major decisions with a 67% vote, creating an obligation for full disclosure to the non-managing joint venturers: para. 76.</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After a consideration of all the circumstances, I conclude that no fiduciary duty, either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is owed by the Mr. Dhanoa or the Numbered Companies to Mr. Gadhri.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relationship is not one of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obligation. Joint venturers do not fall under a traditional category of trust. Unlike </w:t>
      </w:r>
      <w:r>
        <w:rPr>
          <w:rFonts w:ascii="arial" w:eastAsia="arial" w:hAnsi="arial" w:cs="arial"/>
          <w:i/>
          <w:color w:val="000000"/>
          <w:sz w:val="20"/>
          <w:lang w:val="en-US" w:eastAsia="en-US" w:bidi="ar-SA"/>
        </w:rPr>
        <w:t>Smithies Holdings</w:t>
      </w:r>
      <w:r>
        <w:rPr>
          <w:rFonts w:ascii="arial" w:eastAsia="arial" w:hAnsi="arial" w:cs="arial"/>
          <w:color w:val="000000"/>
          <w:sz w:val="20"/>
          <w:lang w:val="en-US" w:eastAsia="en-US" w:bidi="ar-SA"/>
        </w:rPr>
        <w:t>, the assets in the matter at hand are not held in trust. These parties are businessmen of similar bargaining strength contracting with each other at arm's length and could have protected themselves through a "more prudent exercise of their bargaining power." Indeed, I have found Mr. Gadhri to be the most experienced of the three businessmen.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As for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relationship, Mr. Gadhri has not proven any of the elements set out by McLachlin C.J.C. in </w:t>
      </w:r>
      <w:r>
        <w:rPr>
          <w:rFonts w:ascii="arial" w:eastAsia="arial" w:hAnsi="arial" w:cs="arial"/>
          <w:i/>
          <w:color w:val="000000"/>
          <w:sz w:val="20"/>
          <w:lang w:val="en-US" w:eastAsia="en-US" w:bidi="ar-SA"/>
        </w:rPr>
        <w:t>Elder Advocates</w:t>
      </w:r>
      <w:r>
        <w:rPr>
          <w:rFonts w:ascii="arial" w:eastAsia="arial" w:hAnsi="arial" w:cs="arial"/>
          <w:color w:val="000000"/>
          <w:sz w:val="20"/>
          <w:lang w:val="en-US" w:eastAsia="en-US" w:bidi="ar-SA"/>
        </w:rPr>
        <w:t>. There is no undertaking in the joint venture agreement, express or implied, on the part of Mr. Dhanoa or the Numbered Companies to act in the best interests of Mr. Gadhri. This is particularly so, because Mr. Dhanoa is already in a fiduciary relationship with the Numbered Companies as director and principle of those companies. Further, the Numbered Companies are responsible to their shareholders. Mr. Gadhri could not reasonably have expected these parties to forsake the interests of all others to his benefit with regard to any interest at stake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It is also not apparent how Mr. Gadhri is vulnerable to the defendants' discretion. I will set out pertinent terms of the joint venture agreement later, but note that while Mr. Dhanoa is a manager under the terms of the joint venture agreement, his discretionary power is limited to day-to-day operations and is equaled by Mr. Gupta, who represents the Gupta-Gadhri partnership in the joint venture agreement (more on this below). That discretionary power is further fettered by the requirement of a 3/4 vote of the Management Committee, of which Mr. Gadhri is a member, on all major decisions. Again, this is unlike </w:t>
      </w:r>
      <w:r>
        <w:rPr>
          <w:rFonts w:ascii="arial" w:eastAsia="arial" w:hAnsi="arial" w:cs="arial"/>
          <w:i/>
          <w:color w:val="000000"/>
          <w:sz w:val="20"/>
          <w:lang w:val="en-US" w:eastAsia="en-US" w:bidi="ar-SA"/>
        </w:rPr>
        <w:t>Smithies Holdings</w:t>
      </w:r>
      <w:r>
        <w:rPr>
          <w:rFonts w:ascii="arial" w:eastAsia="arial" w:hAnsi="arial" w:cs="arial"/>
          <w:color w:val="000000"/>
          <w:sz w:val="20"/>
          <w:lang w:val="en-US" w:eastAsia="en-US" w:bidi="ar-SA"/>
        </w:rPr>
        <w:t>, where the Board could make major decisions without including certain joint venturers in the decision, including disposing of assets. The joint venture agreement in this matter even lists categories of decisions that require the unanimous approval of the joint venturers. There is more than enough protection provided for Mr. Gadhri in the joint venture and little reason to impose a fiduciary duty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Gadhri also did not seem to point to any identifiable legal or vital practical interest that would be affected by the defendants' remaining power. Mr. Gadhri continually pointed to alleged general wrongdoings by Mr. Dhanoa and the Numbered Companies, which is unhelpful in making this determination.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Do Mr. Dhanoa or the Numbered Companies owe Mr. Gadhri a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Gadhri further argues, however, that Mr. Dhanoa and the Numbered Companies owe him a general duty of good faith in the joint venture.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890"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at paras. 63-71, Cromwell J. recently discussed good faith as an "organizing principle" of contract law that provides parties generally must perform their contractual duties honestly and reasonably and not capriciously or arbitrarily. He continued, indicating an organizing principle is not a free-standing rule. It must be applied consistent with common law contract principles that place weight on the freedom to pursue individual self-interests. As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Tying the organizing principle to the existing law mitigates the concern that any general notion of good faith in contract law will undermine certainty in commercial contracts. In my view, this approach strikes the correct balance between predictability and flexibility.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Mr. Justice Cromwell notably did not impose a </w:t>
      </w:r>
      <w:r>
        <w:rPr>
          <w:rFonts w:ascii="arial" w:eastAsia="arial" w:hAnsi="arial" w:cs="arial"/>
          <w:i/>
          <w:color w:val="000000"/>
          <w:sz w:val="20"/>
          <w:lang w:val="en-US" w:eastAsia="en-US" w:bidi="ar-SA"/>
        </w:rPr>
        <w:t>duty</w:t>
      </w:r>
      <w:r>
        <w:rPr>
          <w:rFonts w:ascii="arial" w:eastAsia="arial" w:hAnsi="arial" w:cs="arial"/>
          <w:color w:val="000000"/>
          <w:sz w:val="20"/>
          <w:lang w:val="en-US" w:eastAsia="en-US" w:bidi="ar-SA"/>
        </w:rPr>
        <w:t xml:space="preserve"> of good faith in contracts as that would improperly encroach on parties' ability to contract freely. A contract can contain a clause requiring parties to act in good faith if the parties so negotiate.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went on to create a new duty of honest performance of contractual obligations (para. 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 </w:t>
      </w:r>
      <w:r>
        <w:rPr>
          <w:rFonts w:ascii="arial" w:eastAsia="arial" w:hAnsi="arial" w:cs="arial"/>
          <w:i/>
          <w:color w:val="000000"/>
          <w:sz w:val="20"/>
          <w:lang w:val="en-US" w:eastAsia="en-US" w:bidi="ar-SA"/>
        </w:rPr>
        <w:t>[T]here is a general duty of honesty in contractual performance. This means simply that parties must not lie or otherwise knowingly mislead each other about matters directly linked to the performance of the contract. This does not impose a duty of loyalty or of disclosure or require a party to forego advantages flowing from the contract; it is a simple requirement not to lie or mislead the other party about one's contractual performance</w:t>
      </w:r>
      <w:r>
        <w:rPr>
          <w:rFonts w:ascii="arial" w:eastAsia="arial" w:hAnsi="arial" w:cs="arial"/>
          <w:color w:val="000000"/>
          <w:sz w:val="20"/>
          <w:lang w:val="en-US" w:eastAsia="en-US" w:bidi="ar-SA"/>
        </w:rPr>
        <w:t>. Recognizing a duty of honest performance flowing directly from the common law organizing principle of good faith is a modest, incremental step. The requirement to act honestly is one of the most widely recognized aspects of the organizing principle of good faith... [Emphasis added.]</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Based on the above, Mr. Dhanoa and the Numbered Companies owe a general duty of honesty in contractual performance. This is described as generally performing "contractual duties honestly and reasonably and not capriciously or arbitrarily." There is, however, no clause requiring good faith performance, express or implied, in the joint venture agreement. Mr. Gadhri was in a position to bargain and negotiate freely, and he could have imposed such a condition if he so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Therefore, Mr. Dhanoa and the Numbered Companies do not owe Mr. Gadhri a fiduciary duty or a duty to act in good faith. The joint venture in this case did not give rise to a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fiduciary relationship. There is no generally recognized fiduciary relationship in joint ventures and the parties were not in a traditional relationship of trust. Nor is there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duty in this case: Mr. Gadhri was not vulnerable to the parties; Mr. Gadhri did not have a reasonable expectation that they would forsake the interests of all others to the benefit of Mr. Gadhri; and Mr. Gadhri did not identify a legal or substantial practical interest that would be affected by their exercise of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Clearly, however, there is a general duty on all parties, including Mr. Gadhri, to perform obligations under the various agreements in the joint venture honestly. The parties are required not to "lie or otherwise knowingly mislead each other about matters directly linked to the performance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evidence does not establish Mr. Dhanoa or the Numbered Companies engaged in any of this behaviour. In contrast, I have found Mr. Dhanoa to be forthright and his efforts to be straightforward in dealing with a very challenging set of issues that evolved in a development beset by difficulties arising from the economic downturn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will deal with this as part of my continuing analysis on the impact of the various agreements, including whether those agreements are valid and binding.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Are various of the agreements entered into by the parties valid and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Gadhri essentially asks the Court to declare void a variety of the agreements or parts of the agreements entered into by the parties during the course of the joint venture as part of his argument that Mr. Dhanoa breached his duty of honesty and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Generally, Mr. Gadhri states he was not sufficiently versed in English or knowledgeable in real estate development to understand certain of the agreements he was signing. He states many documents or agreements were simply put in front of him for signature. He also argues the contracts were unfair and often "did not make sense." Mr. Gadhri argues his consent to the agreements or portions of the agreements was repudiated. Essentially, he argues the defences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undue influence, and 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With regard specifically to two option agreements, Mr. Gadhri argues the failure to register the options to purchase on Lots 79 and 23 with a subdivision plan is contrary to s. 72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He also argues the option agreements violate the rule against perpetuities and lack sufficient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Mr. Dhanoa and the Numbered Companies argue Mr. Gadhri is barred from arguing the various agreements are unenforceable as he did not include that defence in his pleadings. As to the option agreements, Mr. Dhanoa and the Numbered Companies submit the consideration was sufficient, the options are not under the purview of s. 73 in these circumstances, and the options are saved by the </w:t>
      </w:r>
      <w:r>
        <w:rPr>
          <w:rFonts w:ascii="arial" w:eastAsia="arial" w:hAnsi="arial" w:cs="arial"/>
          <w:i/>
          <w:color w:val="000000"/>
          <w:sz w:val="20"/>
          <w:lang w:val="en-US" w:eastAsia="en-US" w:bidi="ar-SA"/>
        </w:rPr>
        <w:t>Perpetuity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358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While none of the defences were properly pleaded in Mr. Gadhri's Amended Notice of Civil Claim, I will consider them here as the issue was frequently raised by Mr. Gadhri throughout the proceedings. For the reasons that follow, I find the agreements are valid and Mr. Gadhri is bound by all agreements he signed.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Legal Principles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Non Est Factum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Gadhri argues he did not, in his participation in the joint venture, understand many of the agreements he was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is a defence for a party to an agreement that is fundamentally different from the agreement that party believed he or she was signing. It is a difficult defence for a party to establish: </w:t>
      </w:r>
      <w:r>
        <w:rPr>
          <w:rFonts w:ascii="arial" w:eastAsia="arial" w:hAnsi="arial" w:cs="arial"/>
          <w:i/>
          <w:color w:val="000000"/>
          <w:sz w:val="20"/>
          <w:lang w:val="en-US" w:eastAsia="en-US" w:bidi="ar-SA"/>
        </w:rPr>
        <w:t>Tang v. Chan</w:t>
      </w:r>
      <w:r>
        <w:rPr>
          <w:rFonts w:ascii="arial" w:eastAsia="arial" w:hAnsi="arial" w:cs="arial"/>
          <w:color w:val="000000"/>
          <w:sz w:val="20"/>
          <w:lang w:val="en-US" w:eastAsia="en-US" w:bidi="ar-SA"/>
        </w:rPr>
        <w:t xml:space="preserve">, </w:t>
      </w:r>
      <w:hyperlink r:id="rId891" w:history="1">
        <w:r>
          <w:rPr>
            <w:rFonts w:ascii="arial" w:eastAsia="arial" w:hAnsi="arial" w:cs="arial"/>
            <w:i/>
            <w:color w:val="0077CC"/>
            <w:sz w:val="20"/>
            <w:u w:val="single"/>
            <w:shd w:val="clear" w:color="auto" w:fill="FFFFFF"/>
            <w:lang w:val="en-US" w:eastAsia="en-US" w:bidi="ar-SA"/>
          </w:rPr>
          <w:t>2014 BCSC 2251</w:t>
        </w:r>
      </w:hyperlink>
      <w:r>
        <w:rPr>
          <w:rFonts w:ascii="arial" w:eastAsia="arial" w:hAnsi="arial" w:cs="arial"/>
          <w:color w:val="000000"/>
          <w:sz w:val="20"/>
          <w:lang w:val="en-US" w:eastAsia="en-US" w:bidi="ar-SA"/>
        </w:rPr>
        <w:t xml:space="preserve"> at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Farrell Estates Ltd. v. Win-Up Restaurant Ltd.</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2010 BCSC 1752</w:t>
        </w:r>
      </w:hyperlink>
      <w:r>
        <w:rPr>
          <w:rFonts w:ascii="arial" w:eastAsia="arial" w:hAnsi="arial" w:cs="arial"/>
          <w:color w:val="000000"/>
          <w:sz w:val="20"/>
          <w:lang w:val="en-US" w:eastAsia="en-US" w:bidi="ar-SA"/>
        </w:rPr>
        <w:t xml:space="preserve"> at para. 100, Dardi J. provided a useful summary of the principles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proving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rests with the party seeking to disown their signature;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seeking to invoke the remedy must show the document is fundamentally different from what the person believed he or she was signing;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if such a fundamental difference is shown, the court must examine whether the signer was careless in failing to take reasonable precautions in the execution of the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Goodman Estate v. Geffen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353</w:t>
      </w:r>
      <w:r>
        <w:rPr>
          <w:rFonts w:ascii="arial" w:eastAsia="arial" w:hAnsi="arial" w:cs="arial"/>
          <w:color w:val="000000"/>
          <w:sz w:val="20"/>
          <w:lang w:val="en-US" w:eastAsia="en-US" w:bidi="ar-SA"/>
        </w:rPr>
        <w:t xml:space="preserve"> at paras. 43-44, the Supreme Court of Canada set out the two-stage process for determining whether undue influence existed in a commercial bargain:</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question to be addressed in all cases is whether the potential for domination inheres in the nature of the relationship itself;</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next phase of the inquiry involves an examination of the nature of the transaction. If it is a commercial transaction, the plaintiff should show, in addition to the required relationship between the parties, that the contract worked unfairness, in the sense that he or she was unduly disadvantaged by it or that the defendant was unduly benefited by it. The courts must accord some degree of deference to the principle of freedom of contract and the inviolability of bargains. It can be assumed in the vast majority of commercial transactions that parties act in pursuance of their own self-interest.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With unconscionability, the focus is on the reasonableness of the bargain rather than the consent of the party disputing it. There is undoubtedly some overlap between this defence and undue influence: </w:t>
      </w:r>
      <w:r>
        <w:rPr>
          <w:rFonts w:ascii="arial" w:eastAsia="arial" w:hAnsi="arial" w:cs="arial"/>
          <w:i/>
          <w:color w:val="000000"/>
          <w:sz w:val="20"/>
          <w:lang w:val="en-US" w:eastAsia="en-US" w:bidi="ar-SA"/>
        </w:rPr>
        <w:t>Matheson Estate v. Stefankiw</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2000 SKQB 127</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formulation of the test for unconscionability was stated by McIntyre J.A. in </w:t>
      </w:r>
      <w:r>
        <w:rPr>
          <w:rFonts w:ascii="arial" w:eastAsia="arial" w:hAnsi="arial" w:cs="arial"/>
          <w:i/>
          <w:color w:val="000000"/>
          <w:sz w:val="20"/>
          <w:lang w:val="en-US" w:eastAsia="en-US" w:bidi="ar-SA"/>
        </w:rPr>
        <w:t>Harry v. Kreutziger</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(1978), 9 B.C.L.R. 166</w:t>
        </w:r>
      </w:hyperlink>
      <w:r>
        <w:rPr>
          <w:rFonts w:ascii="arial" w:eastAsia="arial" w:hAnsi="arial" w:cs="arial"/>
          <w:color w:val="000000"/>
          <w:sz w:val="20"/>
          <w:lang w:val="en-US" w:eastAsia="en-US" w:bidi="ar-SA"/>
        </w:rPr>
        <w:t xml:space="preserve"> at para. 14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 Where a claim is made that a bargain is unconscionable, it must be shown for success that there was inequality in the position of the parties due to the ignorance, need or distress of the weaker, which would leave him in the power of the stronger, coupled with proof of substantial unfairness in the bargain. When this has been shown a presumption of fraud is raised, and the stronger must show, in order to preserve his bargain, that it was fair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Lambert J.A., concurring in </w:t>
      </w:r>
      <w:r>
        <w:rPr>
          <w:rFonts w:ascii="arial" w:eastAsia="arial" w:hAnsi="arial" w:cs="arial"/>
          <w:i/>
          <w:color w:val="000000"/>
          <w:sz w:val="20"/>
          <w:lang w:val="en-US" w:eastAsia="en-US" w:bidi="ar-SA"/>
        </w:rPr>
        <w:t>Harry</w:t>
      </w:r>
      <w:r>
        <w:rPr>
          <w:rFonts w:ascii="arial" w:eastAsia="arial" w:hAnsi="arial" w:cs="arial"/>
          <w:color w:val="000000"/>
          <w:sz w:val="20"/>
          <w:lang w:val="en-US" w:eastAsia="en-US" w:bidi="ar-SA"/>
        </w:rPr>
        <w:t>, restated the test in this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 [The] single question is whether the transaction, seen as a whole, is sufficiently divergent from community standards of commercial morality that it should be rescinded...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my opinion, Mr. Gadhri has not made out any of the above defences. The authorities establish these rules arose to protect vulnerable parties who were not able to properly protect themselves when entering bargains or to understand what bargains they were making. That is not the case here, as will become evident from the facts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will deal with the events and specifics surrounding the pertinent arguments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Joint Venture -- September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initial discussions between the parties are important, as they inform the agreements reached between the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Once Mr. Gupta, Mr. Gadhri, and Mr. Dhanoa were advised the development could not proceed unless the adjoining parcels were all developed together, the two groups met in the summer of 2006. Mr. Gadhri called Mr. Dhanoa, advised he was the owner of the neighbouring land, and suggested they meet to discuss development of the parcels. While Mr. Dhanoa did not know either Mr. Gupta or Mr. Gadhri, he agreed to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that meeting, Mr. Gadhri indicated he was experienced in development, having gone through the process before, including the servicing of developments. This put Mr. Dhanoa at ease, and the parties moved forward with their development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group then met with Mr. Buckley, a lawyer specializing in corporate and commercial real estate and discussed proceeding with the development through a joint venture agreement. Mr. Dhanoa became aware of the concept of a joint venture for the first time at this meeting. Mr. Buckley asked questions of the parties, including who was involved; who owned the land; what the lot distribution would be; and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English was used when discussing the matter with Mr. Buckley. Among themselves the group spoke Punjabi. Interpretation was not, however, necessary for Mr. Gadhri. Whenever Mr. Buckley spoke English, Mr. Gadhri would either ask questions or discuss the matter with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After the meeting, Mr. Buckley drafted a joint venture agreement. Each party picked up a draft. A second meeting was then held where the draft was reviewed. Mr. Dhanoa and Mr. Gupta indicated Mr. Buckley explained the clauses of the document thoroughly and asked if they had any questions. Mr. Buckley also noted an accountant would be necessary to maintain the books and referred the group to Bubber &amp; Associates, an accounting firm with an office across the hall from Mr. Buckley's. Once Mr. Buckley finished reviewing the document, he indicated if they wished, they could seek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Gupta and Mr. Gadhri sought a second opinion from Jay Redmand, a lawyer recommended by Mr. Pamma. Mr. Gadhri also saw Mr. Redmand for legal matters involving the four-lot subdivision he was developing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Dhanoa did not seek a second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Redmand provided changes to the draft joint venture agreement. That draft was provided for review at another meeting with Mr. Buckley. Mr. Gadhri said all he understood was Mr. Redmand's suggestions "were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Gadhri does not appear to dispute the terms of the original joint venture agreement, other than to claim Mr. Dhanoa was the one who created the joint venture. He also would not admit it was explained to him but rather said he signed it after having it reviewed by Jay Redmond, his lawyer. He continued to say Mr. Buckley never reviewed any document with him, but contradicted this by indicating it was reviewed on the day he signed it. He said he just accepted what he was told and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This is not consistent with the testimony and observations of others, and I do not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was also some dispute about the amounts of lots in each parcel. Initially, it appeared the sellers had told Mr. Gupta and Mr. Gadhri they would be getting 25 lots; 528 would be getting 24 lots; and 815 would be getting 31 lots. This, however, worked out to 80, and the development was only approved for 79 lots. It appeared Mr. Gupta and Mr. Gadhri had 24.3 lots and 528 had 23.7 lots. Accordingly, the parties agreed to have a 50-50 split, either by sharing a lot or exchanging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cross-examination, however, Mr. Gupta indicated in purchasing the lots they had a figure Mr. Gadhri negotiated, where they essentially paid $103,000 per lot for 24.5 lots. The initial offer had been for 25 lots at $125,900 per lot, but this offer was declined. While Mr. Gupta was cross-examined extensively on this, he insisted ultimately he and Mr. Gadhri paid for 24.5 lots at $103,000. Mr. Gupta also said they verbally discussed with Mr. Dhanoa keeping the half lot. If they kept the 25 lots, they would compensate him for the proper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remainder lots were discussed. The consensus, however, was to leave this detail to be sorted out between the parties and to focus on putting together the joint venture. Essentially, the issue was agreed to, but how the payment would be made was not clear. Mr. Gadhri indicated they would keep the remainder lots and pay some compensation but leave that out of the joint venture agreement. A separate agreement would exist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 final meeting occurred with Mr. Buckley. A manager and the need for a management committee were discussed. A decision was made to have four committee members. The group ultimately signed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This description of the meeting and events was consistent with the testimony of Mr. Buckley. While Mr. Buckley did not have a recollection of the specific meetings, he outlined his general practice. After taking instructions and discussing possible provisions for an agreement, he would draft the document and review it in detail with the parties. He would then advise the parties to get independent legal advice if they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Many of Mr. Buckley's clients are from the Indo-Canadian community. If they did not speak English sufficiently, one of his assistants would attend the meeting to assist with any language issues. Mr. Buckley did not recall or note any issues with respect to the understanding of any of these parties. He also said nothing in the documents indicated he would have carried out other than his normal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joint venture agreement, dated and signed September 20, 2006, by Mr. Gupta, Mr. Gadhri, and the Numbered Companies, set out the division of the development into 79 lots as per clause 4.1:</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815 - 31 lots, being Lots 12 to 22, 23 to 34 and 70 to 77, together with that area referred to as Lot 80;</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528 - 23 lots, being Lots 1 to 11 and 35 to 46;</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Gupta -- 12 1/2 lots, being Lots 47 to 55, 69, 78, 79 and 1/2 of Lot 56;</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 -- 12 1/2 lots, being Lots 57 to 68 and 1/2 of Lot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addition, as per 4.1(c):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the City requires a temporary sewer and/or water lines to be installed through proposed lots 22 and 23, Gupta shall transfer Lot 78 to [815] and [815] shall transfer Lot 23 to Gupta, both of which transfers shall be completed concurrently with the registration of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Under the agreement, each party was responsible for their own financing in proportion to the lots and money would be pooled into a joint venture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material terms were: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joint venturers would borrow the funds required to subdivide and develop the development lands in accordance with their respective ownership percentages and would have the right to grant a mortgage against each of their respective ownership percentages in order to obtain financing for same;</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joint venturers would pay out and discharge any mortgages or financial encumbrances registered against the respective lots allocated to each joint venturer;</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joint venturers would receive the balance of the proceeds from the sale of that joint venturer's lots;</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joint venturers would pay the funds necessary to enable the timely development and subdivision of the development lands in proportion to their ownership percentages;</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 venture agreement was not to be construed as a partnership, and no joint venturer would have authority to pledge the credit or incur any liability or obligation or bind, act, or assume any obligation or responsibility on behalf of another joint venturer;</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the requisite municipal authority required a temporary sewer and/or water line to be installed through proposed Lot 22 and Lot 23, Mr. Gupta would transfer Lot 78 to 815 and 815 would transfer Lot 23 to Mr. Gupta;</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Dhanoa and Mr. Gupta would be appointed managers for the joint venture to direct the day-to-day operation of the joint venture in accordance with the terms of the joint venture agreement; and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accounting would be maintained by an individual to be mutually agreed upon who would be instructed to provide monthly financial statements within 30 days after the end of each month and to permit any of the joint venturers to audit, examine, and make copies of, or take extracts from the books of account, records and other documents, or papers in respect of the joint venture agreement during usual business hours.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Cost Sharing Agreement -- June 14,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Sometime later, due to a financing agreement with RBC and to address changes from the initial joint venture agreement, including the requirement to enter into a servicing agreement with the City and post security for the development cost charges, the joint venturers entered into a subsequent written agreement dated June 14, 2007, referred to by the parties as the "cost sharing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When the Royal Bank loan was approved, the parties met with Mr. Buckley, who assisted them with drafting the cost sharing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division of the development lands was modified to reflect that, after registration of the subdivision, ownership would be divided as follows:</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815 would own a total of 31 lots, being Lots 12 to 20, 22, 24 to 34 and 69 to 78;</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528 would own a total of 23 lots, being Lots 1 to 11 and 35 to 46;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Gupta and Mr. Gadhri to own a total of 25 lots, being Lots 21 and 23, 47 to 68 and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Lots 69 and 78 were transferred to 815 and Lots 21 and 23 were transferred to Mr. Gupta and Mr. Gadhri.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cost sharing was set out in clause 3.5 to be divided between the joint venturers as follows: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815 - 39.2%;</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528 - 29.15%;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Gupta and Mr. Gadhri -- 31.65%.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To facilitate the funding of the subdivision, as per clause 4.1, the parties acknowledged and agreed that RBC required a first mortgage against the entirety of the subdivision. The funds would be used to pay out the existing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terms of the cost-sharing agreement also reflected:</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joint venturer would be responsible for the payout of the existing mortgages and would indemnify each other with respect to the amount advanced in their favor;</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100% of the net sale proceeds from the sale of each of the joint venturer's respective lots would be applied towards paying down the RBC mortgage;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secure each party's prospective interest in the sale proceeds from the sale of lots, the joint venturers agreed to grant mortgages to each other, but not to register any such mortgages until the RBC mortgage had been fully repaid;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would use 528 for the purpose of contracting all contractors necessary for the development of the subdivision, opening a bank account for posting security by way of cash, bond and/or letters of credit, and for sharing any costs or credits in relation to the development of the subject lands;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Gupta and Mr. Gadhri would transfer Lot 78 to 815, and in return, 815 would transfer Lot 23 to Mr. Gupta and Mr. Gadhri concurrently with registration of the applicable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land value owned by the Numbered Companies was much higher than that owned by Mr. Gupta and Mr. Gadhri. As a result, the parent parcels of Mr. Gupta and Mr. Gadhri only had an existing first mortgage of $899,000. The parcels of the Numbered Companies had a first mortgage of $4.3 million. The bulk of the financing was therefore used by the Numbered Companies to pay off their loans. Mr. Gadhri was clearly preoccupied by this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Gadhri said the Numbered Companies had drawn on the $5.2 million loan by $750,000 over and above their proportionate share, based on the lots' development. In other words, the amount they was entitled to was $760,000 less than what was required to pay off the first existing mortgages on his properties. Mr. Gadhri says the cost sharing agreement was "for bank purposes only," to set out the proportionate shares, and to protect each of the joint venturers from excessive payments into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Gadhri initially took issue with this agreement, saying he did not understand it, was not given a copy of it, and was simply told to sign it. He said he was given no time to take it to a lawyer and it was not explained to him. Mr. Gadhri testified that, in the meeting with Mr. Buckley on this document, he asked to consult someone, but "Gupta, Dhanoa, and Buckley did not give [him] a chance."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Buckley testified he always encouraged parties to obtain independent legal advice. At no time would he discourage a party from obtaining independent advice. He noted the description of a meeting by Mr. Gadhri was not consistent with the normal way he would conduct a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Ultimately, Mr. Gadhri resiled from his challenge of the costs sharing agreement but his position is difficult to follow. He argued the evidence concerning this agreement was pertinent, as it reflected adversely on the credibility of Mr. Dhanoa. I will therefore address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accept the testimony of Mr. Dhanoa that the cost sharing agreement reflected necessary changes between the parties as the development progressed. Some disagreements existed, but the group developed a general consensus and finalized the agreement on paper so there would be no confusion. Mr. Dhanoa indicated Mr. Buckley went thoroughly over the document, mentioning the various agreements between the parties, paragraph by paragraph. He discussed the percentage the parties had in the project and the lots and asked questions. Ultimately, he asked the parties if they agreed to it and, if so, to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Dhanoa noted Mr. Buckley's practice was to give a copy of the document to each person and advise them to seek legal advice. Mr. Gadhri did not indicate he wished to do so. Mr. Dhanoa specifically disagreed Mr. Buckley ever said there was no need to seek legal advice, as testified by Mr. Gadhri. There was no reason to object to a request to seek legal advice. Mr. Dhanoa said all gave instructions to Mr. Buckley with respect to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Both Mr. Dhanoa and Mr. Gupta said the cost sharing agreement was to supersede the joint venture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Buckley's testimony was consistent with the above. He also agreed the purpose of the cost sharing agreement was to address cost sharing; to deal with the registration of the subdivision and how the lots were to be distributed; to decide who would manage the subdivision work; and to deal with the RBC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document itself contains an acknowledgment in the recitals that the cost sharing agreement "formalizes the various agreements amongst the parties." It also contained provision 5.14, stating that it reflected the entire agreement among the parties and superseded all prior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do not accept Mr. Gadhri's versions of events concerning the cost sharing agreement. Rather, I conclude that while he initially agreed to the terms of the cost sharing agreement, he had second thoughts once his dispute as to Mr. Gupta arose and sought to recast the events that led to the signing of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Gadhri said he was upset with the lot distribution in this agreement. As he said, "The day Lot 78 was traded with Lot 23, all these problems arose." Mr. Gupta gave Lot 78 to Mr. Dhanoa and took Lot 23. Mr. Gadhri did not agree with this, as Lot 78 was a "good lot." This statement reflects Mr. Gadhri was clearly aware of the terms of the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Detention Pond Agreement -- October 24,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City of Surrey required the creation of a detention pond for the purpose of the development. The pond was created on a hooked portion of Lot 22 as part of the development. That lot was owned by 815. The group dealt with the fact the lot would be tied up as part of the development by executing a detention pond agreement dated October 24, 2007. The agreement also reflects the fact that although 815 is the registered owner of Lot 22, it holds Lot 22 in trust for another company, namely, 0760813 B.C. Ltd. ("813").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parties agreed to facilitate the requirement of the City by way of the "proposed hooked lot to Lot 22." The group, including 813, agreed:</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813 would permit a detention pond to be created on Lot 22 and permit the joint venturers to use the detention pond until the City of Surrey determined that it was no longer required;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 venturers would pay 813 a user fee of $158,000 in the following proportions: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815 $62,000</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528 $46,000</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 $25,000</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Gupta $25,000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amounts are essentially equal to $2,000 multiplied by the number of lots owned by the joint venturer;</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estimated decommissioning expenses have been paid to the City of Surrey, who holds those funds in trust as security for the decommissioning of the detention pond;</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528 will pay the actual decommissioning costs when incurred and shall then be entitled to the refund from the City of Surrey; and</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actual costs of the decommissioning are greater than the funds refunded by the City of Surrey, then each of the joint venturers will pay their proportionate share to 528 within five days'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parties to the pond agreement have made their respective payments toward the user fee of $158,000.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City also required a second pond to control the erosion and limit the particles into the City water. The engineers identified several suitable lots, seven of which were used to accommodate the sedimentary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detention pond, however, has not yet been decommissioned. While originally the detention pond was to be removed once the City had built a large detention pond, estimated to be in two years, the City has to date not acquired the land to do so. There is therefore no definite answer as to how long the development is required to keep the detention 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Funds remain at the City of Surrey for the decommissioning of the pond. As a significant period of time has passed, it is likely that the costs to decommission the pond will be in excess of the amount held by the City of Surrey.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Agreements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With respect to the agreements generally, I conclude that, despite his claim, Mr. Gadhri is an experienced businessperson who is capable of understanding agreements and documents put before him. At the time of signing the agreements, he had extensive experience in business, including real estate development. While he claims to struggle with the English language, the testimony of Mr. Buckley, and others, was that Mr. Gadhri was quite capable in that regard. Further, Mr. Buckley testified he has many clients to whom English is a second language and he would have provided interpretation if there was any indication Mr. Gadhri was having difficulty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As an example of his capability and voice in the joint venture, it was Mr. Gadhri who first noticed that certain private loans and repayments (discussed below) were included in the accounting for the joint venture and suggested that they be taken out. This is not consistent with the picture Mr. Gadhri seeks to paint of himself as a man who just signed documents when he was told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evidence of Mr. Buckley was that Mr. Gadhri was advised to seek independent legal advice before signing any of the agreements. Mr. Buckley testified it is his standard practice to do so. I have no reason to doubt this is the case. That he does so is further corroborated by the inclusion of clauses 13.9 of the joint venture agreement and 5.15 of the cost sharing agreement, which state the signatories have been advised to obtain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There has been no evidence provided by Mr. Gadhri other than his own testimony -- which I have not found to be persuasive -- to establish the documents he signed were fundamentally different than those he believed he was signing. I find Mr. Gadhri has failed to prove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xml:space="preserv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note further Mr. Gadhri had access to people who could advise him, including Mr. Pamma and Ms. Manhas, both of whom spoke Punjabi. If it were true he has substantial difficulties with English -- something the evidence does not support -- he could have someone assist him during those meetings. In addition, he should have obtained independent legal advice as Mr. Buckley suggested. Indeed, he did so at the initial juncture of this development and consulted Mr. Redmand in another project he was involved in. If in fact the documents were fundamentally different from those Mr. Gadhri believed he was signing, and I have found they were not, he was in a position to avoid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Gadhri is a successful businessman. It is difficult to believe Mr. Gadhri would simply sign a piece of paper put in front of him without reading it or understanding what it was he was signing simply because Mr. Dhanoa and Mr. Gupta told him to. To do so would be completely out of character.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short, I am not convinced by the image that Mr. Gadhri paints of himself as a victim. There was no relationship here that would lead to a presumption, or even an inference, of undue influence. Mr. Gadhri and Mr. Gupta were equal partners -- there was no "potential for domination" arising from that partnership. In my opinion, he was not the weaker party in negotiations with Mr. Dhanoa or the Numbered Companies. Further, I find the agreements were not substantially unfair and certainly not "sufficiently divergent from community standards of commercial morality."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conclude the defences raised by Mr. Gadhri to those agreements are not made out. He is therefore bound by the agreements he signed in the course of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turn now to the specific arguments raised by Mr. Gadhri with respect to the option agreements.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Option Agreements -- October 29,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Gadhri indicates the next issue occurred with respect to the signing of two options to purchase. On October 29, 2008, Mr. Gupta and Mr. Gadhri signed two written agreements granting 0760822 B.C. Ltd. ("822"), a nominee for 815, the options to the Hook Lots for Lots 79 and 23 (the "Option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As roads and lanes intersected Lot 23 and Lot 79, those lots were composed of:</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full-size lot similar in size, shape, and proportion to the other lots in the development property; and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separated smaller remainder portion on the other side of the road, often referred to in real estate development as a "hook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remainder portions of Lots 23 and 79 (the "Hook Lots") were not large enough to develop unless they were merged with portions of neighbouring lands owned by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After the lots were distributed, Mr. Gupta and Mr. Gadhri received Lot 79, including a hook lot. This portion, the parties had agreed, properly belonged to 815. 815 had purchased three of the remainder lots -- one portion hooked to Lot 22 and those above. The hook portion of Lot 79 had been part of the Numbered Companies' parent parcel for which 815 had paid the extra funds. At this time, 815 had several of its lots held for provision of a siltation pond, including Lot 23. Mr. Gupta and Mr. Gadhri agreed to exchange Lot 78, which had no hook portion, to 815 in exchange for Lot 23, which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group had met at various times to discuss the project. As part of these discussions, it became apparent a detention pond was needed on the property which appeared to be a portion of land not purchased by 815. There was also a need for a pipe to go through triangular pieces of the property still owned by the original owners of the 31-lot parcel property (now owned by 815). The original contract of purchase did not include remainder areas on lots. They were still owned by Jagdeep Bhullar, the seller of the property as reflected in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owners advised they would let the development use the remainder portion but charge a fee of $5,000 per lot, per year. As this was expensive, Mr. Gadhri advised Mr. Dhanoa he should purchase the property. As Mr. Dhanoa noted, Mr. Gadhri said, "You had better buy it or we will all be stuck." This conversation was confirmed by Mr. Gupta. To reduce the costs of the project, 815 purchased the remainder pieces for $325,000; $300,000 by cheque and $25,000 in cash. The funds were provided by 813. 815 as a result holds this property in trust for 813.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This is confirmed by the documentation, whereby it is evident Puran Construction had assigned the contract to Mr. Bhullar, to whom Mr. Dhanoa paid this amount. Mr. Dhanoa was the third assignment in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While Mr. Gadhri denied this conversation took place, I prefer Mr. Dhanoa's and Mr. Gupta's evidence on this point. It is consistent with both the documentation and the reasonable probabilities. At this time, Mr. Dhanoa was very inexperienced and reluctant to expend further unexpected and significant funds. He relied on Mr. Gadhri's experience and suggestion in order to keep costs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set out, the parties had an understanding these two remainder hook portions would properly be returned to 815, the owner of the parent parcel. I find this was so. Mr. Dhanoa had paid $325,000 for three remainder portions, which became hook portions to certain lots for land title purposes. A contract of Purchase and Sale addendum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remainder area and lots as schedule X with the orange colour has been attached as excluded area which belongs to the Assignor, Jagdeep Bhullar purchased by Simranjit Singh Dhanoa at the price of $300,000.00 [three-hundred thousand dollars] will be paid by Simranjit Singh Dhanoa to Jagdeep Bhullar or his nominees on the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Both Mr. Gupta and Mr. Dhanoa testified to this understanding between the parties. It accords with the evidence and is consistent with the way in which the parties conducted business, including that Mr. Gupta and Mr. Gadhri received 25 lots after paying for 24.5. Furthermore, this is consistent with the original negotiations for the joint venture agreement, which reflected such a clause in the draft. It was removed as part of Mr. Gadhri's suggestion that this be kept out of the agreement and dealt with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Despite the fact Mr. Dhanoa had identified this as something that needed to be taken care of, it had not been addressed as a term of an agreement. Sometime after the cost sharing agreement was signed, the Option Agreements were signed on October 29, 2008, to remedy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Clause 1 of each Option Agreement states as follows: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sum of ONE ($1.00) DOLLAR now paid by the Purchaser [822] to the Vendor [Mr. Gupta and Mr. Gadhri] (the receipt and sufficiency of which is hereby acknowledged) the Vendor hereby grants to the Purchaser the sole and exclusive option (the "Option") irrevocable until and including 12:00 noon on the 5th day of December, 2107, to purchase the [respective Hook Portion] in the City of Surrey, in the Province of British Columbia ... free and clear of all financial encumbrances.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Once again, Mr. Gadhri says he signed this document because "he was told to" and he did not understand what he was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Shawn Hogan, a lawyer with Buckley Hogan since 1986 witnessed the signature of the parties on the Option Agreements. Mr. Hogan had no specific recollection of the meeting at issue but described his regular practice. He noted the Option to Purchase allows the purchaser to acquire the property for a token of $1.00 as per paragraph 5. That provision notes the portion of the lands as set out in Schedule "A" shall be conveyed "upon it being created following subdivision." Mr. Hogan noted at this point the property portion at issue cannot be transferred, as it does not have a separate title. This is typically done where the plan is to create a subdivision and merge two adjacent parcels of property to create a new lot. This document would be done in anticipation of the potential subdivision process, at which time the property would be acquired.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options are therefore concurrently registered with the subdivision plan. They were registered against Lot 23 and Lot 79, respectively, with the LTO.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Gupta and Mr. Gadhri have since entered into contracts to sell Lots 23 and 79, which would require them to provide free and clear title to those properties. I will deal with this later.</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 on the Option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Mr. Gadhri maintains he was made to sign the Option Agreements and that he was not aware of what he signed. I have already addressed that aspect of Mr. Gadhri's argument and have dismissed it. However, Mr. Gadhri further maintains the options are invalid, arguing one cannot have an option to purchase unless the subdivision plan is registered, as it would be contrary to s. 73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There are also issues, he argues, of lack of consideration and mutuality and potential violation of the rule against perpetuities.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Dhanoa and the Numbered Companies maintain the Option Agreements are valid. In the alternative, they argue that if this court finds the Option Agreements to be void, Mr. Gadhri and Mr. Gupta would be unjustly enriched if allowed to retain the hook portions of the two lots.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Gadhri argues there is insufficient consideration offered in the Option Agreements to create a valid contract. The Option Agreements clearly state that, in exchange for the options, Mr. Gadhri is to receive the sum of $1.00. When and if the option is exercised by 822, the purchase price for the Hook Portions is also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test for consideration is not one of adequacy. It is trite law to say that any consideration, even of nominal value, is sufficient for the purposes of a contract. A mere peppercorn will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As for the consideration required to support an option to purchase, in </w:t>
      </w:r>
      <w:r>
        <w:rPr>
          <w:rFonts w:ascii="arial" w:eastAsia="arial" w:hAnsi="arial" w:cs="arial"/>
          <w:i/>
          <w:color w:val="000000"/>
          <w:sz w:val="20"/>
          <w:lang w:val="en-US" w:eastAsia="en-US" w:bidi="ar-SA"/>
        </w:rPr>
        <w:t>Roberts Properties Inc. v. Saskatchewan Power Corp</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2014 SKQB 245</w:t>
        </w:r>
      </w:hyperlink>
      <w:r>
        <w:rPr>
          <w:rFonts w:ascii="arial" w:eastAsia="arial" w:hAnsi="arial" w:cs="arial"/>
          <w:color w:val="000000"/>
          <w:sz w:val="20"/>
          <w:lang w:val="en-US" w:eastAsia="en-US" w:bidi="ar-SA"/>
        </w:rPr>
        <w:t xml:space="preserve">, the court cited with approval </w:t>
      </w:r>
      <w:r>
        <w:rPr>
          <w:rFonts w:ascii="arial" w:eastAsia="arial" w:hAnsi="arial" w:cs="arial"/>
          <w:i/>
          <w:color w:val="000000"/>
          <w:sz w:val="20"/>
          <w:lang w:val="en-US" w:eastAsia="en-US" w:bidi="ar-SA"/>
        </w:rPr>
        <w:t>Mountford v. Scott</w:t>
      </w:r>
      <w:r>
        <w:rPr>
          <w:rFonts w:ascii="arial" w:eastAsia="arial" w:hAnsi="arial" w:cs="arial"/>
          <w:color w:val="000000"/>
          <w:sz w:val="20"/>
          <w:lang w:val="en-US" w:eastAsia="en-US" w:bidi="ar-SA"/>
        </w:rPr>
        <w:t>, [1975] 1 All E.R. 198 at 264 (C.A.), in which the U.K. Court of Appeal discussed the validity of an option to purchase exchanged for the sum of GDP1. In that decision, Russell L.J.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third ground of attack on the validity of the option agreement was that the consideration for the grant of the option, stated and paid, namely GBP1, was a sum which the law would not regard as valuable consideration... This I found a startling proposition. [Counsel] has not been able to find any support for it in English authority; and his reliance on a Canadian case, </w:t>
      </w:r>
      <w:r>
        <w:rPr>
          <w:rFonts w:ascii="arial" w:eastAsia="arial" w:hAnsi="arial" w:cs="arial"/>
          <w:i/>
          <w:color w:val="000000"/>
          <w:sz w:val="20"/>
          <w:lang w:val="en-US" w:eastAsia="en-US" w:bidi="ar-SA"/>
        </w:rPr>
        <w:t>Gilchrist Vending Ltd. v. Sedley Hotel Ltd.</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(1967), 66 D.L.R. (2d) 24</w:t>
        </w:r>
      </w:hyperlink>
      <w:r>
        <w:rPr>
          <w:rFonts w:ascii="arial" w:eastAsia="arial" w:hAnsi="arial" w:cs="arial"/>
          <w:color w:val="000000"/>
          <w:sz w:val="20"/>
          <w:lang w:val="en-US" w:eastAsia="en-US" w:bidi="ar-SA"/>
        </w:rPr>
        <w:t>, was based on a misreading, in my view, of the decision in that case, which appears to me to suggest only that possible future obligations which could be avoided by payment of $1 were illusory as consideration.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situation in this case, therefore, is that the option agreement was valid and effective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Cairns L.J. then held at 265: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was a separate contention ... that the GBP1 consideration was no consideration in law. That was not the actual decision in the Canadian case and, if it had been, it would have been contrary to a mass of English authority to the effect that anything of value, however small the value, is sufficient consideration to support a contract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Option Agreements state that the options are granted in exchange for the payment of $1.00. While nominal, $1.00 is valuable and sufficient consideration to support the enforceability of the Option Agreements. I would not invalidate them on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Further, I have already found Mr. Gadhri was aware of the contents of the various agreements he signed. As a result, I find that by signing the Option Agreements, he agreed to clause 1 and therefore acknowledged the sufficiency of the consideration.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Mutuality of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Pointing to the concurring reasons of Laskin C.J.C. (as he then was) in </w:t>
      </w:r>
      <w:r>
        <w:rPr>
          <w:rFonts w:ascii="arial" w:eastAsia="arial" w:hAnsi="arial" w:cs="arial"/>
          <w:i/>
          <w:color w:val="000000"/>
          <w:sz w:val="20"/>
          <w:lang w:val="en-US" w:eastAsia="en-US" w:bidi="ar-SA"/>
        </w:rPr>
        <w:t>Politzer v. Metropolitan Homes Ltd.</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[1976] 1 S.C.R. 363</w:t>
        </w:r>
      </w:hyperlink>
      <w:r>
        <w:rPr>
          <w:rFonts w:ascii="arial" w:eastAsia="arial" w:hAnsi="arial" w:cs="arial"/>
          <w:color w:val="000000"/>
          <w:sz w:val="20"/>
          <w:lang w:val="en-US" w:eastAsia="en-US" w:bidi="ar-SA"/>
        </w:rPr>
        <w:t>, counsel for Mr. Gadhri argued that the Option Agreements, which granted the option to purchase the Hook Lots to 822 but did not impose an obligation on 822 to do so, lack the mutuality of obligation required to create a binding contract. At para. 14, Laskin C.J.C.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Since para. 3 purports to excuse the purchaser from any binding obligation in respect of the agreement of sale, ... I regard the agreement of sale and purchase as illusory. I see no binding contract supported by consideration in an agreement under which the purchaser may choose to perform or not, without liability if he decides not to. Certainly there is no mutuality of obligation; and without necessarily saying that this is in all cases necessary to support an action for specific performance it is plain to me that such relief cannot be successfully sought by the purchaser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Though an option to purchase property can arise in the context of a bilateral contract, it is, by itself, a </w:t>
      </w:r>
      <w:r>
        <w:rPr>
          <w:rFonts w:ascii="arial" w:eastAsia="arial" w:hAnsi="arial" w:cs="arial"/>
          <w:i/>
          <w:color w:val="000000"/>
          <w:sz w:val="20"/>
          <w:lang w:val="en-US" w:eastAsia="en-US" w:bidi="ar-SA"/>
        </w:rPr>
        <w:t>unilateral</w:t>
      </w:r>
      <w:r>
        <w:rPr>
          <w:rFonts w:ascii="arial" w:eastAsia="arial" w:hAnsi="arial" w:cs="arial"/>
          <w:color w:val="000000"/>
          <w:sz w:val="20"/>
          <w:lang w:val="en-US" w:eastAsia="en-US" w:bidi="ar-SA"/>
        </w:rPr>
        <w:t xml:space="preserve"> one. It is a contract in which only one party is bound: </w:t>
      </w:r>
      <w:r>
        <w:rPr>
          <w:rFonts w:ascii="arial" w:eastAsia="arial" w:hAnsi="arial" w:cs="arial"/>
          <w:i/>
          <w:color w:val="000000"/>
          <w:sz w:val="20"/>
          <w:lang w:val="en-US" w:eastAsia="en-US" w:bidi="ar-SA"/>
        </w:rPr>
        <w:t>Chitty on Contract</w:t>
      </w:r>
      <w:r>
        <w:rPr>
          <w:rFonts w:ascii="arial" w:eastAsia="arial" w:hAnsi="arial" w:cs="arial"/>
          <w:color w:val="000000"/>
          <w:sz w:val="20"/>
          <w:lang w:val="en-US" w:eastAsia="en-US" w:bidi="ar-SA"/>
        </w:rPr>
        <w:t xml:space="preserve">, 27th ed., vol. 1 (London: Sweet &amp; Maxwell, 1994) at 19, para. 1-022. This was discussed by the Supreme Court of Canada in </w:t>
      </w:r>
      <w:r>
        <w:rPr>
          <w:rFonts w:ascii="arial" w:eastAsia="arial" w:hAnsi="arial" w:cs="arial"/>
          <w:i/>
          <w:color w:val="000000"/>
          <w:sz w:val="20"/>
          <w:lang w:val="en-US" w:eastAsia="en-US" w:bidi="ar-SA"/>
        </w:rPr>
        <w:t>Sail Labrador Ltd. v. Navimar Corp</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[1999] 1 S.C.R. 265</w:t>
        </w:r>
      </w:hyperlink>
      <w:r>
        <w:rPr>
          <w:rFonts w:ascii="arial" w:eastAsia="arial" w:hAnsi="arial" w:cs="arial"/>
          <w:color w:val="000000"/>
          <w:sz w:val="20"/>
          <w:lang w:val="en-US" w:eastAsia="en-US" w:bidi="ar-SA"/>
        </w:rPr>
        <w:t xml:space="preserve"> at paras. 36,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Thus, it is clear that an option may take the form of a unilateral contract. Upon granting the option, the optionor undertakes the promise to honour its terms if it is exercised by the optionee. </w:t>
      </w:r>
      <w:r>
        <w:rPr>
          <w:rFonts w:ascii="arial" w:eastAsia="arial" w:hAnsi="arial" w:cs="arial"/>
          <w:i/>
          <w:color w:val="000000"/>
          <w:sz w:val="20"/>
          <w:lang w:val="en-US" w:eastAsia="en-US" w:bidi="ar-SA"/>
        </w:rPr>
        <w:t>The optionee, on the other hand, is under no corresponding obligation to exercise the option</w:t>
      </w:r>
      <w:r>
        <w:rPr>
          <w:rFonts w:ascii="arial" w:eastAsia="arial" w:hAnsi="arial" w:cs="arial"/>
          <w:color w:val="000000"/>
          <w:sz w:val="20"/>
          <w:lang w:val="en-US" w:eastAsia="en-US" w:bidi="ar-SA"/>
        </w:rPr>
        <w:t>. However, if the optionee chooses to exercise the option, it can do so simply by performing the required conditions precedent.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The apparent rationale for the inapplicability of the doctrine of substantial non-performance to the conditions precedent for the exercise of options </w:t>
      </w:r>
      <w:r>
        <w:rPr>
          <w:rFonts w:ascii="arial" w:eastAsia="arial" w:hAnsi="arial" w:cs="arial"/>
          <w:i/>
          <w:color w:val="000000"/>
          <w:sz w:val="20"/>
          <w:lang w:val="en-US" w:eastAsia="en-US" w:bidi="ar-SA"/>
        </w:rPr>
        <w:t>is the absence of mutual promises in unilateral contracts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The Court went on to state, however, that not all options are unilateral contracts. If an option appears in a bilateral contract, it may be considered to be an element of that bilateral agreement: </w:t>
      </w:r>
      <w:r>
        <w:rPr>
          <w:rFonts w:ascii="arial" w:eastAsia="arial" w:hAnsi="arial" w:cs="arial"/>
          <w:i/>
          <w:color w:val="000000"/>
          <w:sz w:val="20"/>
          <w:lang w:val="en-US" w:eastAsia="en-US" w:bidi="ar-SA"/>
        </w:rPr>
        <w:t>Sail Labradour</w:t>
      </w:r>
      <w:r>
        <w:rPr>
          <w:rFonts w:ascii="arial" w:eastAsia="arial" w:hAnsi="arial" w:cs="arial"/>
          <w:color w:val="000000"/>
          <w:sz w:val="20"/>
          <w:lang w:val="en-US" w:eastAsia="en-US" w:bidi="ar-SA"/>
        </w:rPr>
        <w:t>,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Sloan v. Union Oil Co. of Canada</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[1955] 4 D.L.R. 664</w:t>
        </w:r>
      </w:hyperlink>
      <w:r>
        <w:rPr>
          <w:rFonts w:ascii="arial" w:eastAsia="arial" w:hAnsi="arial" w:cs="arial"/>
          <w:color w:val="000000"/>
          <w:sz w:val="20"/>
          <w:lang w:val="en-US" w:eastAsia="en-US" w:bidi="ar-SA"/>
        </w:rPr>
        <w:t xml:space="preserve"> at 680 (B.C.S.C.), the court, considering unilateral contracts, cited with approval the following from </w:t>
      </w:r>
      <w:r>
        <w:rPr>
          <w:rFonts w:ascii="arial" w:eastAsia="arial" w:hAnsi="arial" w:cs="arial"/>
          <w:i/>
          <w:color w:val="000000"/>
          <w:sz w:val="20"/>
          <w:lang w:val="en-US" w:eastAsia="en-US" w:bidi="ar-SA"/>
        </w:rPr>
        <w:t>Scott v. J.F. Duthie &amp; Co.</w:t>
      </w:r>
      <w:r>
        <w:rPr>
          <w:rFonts w:ascii="arial" w:eastAsia="arial" w:hAnsi="arial" w:cs="arial"/>
          <w:color w:val="000000"/>
          <w:sz w:val="20"/>
          <w:lang w:val="en-US" w:eastAsia="en-US" w:bidi="ar-SA"/>
        </w:rPr>
        <w:t>, 125 Wash. 470, 216 P. 853 (U.S. Wash. S.C. 1923):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principle of mutuality of obligation, as generally applied in the law of contract, has no place in the consideration of unilateral contracts. Such contracts are not based on mutual promises or obligations. "If the promisor has received a consideration, his promise is binding and may be aptly termed an obligation; but as there is no promise on the part of the promisee, there can be no mutual obligations. Accordingly, where one makes a promise conditioned upon the doing of an act by another, and the latter does the act, the contract is not void for want of mutuality, and the promisor is liable though the promisee did not at the time of the promise engage to do the act; for upon the performance of the condition by the promisee, the contract becomes clothed with a valid consideration, which relates back and renders the promise obligatory." 6 R.C.L. 687.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quote from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xml:space="preserve"> was also approved by our Court of Appeal in </w:t>
      </w:r>
      <w:r>
        <w:rPr>
          <w:rFonts w:ascii="arial" w:eastAsia="arial" w:hAnsi="arial" w:cs="arial"/>
          <w:i/>
          <w:color w:val="000000"/>
          <w:sz w:val="20"/>
          <w:lang w:val="en-US" w:eastAsia="en-US" w:bidi="ar-SA"/>
        </w:rPr>
        <w:t>Kornerup v. Raytheon Canada Ltd</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2008 BCCA 241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It is clear from these authorities that options to purchase, standing alone, do not require a mutuality of obligations. They are unilateral. This is not like the situation described in </w:t>
      </w:r>
      <w:r>
        <w:rPr>
          <w:rFonts w:ascii="arial" w:eastAsia="arial" w:hAnsi="arial" w:cs="arial"/>
          <w:i/>
          <w:color w:val="000000"/>
          <w:sz w:val="20"/>
          <w:lang w:val="en-US" w:eastAsia="en-US" w:bidi="ar-SA"/>
        </w:rPr>
        <w:t>Sail Labradour</w:t>
      </w:r>
      <w:r>
        <w:rPr>
          <w:rFonts w:ascii="arial" w:eastAsia="arial" w:hAnsi="arial" w:cs="arial"/>
          <w:color w:val="000000"/>
          <w:sz w:val="20"/>
          <w:lang w:val="en-US" w:eastAsia="en-US" w:bidi="ar-SA"/>
        </w:rPr>
        <w:t xml:space="preserve"> where the option arose as a clause in a bilateral contract. Here, the Option Agreements were standalone, unilateral contracts. As such, they do not require mutuality.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 note also the concurring reasons of Laskin C.J.C. in </w:t>
      </w:r>
      <w:r>
        <w:rPr>
          <w:rFonts w:ascii="arial" w:eastAsia="arial" w:hAnsi="arial" w:cs="arial"/>
          <w:i/>
          <w:color w:val="000000"/>
          <w:sz w:val="20"/>
          <w:lang w:val="en-US" w:eastAsia="en-US" w:bidi="ar-SA"/>
        </w:rPr>
        <w:t>Politzer</w:t>
      </w:r>
      <w:r>
        <w:rPr>
          <w:rFonts w:ascii="arial" w:eastAsia="arial" w:hAnsi="arial" w:cs="arial"/>
          <w:color w:val="000000"/>
          <w:sz w:val="20"/>
          <w:lang w:val="en-US" w:eastAsia="en-US" w:bidi="ar-SA"/>
        </w:rPr>
        <w:t xml:space="preserve"> arose in the context of determining whether an agreement was a contract of purchase and sale or an option to purchase, not whether an option was enforceable. Further, the agreement in that case gave the purchaser a unilateral right to rescind the agreement even </w:t>
      </w:r>
      <w:r>
        <w:rPr>
          <w:rFonts w:ascii="arial" w:eastAsia="arial" w:hAnsi="arial" w:cs="arial"/>
          <w:i/>
          <w:color w:val="000000"/>
          <w:sz w:val="20"/>
          <w:lang w:val="en-US" w:eastAsia="en-US" w:bidi="ar-SA"/>
        </w:rPr>
        <w:t>after</w:t>
      </w:r>
      <w:r>
        <w:rPr>
          <w:rFonts w:ascii="arial" w:eastAsia="arial" w:hAnsi="arial" w:cs="arial"/>
          <w:color w:val="000000"/>
          <w:sz w:val="20"/>
          <w:lang w:val="en-US" w:eastAsia="en-US" w:bidi="ar-SA"/>
        </w:rPr>
        <w:t xml:space="preserve"> exercising the option. In that sense, I find that case distinguishable from the one at hand.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Rule against Perpetuities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Gadhri contends an option to purchase gives the option of an equitable interest in land that is subject to the rule against perpetuities. He argues that, as the Option Agreements allowed the option to be exercised beyond the permitted time frame, they are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For the reasons that follow, I find the agreements are not void for violating the rule against perpetuities.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The rule against perpetuities is a common law rule that states an interest must vest, if it will vest at all, within 21 years of the end of a life in being at the date the instrument takes effect. The rule, therefore, invalidates an interest that may vest at too remote a date in the future: </w:t>
      </w:r>
      <w:r>
        <w:rPr>
          <w:rFonts w:ascii="arial" w:eastAsia="arial" w:hAnsi="arial" w:cs="arial"/>
          <w:i/>
          <w:color w:val="000000"/>
          <w:sz w:val="20"/>
          <w:lang w:val="en-US" w:eastAsia="en-US" w:bidi="ar-SA"/>
        </w:rPr>
        <w:t>Canadian Long Island Petroleums Ltd. v. Irving Wire Products</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[1975] 2 S.C.R. 715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Form C to register the Option Agreements was executed on October 29, 2008. The Option Agreements state 822 has until noon on December 5, 2107, to exercise the options. That is a period of more than 99 years and, on its face, would be void for violating the rule against perpetuities.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That said, there is legislation that alters the rule against perpetuities in B.C. Sections 8 and 9 of the </w:t>
      </w:r>
      <w:r>
        <w:rPr>
          <w:rFonts w:ascii="arial" w:eastAsia="arial" w:hAnsi="arial" w:cs="arial"/>
          <w:i/>
          <w:color w:val="000000"/>
          <w:sz w:val="20"/>
          <w:lang w:val="en-US" w:eastAsia="en-US" w:bidi="ar-SA"/>
        </w:rPr>
        <w:t>Perpetuity Act</w:t>
      </w:r>
      <w:r>
        <w:rPr>
          <w:rFonts w:ascii="arial" w:eastAsia="arial" w:hAnsi="arial" w:cs="arial"/>
          <w:color w:val="000000"/>
          <w:sz w:val="20"/>
          <w:lang w:val="en-US" w:eastAsia="en-US" w:bidi="ar-SA"/>
        </w:rPr>
        <w:t xml:space="preserve"> state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Possibility of vesting beyond period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No disposition creating a contingent interest in property is void as violating the rule against perpetuities only because of the fact that there is a possibility of the interest vesting beyond the perpetuity period.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Presumption of validity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 (1)</w:t>
      </w:r>
      <w:r>
        <w:rPr>
          <w:rFonts w:ascii="arial" w:eastAsia="arial" w:hAnsi="arial" w:cs="arial"/>
          <w:color w:val="000000"/>
          <w:sz w:val="20"/>
          <w:lang w:val="en-US" w:eastAsia="en-US" w:bidi="ar-SA"/>
        </w:rPr>
        <w:t xml:space="preserve"> Every contingent interest in property that is capable of vesting within or beyond the perpetuity period is presumed to be valid until actual events establish that the interest is incapable of vesting within the perpetuity period, in which case the interest, unless validated by the application of section 11, 12 or 13, becomes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As seen in these provisions, contingent interests are no longer </w:t>
      </w:r>
      <w:r>
        <w:rPr>
          <w:rFonts w:ascii="arial" w:eastAsia="arial" w:hAnsi="arial" w:cs="arial"/>
          <w:i/>
          <w:color w:val="000000"/>
          <w:sz w:val="20"/>
          <w:lang w:val="en-US" w:eastAsia="en-US" w:bidi="ar-SA"/>
        </w:rPr>
        <w:t>void ab initio</w:t>
      </w:r>
      <w:r>
        <w:rPr>
          <w:rFonts w:ascii="arial" w:eastAsia="arial" w:hAnsi="arial" w:cs="arial"/>
          <w:color w:val="000000"/>
          <w:sz w:val="20"/>
          <w:lang w:val="en-US" w:eastAsia="en-US" w:bidi="ar-SA"/>
        </w:rPr>
        <w:t xml:space="preserve"> if they can vest outside of the perpetuity period. Section 9(1) creates a period in which we "wait and see" whether the interest will vest in the allowed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Moreover, s. 21 of the </w:t>
      </w:r>
      <w:r>
        <w:rPr>
          <w:rFonts w:ascii="arial" w:eastAsia="arial" w:hAnsi="arial" w:cs="arial"/>
          <w:i/>
          <w:color w:val="000000"/>
          <w:sz w:val="20"/>
          <w:lang w:val="en-US" w:eastAsia="en-US" w:bidi="ar-SA"/>
        </w:rPr>
        <w:t>Perpetuity Act</w:t>
      </w:r>
      <w:r>
        <w:rPr>
          <w:rFonts w:ascii="arial" w:eastAsia="arial" w:hAnsi="arial" w:cs="arial"/>
          <w:color w:val="000000"/>
          <w:sz w:val="20"/>
          <w:lang w:val="en-US" w:eastAsia="en-US" w:bidi="ar-SA"/>
        </w:rPr>
        <w:t>, pertaining to options, states in relevant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Commercial transactions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21 (1)</w:t>
      </w:r>
      <w:r>
        <w:rPr>
          <w:rFonts w:ascii="arial" w:eastAsia="arial" w:hAnsi="arial" w:cs="arial"/>
          <w:color w:val="000000"/>
          <w:sz w:val="20"/>
          <w:lang w:val="en-US" w:eastAsia="en-US" w:bidi="ar-SA"/>
        </w:rPr>
        <w:t xml:space="preserve"> In the case of an option or other contractual right under which an interest in property may be acquired for valuable consideration, the perpetuity period is 80 years from the date of the creation of the option or contractual right, and </w:t>
      </w:r>
      <w:r>
        <w:rPr>
          <w:rFonts w:ascii="arial" w:eastAsia="arial" w:hAnsi="arial" w:cs="arial"/>
          <w:i/>
          <w:color w:val="000000"/>
          <w:sz w:val="20"/>
          <w:lang w:val="en-US" w:eastAsia="en-US" w:bidi="ar-SA"/>
        </w:rPr>
        <w:t>if under an option or contractual right an interest in property could arise more than 80 years after the creation of the option or contractual right, the option or contractual right is void after the expiration of 80 years from the date of its creation</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as between the original parties, and</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so far as the benefit or burden is transmissible, as between the original parties and all parties claiming through them.</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No remedy lies for the purpose of giving effect to the option or contractual right or for making restitution because of the option or contractual right being void.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Without limiting subsections (1) and (2), those subsections apply to all contracts relating to a future sale or lease, to grants of options in gross, rights of pre-emption or first refusal and to future profits à prendre, easements and restrictive covenants.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It is clear from the wording of s. 21 that the vesting period for the Option Agreements is 80 years from the date of execution, or October 30, 2088. Therefore, the Option Agreements are not void for violating the common law rule against perpetuities. If, however, 822 fails to exercise its options by October 30, 2088, the Option Agreements would then be void.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Section 73(2) of the Land Title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Finally, Mr. Gadhri argues Mr. Dhanoa and 822 failed to properly register the options, rendering them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Section 73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states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Restrictions on subdivision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73 (1)</w:t>
      </w:r>
      <w:r>
        <w:rPr>
          <w:rFonts w:ascii="arial" w:eastAsia="arial" w:hAnsi="arial" w:cs="arial"/>
          <w:color w:val="000000"/>
          <w:sz w:val="20"/>
          <w:lang w:val="en-US" w:eastAsia="en-US" w:bidi="ar-SA"/>
        </w:rPr>
        <w:t xml:space="preserve"> Except on compliance with this Part, a person must not subdivide land into smaller parcels than those of which the person is the owner for the purpose of</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transferring it, or</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leasing it, or agreeing to lease it, for life or for a term exceeding 3 years.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Except on compliance with this Part, a person must not subdivide land for the purpose of a mortgage or other dealing that may be registered under this Act as a charge if the estate, right or interest conferred on the transferee, mortgagee or other party would entitle the person in law or equity under any circumstances to demand or exercise the right to acquire or transfer the fee simple.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An instrument executed by a person in contravention of this section does not confer on the party claiming under it a right to registration of the instrument or a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"compliance" noted in s. 73(1) would mean filing a subdivision plan as required under Part 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It is agreed to by all parties that no subdivision plan was filed when the options were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Mr. Gadhri argues the Option Agreements are void -- they were not compliant with s. 73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because they were not registered with the Land Title Office with a proper subdivision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Mr. Dhanoa, on the other hand, contends the registration of options is not affected by s.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For the reasons that follow, I agree with Mr. Dhanoa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Mr. Gadhri relies on </w:t>
      </w:r>
      <w:r>
        <w:rPr>
          <w:rFonts w:ascii="arial" w:eastAsia="arial" w:hAnsi="arial" w:cs="arial"/>
          <w:i/>
          <w:color w:val="000000"/>
          <w:sz w:val="20"/>
          <w:lang w:val="en-US" w:eastAsia="en-US" w:bidi="ar-SA"/>
        </w:rPr>
        <w:t>Strata Plan VIS2968 v. K.R.C. Enterprises Inc.</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2009 BCCA 36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K.R.C.</w:t>
      </w:r>
      <w:r>
        <w:rPr>
          <w:rFonts w:ascii="arial" w:eastAsia="arial" w:hAnsi="arial" w:cs="arial"/>
          <w:color w:val="000000"/>
          <w:sz w:val="20"/>
          <w:lang w:val="en-US" w:eastAsia="en-US" w:bidi="ar-SA"/>
        </w:rPr>
        <w:t xml:space="preserve">], to support the principle that an option must be registered at the LTO with a proper subdivision plan. He also points to </w:t>
      </w:r>
      <w:r>
        <w:rPr>
          <w:rFonts w:ascii="arial" w:eastAsia="arial" w:hAnsi="arial" w:cs="arial"/>
          <w:i/>
          <w:color w:val="000000"/>
          <w:sz w:val="20"/>
          <w:lang w:val="en-US" w:eastAsia="en-US" w:bidi="ar-SA"/>
        </w:rPr>
        <w:t>International Paper Industries Ltd. v. Top Line Industries Inc.</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(1996), 20 B.C.L.R. (3d) 41</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R &amp; R Ginseng Enterprises Ltd. v. Layton Bryson Outfitting and Trailriding Ltd.</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[1997] B.C.J. No. 1011</w:t>
        </w:r>
      </w:hyperlink>
      <w:r>
        <w:rPr>
          <w:rFonts w:ascii="arial" w:eastAsia="arial" w:hAnsi="arial" w:cs="arial"/>
          <w:color w:val="000000"/>
          <w:sz w:val="20"/>
          <w:lang w:val="en-US" w:eastAsia="en-US" w:bidi="ar-SA"/>
        </w:rPr>
        <w:t xml:space="preserve"> (S.C.), for the public policy reasons behind requiring registration of the subdivision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K.R.C.</w:t>
      </w:r>
      <w:r>
        <w:rPr>
          <w:rFonts w:ascii="arial" w:eastAsia="arial" w:hAnsi="arial" w:cs="arial"/>
          <w:color w:val="000000"/>
          <w:sz w:val="20"/>
          <w:lang w:val="en-US" w:eastAsia="en-US" w:bidi="ar-SA"/>
        </w:rPr>
        <w:t xml:space="preserve"> involved options in a strata development that took place in the early 1990s, creating 48 bare land strata lots. The developer had granted itself contingent options for portions of the property that contained the septic field. When the developer sought to sell the options a decade later, the strata corporation argued they were void for violating s. 73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The trial judge found the options valid. Kirkpatrick J.A., allowing the appeal of the strata corporation, held that the options were not properly registered with the LTO as no subdivision plan had been registered at that time and were therefore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I do not find </w:t>
      </w:r>
      <w:r>
        <w:rPr>
          <w:rFonts w:ascii="arial" w:eastAsia="arial" w:hAnsi="arial" w:cs="arial"/>
          <w:i/>
          <w:color w:val="000000"/>
          <w:sz w:val="20"/>
          <w:lang w:val="en-US" w:eastAsia="en-US" w:bidi="ar-SA"/>
        </w:rPr>
        <w:t>K.R.C.</w:t>
      </w:r>
      <w:r>
        <w:rPr>
          <w:rFonts w:ascii="arial" w:eastAsia="arial" w:hAnsi="arial" w:cs="arial"/>
          <w:color w:val="000000"/>
          <w:sz w:val="20"/>
          <w:lang w:val="en-US" w:eastAsia="en-US" w:bidi="ar-SA"/>
        </w:rPr>
        <w:t xml:space="preserve"> to be a helpful case in the present circumstances. That case involved a strata corporation governed by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R.S.B.C. 1979, c. 61 (now replaced by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43</w:t>
      </w:r>
      <w:r>
        <w:rPr>
          <w:rFonts w:ascii="arial" w:eastAsia="arial" w:hAnsi="arial" w:cs="arial"/>
          <w:color w:val="000000"/>
          <w:sz w:val="20"/>
          <w:lang w:val="en-US" w:eastAsia="en-US" w:bidi="ar-SA"/>
        </w:rPr>
        <w:t>). Kirkpatrick J.A. stated, at paras. 33 and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w:t>
      </w:r>
      <w:r>
        <w:rPr>
          <w:rFonts w:ascii="arial" w:eastAsia="arial" w:hAnsi="arial" w:cs="arial"/>
          <w:i/>
          <w:color w:val="000000"/>
          <w:sz w:val="20"/>
          <w:lang w:val="en-US" w:eastAsia="en-US" w:bidi="ar-SA"/>
        </w:rPr>
        <w:t>The crucial point in this appeal, however, is that K.R.C. Enterprises concedes that the granting of the option itself constituted a disposition. Pursuant to s. 21(4) of the Condominium Act a "disposition ... is a subdivision of land"</w:t>
      </w:r>
      <w:r>
        <w:rPr>
          <w:rFonts w:ascii="arial" w:eastAsia="arial" w:hAnsi="arial" w:cs="arial"/>
          <w:color w:val="000000"/>
          <w:sz w:val="20"/>
          <w:lang w:val="en-US" w:eastAsia="en-US" w:bidi="ar-SA"/>
        </w:rPr>
        <w:t>. The option is not contingent upon there being a subdivision. By operation of law, the granting of the option is a subdivision. It is contingent upon the availability of a municipal sewage system, after which the respondent must provide to the strata corporation a subdivision plan converting the septic fields to legally distinct lot or lots.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While I have some sympathy for the position taken by the respondent and its pragmatic interpretation of s. 73 of the Land Title Act, regard must be had to the words of the applicable statutes. </w:t>
      </w:r>
      <w:r>
        <w:rPr>
          <w:rFonts w:ascii="arial" w:eastAsia="arial" w:hAnsi="arial" w:cs="arial"/>
          <w:i/>
          <w:color w:val="000000"/>
          <w:sz w:val="20"/>
          <w:lang w:val="en-US" w:eastAsia="en-US" w:bidi="ar-SA"/>
        </w:rPr>
        <w:t>I am impelled to the view that the combined effect of ss. 20(1) and 21(4) of the Condominium Act and s. 73 of the Land Title Act render the options invalid, as they constitute subdivisions which have not first obtained subdivision approval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provision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in question applies only to subdivisions. In </w:t>
      </w:r>
      <w:r>
        <w:rPr>
          <w:rFonts w:ascii="arial" w:eastAsia="arial" w:hAnsi="arial" w:cs="arial"/>
          <w:i/>
          <w:color w:val="000000"/>
          <w:sz w:val="20"/>
          <w:lang w:val="en-US" w:eastAsia="en-US" w:bidi="ar-SA"/>
        </w:rPr>
        <w:t>K.R.C.</w:t>
      </w:r>
      <w:r>
        <w:rPr>
          <w:rFonts w:ascii="arial" w:eastAsia="arial" w:hAnsi="arial" w:cs="arial"/>
          <w:color w:val="000000"/>
          <w:sz w:val="20"/>
          <w:lang w:val="en-US" w:eastAsia="en-US" w:bidi="ar-SA"/>
        </w:rPr>
        <w:t xml:space="preserve">, it was the "combined effect" of s. 73 and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that made the granting of options, in that case, a "subdivision" that required registration with the LTO. The development in the present case is not strata and is therefore not governed by the </w:t>
      </w:r>
      <w:r>
        <w:rPr>
          <w:rFonts w:ascii="arial" w:eastAsia="arial" w:hAnsi="arial" w:cs="arial"/>
          <w:i/>
          <w:color w:val="000000"/>
          <w:sz w:val="20"/>
          <w:lang w:val="en-US" w:eastAsia="en-US" w:bidi="ar-SA"/>
        </w:rPr>
        <w:t>Condominium Act</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 xml:space="preserve"> that replaced it. There was no evidence advanced at trial to show the options in this case were, in fact, "subdivisions."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fact, the Option Agreements clearly state at clause 5 the options are available only </w:t>
      </w:r>
      <w:r>
        <w:rPr>
          <w:rFonts w:ascii="arial" w:eastAsia="arial" w:hAnsi="arial" w:cs="arial"/>
          <w:i/>
          <w:color w:val="000000"/>
          <w:sz w:val="20"/>
          <w:lang w:val="en-US" w:eastAsia="en-US" w:bidi="ar-SA"/>
        </w:rPr>
        <w:t>following</w:t>
      </w:r>
      <w:r>
        <w:rPr>
          <w:rFonts w:ascii="arial" w:eastAsia="arial" w:hAnsi="arial" w:cs="arial"/>
          <w:color w:val="000000"/>
          <w:sz w:val="20"/>
          <w:lang w:val="en-US" w:eastAsia="en-US" w:bidi="ar-SA"/>
        </w:rPr>
        <w:t xml:space="preserve"> a subdivision:</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price for the Lands shall be the sum of ONE ($1.00) DOLLAR and the portion of the lands ... shall be conveyed to the Purchaser ... upon it being created following subdivision ...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R&amp;R Ginseng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International Paper</w:t>
      </w:r>
      <w:r>
        <w:rPr>
          <w:rFonts w:ascii="arial" w:eastAsia="arial" w:hAnsi="arial" w:cs="arial"/>
          <w:color w:val="000000"/>
          <w:sz w:val="20"/>
          <w:lang w:val="en-US" w:eastAsia="en-US" w:bidi="ar-SA"/>
        </w:rPr>
        <w:t xml:space="preserve"> are equally unhelpful in the present context. Those cases do not address whether an option constitutes a subdivision for the purposes of s.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find, therefore, I am instead bound by the reasons of our Court of Appeal in </w:t>
      </w:r>
      <w:r>
        <w:rPr>
          <w:rFonts w:ascii="arial" w:eastAsia="arial" w:hAnsi="arial" w:cs="arial"/>
          <w:i/>
          <w:color w:val="000000"/>
          <w:sz w:val="20"/>
          <w:lang w:val="en-US" w:eastAsia="en-US" w:bidi="ar-SA"/>
        </w:rPr>
        <w:t>Bank of British Columbia v. TRI Holdings Ltd.</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(1992), 71 B.C.L.R. (2d) 58</w:t>
        </w:r>
      </w:hyperlink>
      <w:r>
        <w:rPr>
          <w:rFonts w:ascii="arial" w:eastAsia="arial" w:hAnsi="arial" w:cs="arial"/>
          <w:color w:val="000000"/>
          <w:sz w:val="20"/>
          <w:lang w:val="en-US" w:eastAsia="en-US" w:bidi="ar-SA"/>
        </w:rPr>
        <w:t xml:space="preserve"> at para. 29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 do not read [section 73] as prohibiting people making an agreement contingent on their being a subdivision. Doing so is a common practice that does not constitute subdividing for the purpose of transferring or leasing, or subdividing for the purpose of a mortgage or other dealing that might be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Bank of British Columbia</w:t>
      </w:r>
      <w:r>
        <w:rPr>
          <w:rFonts w:ascii="arial" w:eastAsia="arial" w:hAnsi="arial" w:cs="arial"/>
          <w:color w:val="000000"/>
          <w:sz w:val="20"/>
          <w:lang w:val="en-US" w:eastAsia="en-US" w:bidi="ar-SA"/>
        </w:rPr>
        <w:t>, granting an option does not constitute a subdivision and, thus, the registration of options is not governed by s. 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For all the reasons above, I find the Option Agreements are valid and Mr. Gadhri and Mr. Gupta are bound by them. They must therefore pay out and discharge the options at fair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this regard, despite Mr. Gadhri's objections, I admit the expert reports of Mr. Jass Saran, containing appraisals of the options, under Rule 11-7(6), as I do not find it prejudicial to Mr. Gadhri to do so. There was ample opportunity to reply due to the lengthy adjournments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Jass Saran's report, dated January 23, 2013, contained an appraisal effective November 15, 2012, and he submitted a supplemental report with an appraisal effective December 4, 2014, of the fair market value of Lot 23 and Lot 79 (the "Saran Supplemental Report"). He testified the value of the hook portion for Lot 23 was $157,000 and $99,000 for Lot 79 as of December 4, 2014. Mr. Jasdeep Gadhri, who currently has a contract to purchase Lot 79, said he expected to sell the hook portion of Lot 79 for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find the fair market value at which the options must be discharged should be as set out in the Saran Supplemental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As I have found all of the agreements in the joint venture to be valid and enforceable, I do not need to address whether Mr. Gadhri and Mr. Gupta have been unjustly enriched by the Hook Lots.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Did Mr. Dhanoa, 528, or 815 breach the joint venture agreement by failing to provide a timely proper accounting?</w:t>
      </w:r>
    </w:p>
    <w:p>
      <w:pPr>
        <w:spacing w:before="120"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The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joint venturers engaged the services of the accounting firm A.S. Bubber &amp; Associates to record and account for the relative costs, contributions, and entitlements of the respective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 significant amount of evidence was presented as to whether the joint venture accounting should have been done on the basis of the joint venture agreement or the cost sharing agreement, i.e., 12.5 lots each of Mr. Gupta and Mr. Gadhri, rather than as a 50% partnership in the joint venture. Mr. Gadhri ultimately abandoned that claim at the end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will set out the background for the accounting as this has some impact on the question of the refunds from the City and the Coach Holdings settlement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Gadhri, Mr. Gupta, and Mr. Dhanoa met with Mr. Bubber of Bubber &amp; Associates on November 14, 2007. Mr. Bubber has been a chartered accountant since 1976 and speaks Punjabi, Hindi, and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Gupta, Mr. Dhanoa, and Mr. Gadhri requested Mr. Bubber undertake the accounting for 442. Mr. Bubber understood Mr. Gupta and Mr. Gadhri to be business partners in 442. His instructions were to deal with the development costs of the project through 442, which had been set up for this purpose. Mr. Bubber was provided with the cost sharing agreement of 2007, in order to carry out the accounting. Mr. Bubber delegated this task to Ms. Manhas, his senior accountant/bookkeeper, to carry out under his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Ms. Manhas conducted the accounting in accordance with these instructions. Ms. Manhas indicated Mr. Bubber advised her the managers of 442 were Mr. Dhanoa and Mr. Gupta. They would provide the source documents. If she had a question about an invoice, she would call the person the company had selected for contact. In this case, that was Mr. Dhanoa and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Manhas primarily used Punjabi in meetings with the group. English was used as well. Ms. Manhas said all members of the joint venture understood the accounting of 442 was only for the development expenses. The sale proceeds from the joint venture partners would go to the repayment of the RBC mortgage. The development loan was paid off by November 22,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Ms. Manhas described her practice when obtaining signatures for the annual financial statements of 442. She printed three sets of documents and gave one to each of the three, being Mr. Dhanoa, Mr. Gupta, and Mr. Gadhri. She would review the general ledger with the group. She would review costs in detail, including how they were recorded. She would review the capital contributions. Ms. Manhas described a detailed process whereby the accounting was explained. The parties were then asked if there were any questions about those entries. Finally, they were asked to sign the financial statements to indicate their agreement. Mr. Dhanoa, Mr. Gupta and Mr. Gadhri signed the financial records of 442 for 2006; 2007; and 2008. No issues were raised with respect to the accounting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Gadhri said in January 2009, when Ms. Manhas went over the accounting for the 2008 financial statements, he came to understand he was "lumped together with Mr. Gupta" in the 442 accounting. From his perspective, the accounting was not done properly, as it was not in accordance with the joint venture. While he had already signed the 2007 financial statements, he did not want to sign the 2008 financial statement. He said he signed, however, as Ms. Manhas advised they were short of time and it would all be adjusted when Mr. Bubber returned to the office. He has refused to sign any financial statements for 442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August 2008, Mr. Gadhri and Mr. Gupta had also retained Mr. Bubber to do separate accounting for Mr. Gadhri and Mr. Gupta. As it became apparent differences existed between Mr. Gupta and Mr. Gadhri as to whether the 2006 joint venture agreement or the 2007 cost sharing agreement governed the accounting for their participation in the joint venture, on January 4, 2010, Mr. Bubber wrote, seeking clarification.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On January 11, 2010, Mr. Gadhri replied the 2006 joint venture agreement should govern the accounting between Mr. Gadhri and Mr. Gupta. Mr. Gupta replied the 2007 cost sharing agreement should govern, as it reflected the consistent intention that Mr. Gupta and Mr. Gadhri shared a 50% interest in every lot owned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When the 442 financial statements of 2009 were ready to be reviewed in 2010, Ms. Manhas called the group back for a meeting. Mr. Gadhri was not present. When Mr. Dhanoa asked Mr. Gupta where he was, Mr. Gupta indicated he did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Mr. Dhanoa indicated Mr. Gadhri did not raise a concern about that accounting until sometime in 2010. Mr. Gadhri's concern, however, was the accounting between Mr. Gupta and Mr. Gadhri. He did not identify a problem with the accounting with the joint venture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Mr. Gadhri told Mr. Dhanoa he did not agree to the 442 accounting because of his dispute with Mr. Gupta. He wanted that resolved first. Mr. Dhanoa advised Mr. Gadhri to resolve those matters and not hold up the joint venture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Dhanoa himself tried to resolve the issues between Mr. Gupta and Mr. Gadhri but was unsuccessful. He related a number of attempts and meetings to do so to no avail.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As a result, significant difficulties arose for 442. It could not file taxes until Mr. Gadhri had signed the financial statements. 442 was also unable to file its annual corporate report to keep the company in good standing as Mr. Gadhri refused to sign the applicable documents. This was raised a number of times with Mr. Gadhri. Ultimately, after a number of extensions, the company was struck off the corporate registry, as the annual corporate reports were not filed. The joint venture was then audited. The auditor had asked them to file their taxes, but they could not, as they were no longer a company in good standing. While the joint venture did prepare and attempt to file its taxes, these were rejected for that same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This has affected 815 and 528. As the accounting has not been completed for 442, 815 and 528 cannot finalize their accounting. This affects their own distribution between the Numbered Companies and their profit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As is apparent, I do not conclude Mr. Dhanoa breached the joint venture by failing to provide a proper accounting. Rather, Mr. Gadhri has impeded the provision of a proper timely accounting by his actions set out above. I will deal with this later.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Did Mr. Dhanoa misappropriate refund monies from the City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Gadhri claims Mr. Dhanoa and the Numbered Companies breached their duties to him by designating 528 as the developer under a servicing agreement with the City of Surrey. He also says they misappropriated funds and generated secret profits in relation to a refund from the City of Surrey and settlement funds from litigation with Coach Holdings Ltd. and paid over-inflated invoices of Midwest Sand and Gravel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For the reasons that follow, I find these claims have not been proven by Mr. Gadhri.</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Surrey Refund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City of Surrey refunded $569,191.24 to 528 (the "Surrey Refund") in or around February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Mr. Gadhri says 528 kept those monies and used them for its own personal benefit. Mr. Gadhri says they should have been used to pay down the RBC mortgage at 7.2%. Mr. Gadhri also maintains 442 should have been considered a developer and received those monies. Instead, Mr. Dhanoa's company, 528, became the developer and received the development refunds from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original application to the City of Surrey for the development of the 79 lots had been made by a company called Sterling Development, who had previously owned the parcel which 528 had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As part of the development process, the City needed a letter of guarantee and would only deal with one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The parties discussed bringing a new application for development. As a new application could cause delay and increase costs, Mr. Gadhri recommended the application be left in the name of 528. Mr. Dhanoa did not, at the time, fully understand the ramifications of 528 being the developer. After some discussion, he took Mr. Gadhri's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Money is held in the City's account as security for works the City requests the developer undertake as part of the subdivision. At the commencement of the process in 2006-07, Mr. Gadhri explained to Mr. Dhanoa the City would hold the money as security and the developer (in this case, 528) would do the work. The engineering firm would advise the City once the work was done. The money would flow to the developer and the developer would pay the contractor. Once this was done, all the money would be returned to the developer unless there was something left to be done. This was understood from the beginning, as agreed between the parties, and no concerns were raised by Mr. Gadhri or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group executed a written agreement with the City of Surrey with respect to the servicing of the development lands dated July 9, 2007 (the "Servicing Agreement"), which reflected 528 as the developer of the Development Lands. Although dated July 9, 2007, the Servicing Agreement was signed earlier by the group in their engineer's office prior to the signing of the cost sharing agreement of June 14, 2007. It was then forwarded to the City of Surrey for processing and dated July 9, 2007, when the City Manager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Servicing Agreement listed 528 as the developer with a number of responsibilities. These included ensuring that City bylaws, regulations, and terms of services were complied with; depositing letters of credit; receiving refunds from the City; and accounting to the joint venture for that refund.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In addition, 528, as the developer, was responsible for hiring engineers, contractors, trades, and the necessary suppliers. It essentially was the "face" of the development for the purpose of dealing with the City and any necessary parties hired to undertake the work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A revised servicing agreement was later provided by the City of Surrey under cover of letter dated November 19, 2007, with revisions for a storm trunk sewer that it required (the "Revised Servicing Agreement). Thereafter, it was signed by all parties with 528 remaining as the "Developer" under the Revised Servicing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There is no evidence or realistic arguments that Mr. Dhanoa and 528 breached a duty by entering into these Servicing Agreements. It was clear this was supported and even suggested by Mr. Gadhri in the original meeting discussing this proposition. 528 would hire the necessary contractors, expend funds in doing so, and receive the refunds from the funds from the City of Surrey. These transactions would then be accounted for in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This was confirmed by Mr. Bubber, who indicated his understanding was 528 was the developer for the purposes of dealing with the City. Any costs incurred by 528 would be shared with the joint venturers, in this case, 442. 528 incurred expenses on behalf of the joint venture consistently through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addition, in discussions concerning the subsequent cost sharing agreements, Mr. Gupta testified there was no issue with the clause which set out 528 as the developer. In fact, Mr. Gadhri explained to him that it would be a good idea if 528 was the developer; the application to the City was in the name of 528, and it would get the refunds from the City and keep them rather than the money being paid into the joint venture. If the money was paid into the joint venture, it would have to be paid out to 528, which was undertaking the costs of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 review of the year-end accounting for 442 for November 1, 2008, to October 31, 2009, shows a withdrawal by 528 for the amount of the Surrey Refund on November 1, 2008, and a matching credit in the accounts receivable.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 Dhanoa and the Numbered Companies pointed out that clause 3 of the agreement signed in November 2008 (the "November 2008 Agreement") was inserted for the purpose of allowing 528 to keep the Surrey Refund. Clause 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[528] paying the outstanding amount owing under the Mortgage and indemnifying [815], Gupta and Gadhri with respect to the Mortgage, the parties agree that [528] shall be solely entitled to all monies, letters of credit, cash or any other form of security with the City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Mr. Gadhri argued in closing submissions that clause 3 "doesn't make any sense" and that it is unfair. I have determined Mr. Gadhri agreed to all agreements in the joint venture knowingly and without undue influence, and he is therefore bound by this clause. There was no substantial inequality in the bargaining powers of the joint venturers and no unconscionability. I am therefore unpersuaded by Mr. Gadhri's current belief that the November 2008 Agreement was "unfair." I will deal with the details of that agreement in considering the private loan repayment issue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November 2008 Agreement was signed nine months after the City issued the Surrey Refund to 528 and shortly after an accounting meeting that resulted in a decision for 528 to retain it. If Mr. Gadhri was not in agreement with that decision, as he claims, I find it unlikely that he would have signed it. In my opinion, this is a further instance of Mr. Gadhri agreeing to something when it suits him and attempting to renege when that is no longer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At the time 528 received the Surrey Refund, it could be characterized as owing the money to 442. 442, however, would then pay the money to 528 so 528 could pay the contractor. This would result in a zero balance. This matter was discussed at the meeting in September 2008 with the senior bookkeeper, Ms. Manhas. Ms. Manhas presented two different options. The first was the one just related, and the second was that 528 just keep it as the balance is zero. This second method was used with respect to all of the City refunds. 442 would owe money to 528 to have the work done, so 528 kept that money so the accounting would be reduced. All would ultimately be accounted for in the accounting as per the discussion that took place prior to that accounting moving forward in 2008. 528 would keep the money and pay the contractor. Its equity would then be reduced by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find there was nothing untoward about 528 retaining the Surrey Refund or any other refund from the City. Each was properly accounted for and factored into the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conclude these funds were not misappropriated by 528.</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The Pre-Sales to Coach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Mr. Gadhri also alleges Mr. Dhanoa and the Numbered Companies wrongly retained settlement funds from a lawsuit related to pre-sales of certain lots in the Joint Venture.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Original Financing --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Financing was necessary for the servicing of the subdivision in early 2007. The group ultimately agreed to jointly apply for a loan to the Royal Bank of Canada. While RBC agreed to provide a loan, it wanted to fund the loan to one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As a result, as per advice from Buckley Hogan, the group incorporated 442. All the accounting relating to the Joint Venture was done through that company. The company would pay all the expenses of the joint venture and all the accounting relating to the joint venture was done through 442.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The joint venturers obtained a $15,000,000 loan (the "RBC Loan") from RBC.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RBC registered the RBC Loan as an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mortgage against the property on June 15, 2007. As a mortgage was registered against all the lots and each was jointly and severally liable for the debt, all sale proceeds for any lot went to pay the RBC Loan. RBC required 100% of the net proceeds of any lot sale be used to repay the mortgage, until the mortgage was repaid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Late in 2007, the Joint Ventures entered sales contracts with Coach Holdings Ltd. for the pre-sale of 41 lots in order to satisfy RBC's pre-sales requirements. Of those lots, 14 were owned by Mr. Gadhri and Mr. Gupta; 27 were owned by the Numbered Companies. The agreement was for Coach Holdings to pay approximately $240,000 per lot, with completion set for April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Early in 2008, concerned about the sudden drop in the real estate market, Coach Holdings attempted to back out of the sales agreements. A settlement resulted from the pursuant litigation. Under the terms of that settlement, Coach Holdings forfeited their deposit of $20,000 per lot ($820,000) and certain of their assignees were to complete on purchasing various pre-sale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Mr. Dhanoa testified that RBC requested, following that settlement, for the settlement funds be paid to RBC. The parties agreed and complied. There is no evidence the funds went anywhere other than to pay off the RBC mortgage and this was properly accounted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conclude the settlement funds from Coach Holdings were not misappropriated by Mr. Dhanoa or the Numbered Companies.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Were the Midwest Sand invoices inflated?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City of Surrey sent a letter requiring the completion of certain deficiencies in June 2010. Midwest Sand and Gravel Ltd., a service company, was selected after consideration of different quotes, based in part on their immediate availability. Gremco, Mr. Gadhri's servicing company, had advised Mr. Dhanoa they were not interested in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Mr. Gadhri alleges Mr. Dhanoa and the Numbered Companies artificially inflated the invoices from Midwest in order to make secret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This claim is tenuous, at best. There was nothing on the evidence to substantiate the invoices had been inflated, nor was this issue pleaded by Mr. Gadhri. There was no expert opinion to establish "inflated" invoices and I conclude they were not inflated. Furthermore, there was nothing untoward in retaining Midwest to finalize the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Finally, I note Mr. Dhanoa confirmed payment of the invoices from Midwest, which were accounted for by the accountants.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Loans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Did 815 and 528 repay the private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now turn to whether 815 and 528 repaid the private loans, one of which is the subject of the claim by Mrs. Gadhri.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Over the course of the joint venture, Mr. Dhanoa, on behalf of 528 and 815 respectively, received two private loans (collectively, the "Private Loans"). The repayment of the second of those loans is at issue in this matter. However, as it is impossible to separate the repayment of the Private Loans completely, I will detail both loans here.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First Loan to 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On June 14, 2007, Mr. Dhanoa, acting for 528, borrowed $300,000 from Mr. Gupta and Mr. Gadhri as a private loan with an interest amount of 12.5% (the "First Loan"). Mr. Gadhri and Mr. Gupta each contributed $150,000. Mr. Gupta gave Mr. Dhanoa $300,000, and Mr. Gadhri paid $150,000 to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On that day, Mr. Gupta came to Mr. Dhanoa's house with a single-page document setting out a loan of $300,000, with an interest rate of 12.5%. Mr. Dhanoa signed it, and his father witnessed his signature. He made a copy of the document for Mr. Gupta and gave it to him. Mr. Gupta wrote a cheque for $300,000 and gave it to Mr. Dhanoa. No deadline for repayment was stipulated on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Mr. Dhanoa's view was the loan was from both Mr. Gupta and Mr. Gadhri, but he was not sure how much each contributed. While Mr. Gadhri did not provide the funds directly, Mr. Dhanoa understood both had provided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With respect to repayment of the loan, Mr. Dhanoa indicated when Mr. Gupta or Mr. Gadhri were in need of funds, they would ask if he was able to pay some amount. If he was, he would do so. If he was not, he would advise to that effect. When providing repayment of the loan, Mr. Dhanoa would ask Mr. Gupta and Mr. Gadhri, who were almost always together, to whom he should make out the cheque. They would advise him to alternately pay Mr. Gupta, Mr. Gadhri, or both. This accords with my ultimate finding that Mr. Gadhri and Mr. Gupta considered each other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Mr. Dhanoa claims the First Loan has been repaid in full, with interest. Mr. Gadhri, while arguing that is not so, ultimately deferred to the expert report retained by him as part of this litigation, which substantiated the repayment of the First Loan.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Second Loan to 815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Approximately one year after the First Loan, another $300,000 was borrowed privately by Mr. Dhanoa, this time on behalf of 815 (the "Second Loan"). The money for the Second Loan came from a joint account owned by Mr. and Mrs. Gadhri.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loan document for the Second Loan was drafted by Mr. Gupta, perhaps inadvisably, in the form of a real estate contract of purchase and sale. It provided a guarantee that if Mr. Dhanoa did not pay, lots 18 and 19 would be provided to Mrs. Gadhri. The price of the lots was $220,000, while the loan was for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Mr. Dhanoa claims the Second Loan has been repaid. Mr. Gupta agrees. Mr. Dhanoa alleges that at all times it was represented to him that the Second Loan was from Mr. Gadhri and Mr. Gupta, not Mrs. Gadhri.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It was Mr. Gadhri's position, however, that Mrs. Gadhri alone had loaned the money to 815 and that the majority of that amount remains outstanding. Indeed, the action for repayment of the Second Loan names Mrs. Gadhri as the sole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An extensive amount of time was spent at trial on whether the loan was from Mrs. Gadhri. The initial lawsuit in this matter alleges it was a loan from Mrs. Gadhri -- that has now been abandoned. I do not need to make factual findings on that matter. If required to, I would have found the loan was from Mr. Gadhri and possibly Mrs. Gadhri through Mr. Gadhri as her agent, but I do not need to do so at this time. I will, however, make note of this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There is no dispute that certain payments were made by 815. Where the parties disagree is with regard to the purpose for which the payments were made: to repay the First Loan or the Second Loan, to contribute to the joint venture, or for some other purpose.</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Loan Repayment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Mr. Gadhri and Mr. Dhanoa differed greatly as to whether certain payments that had been received were payments of the private loans or payments for another purpose. I will note that the way in which the parties handled their accounts and conducted their business dealings makes this process difficult. However, for the reasons that follow, I find the First Loan and the Second Loan have been repaid in full. As noted earlier, Mr. Gadhri deferred to his own expert report that concluded the First Loan had been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of partners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(1)</w:t>
      </w:r>
      <w:r>
        <w:rPr>
          <w:rFonts w:ascii="arial" w:eastAsia="arial" w:hAnsi="arial" w:cs="arial"/>
          <w:color w:val="000000"/>
          <w:sz w:val="20"/>
          <w:lang w:val="en-US" w:eastAsia="en-US" w:bidi="ar-SA"/>
        </w:rPr>
        <w:t xml:space="preserve"> A partner is an agent of the firm and the other partners for the purpose of the business of the partnership.</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acts of every partner who does any act for carrying on in the usual way business of the kind carried on by the firm of which he or she is a member bind the firm and his or her partners, unless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the partner so acting has in fact no authority to act for the firm in the particular matter, 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the person with whom he or she is dealing either knows that the partner has no authority, or does not know or believe him or her to be a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In September 2008, Mr. Dhanoa, Mr. Gupta, and Mr. Gadhri met with Ms. Manhas to review the accounts of the joint venture. Mr. Dhanoa testified that, at that time, the Private Loans were set out in the accounts of 442. When Ms. Manhas reviewed these accounts, Mr. Gadhri pointed out they did not want these reflected in the joint venture company, as it had nothing to do with the joint venture. These were private and separate loans to the Numbered Companies that had been borrowed from Mr. Gupta and Mr. Gadhri. Mr. Gadhri noted they must be taken out of the joint venture accounting and any payments made against them removed and dealt with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Regardless of whether I find Mr. Gupta and Mr. Gadhri to be partners with regard to the joint venture (discussed below), the private loans were separate from that venture; there is no question that Mr. Gupta and Mr. Gadhri were partners outside of the venture and that they represented themselves as such to Mr. Dhanoa and third parties generally and with regard to the Private Loans. Indeed, during this time, the two deposited any payments from Mr. Dhanoa into a joint account. They would frequently instruct Mr. Dhanoa to make cheques payable to one, the other, or both. Therefore, with regard to the Private Loans, Mr. Gupta and Mr. Gadhri could each accept payments on behalf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The law on how payments of a debtor with multiple debts are to be applied is fairly well established. In </w:t>
      </w:r>
      <w:r>
        <w:rPr>
          <w:rFonts w:ascii="arial" w:eastAsia="arial" w:hAnsi="arial" w:cs="arial"/>
          <w:i/>
          <w:color w:val="000000"/>
          <w:sz w:val="20"/>
          <w:lang w:val="en-US" w:eastAsia="en-US" w:bidi="ar-SA"/>
        </w:rPr>
        <w:t>Crescent Petroleum Ltd. v. Portserv Ltd.</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(1997), 37 B.L.R. (2d) 118</w:t>
        </w:r>
      </w:hyperlink>
      <w:r>
        <w:rPr>
          <w:rFonts w:ascii="arial" w:eastAsia="arial" w:hAnsi="arial" w:cs="arial"/>
          <w:color w:val="000000"/>
          <w:sz w:val="20"/>
          <w:lang w:val="en-US" w:eastAsia="en-US" w:bidi="ar-SA"/>
        </w:rPr>
        <w:t xml:space="preserve"> at 121 (S.C.) the law was summarized by Maczko 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debtor has a number of debts with a creditor and the debtor pays to the creditor an amount of money insufficient to cover the total amount of all the debts, the debtor has the right to declare which debt will be paid first. If the creditor accepts the money, he or she must abide by the debtor's appropriation. If the debtor does not make the appropriation, that right devolves upon the creditor. (</w:t>
      </w:r>
      <w:r>
        <w:rPr>
          <w:rFonts w:ascii="arial" w:eastAsia="arial" w:hAnsi="arial" w:cs="arial"/>
          <w:i/>
          <w:color w:val="000000"/>
          <w:sz w:val="20"/>
          <w:lang w:val="en-US" w:eastAsia="en-US" w:bidi="ar-SA"/>
        </w:rPr>
        <w:t>Chitty on Contracts</w:t>
      </w:r>
      <w:r>
        <w:rPr>
          <w:rFonts w:ascii="arial" w:eastAsia="arial" w:hAnsi="arial" w:cs="arial"/>
          <w:color w:val="000000"/>
          <w:sz w:val="20"/>
          <w:lang w:val="en-US" w:eastAsia="en-US" w:bidi="ar-SA"/>
        </w:rPr>
        <w:t>, 27th ed. (London: Sweet &amp; Maxwell, 1994), pp. 1055-1057). Where the appropriation is not made by the creditor, the law will in certain circumstances substitute the presumption that the oldest debt will be paid first. This is sometimes referred to as the rule in Clayton's Case, a 19th century English decision cited more completely as Devaynes v. Noble, (1816) 1 Mer. 572, [1814-1823] All E.R. Rep. 1 (Eng. Ch.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Mr. Gadhri's claims the payments were made for other reasons than repayment of the Private Loans were not substantiated by the evidence. Meanwhile, Mr. Dhanoa's claims the loans were repaid were corroborated by other witnesses, including Mr. Gupta and Ms. Manhas, and by documentary evidence. I will detail the payments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find the First Loan was repaid by 528 in the following manner:</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6, 2008, $150,000 was transferred to Mr. Gupta by cheque no. 38 with the memo, "Repay 300K loan -- 150K";</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31, 2008, $100,000 was transferred to Mr. Gupta and Mr. Gadhri by cheque no. 50 with no memo noted;</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30, 2008, $20,000 was transferred to Mr. Gupta by cheque no. 61 with the memo, "Repayment of loan"; and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30, 2008, $10,000 was transferred to Mr. Gupta by cheque no. 67 with no memo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left an outstanding amount of $20,000 on the First Loan as of October 31,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The repayment of the Second Loan was more convoluted.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On September 30, 2008, 815 paid $50,000 to Mr. Gadhri by way of cheque no. 7 with the memo, "Repayment of 300K." This left $250,000 remaining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In November 2008, Mr. Gupta and Mr. Gadhri needed to pay outstanding amounts to RBC to remove the mortgages and complete the sales of, Lots 55 and 66. Mr. Dhanoa agreed, on behalf of 528 and 815, to pay the outstanding amounts up to $300,000 in exchange for a discharge of the Private Loans, which led to the parties signing the November 2008 Agreement. If the outstanding amounts were less than the amount remaining on the Private Loans, then 815 would pay the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Pursuant to the November 2008 Agreement, on December 18, 2008, 815 transferred $200,000 to RBC via the trust account of Buckley Hogan. This is clearly evidenced by Authorities to Pay, which are signed by Mr. Gadhri and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Mr. Gadhri argues the money paid to RBC by 815 was to balance excess money that Mr. Gadhri and Mr. Gupta had paid to RBC on the sale of their lots (approximately $213,000). There was no evidence, other than Mr. Gadhri's testimony, to support this. Indeed, it is contradicted by the documentary evidence presented. The November 2008 Agreement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[528] paying the outstanding amount owing under the Mortgage and indemnifying [815], Gupta and Gadhri with respect to the Mortgage, Gadhri and Gupta agree to absolutely forgive a loan to [815] and [528] in the amount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I will briefly outline the circumstances of the agreement, as Mr. Gadhri again says he signed this document under pressure and without understanding its contents.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The November 2008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By November 2008, Mr. Dhanoa indicated the cumulative amounts outstanding of the June 2007 loan and the May 2008 loan were approximately $300,000. At this point, Mr. Gupta and Mr. Gadhri approached Mr. Dhanoa for repayment of the outstanding Private Loans so they could pay off the mortgages and transfer the title of certain lots that had been sold to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While Mr. Dhanoa was willing to repay the Private Loans, the parties were not aware of the exact amount outstanding, including principal and interest. Mr. Dhanoa was concerned and wanted something in writing that reflected the payment of the private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Mr. Dhanoa was also concerned with costs of the development going forward. There was still work required to finish the subdivision. As 528 was listed as the developer, outstanding liabilities could remain. If no lots were left, he would have no security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Mr. Dhanoa made this clear in a conversation with Mr. Gadhri, noting if 528 did the work, they needed to be paid. Mr. Gadhri replied as the money was already in the City, "once the work was done he could pay the contractors" with these funds. This was a reference to the $569,000 held by the City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November 2008 Agreement therefore addressed two issues: 528's concerns regarding development cost going forward and the loans between the parties. Under the terms of that agreement, the joint venturers agreed:</w:t>
      </w:r>
      <w:r>
        <w:rPr>
          <w:rFonts w:ascii="arial" w:eastAsia="arial" w:hAnsi="arial" w:cs="arial"/>
          <w:sz w:val="20"/>
          <w:lang w:val="en-US" w:eastAsia="en-US" w:bidi="ar-SA"/>
        </w:rPr>
        <w:cr/>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528 would assume all of the obligations under the RBC mortgage, up to a maximum of $300,000 and indemnify and save harmless the other joint venturers up to that amount;</w:t>
      </w:r>
    </w:p>
    <w:p>
      <w:pPr>
        <w:numPr>
          <w:numId w:val="7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amount owing under the RBC mortgage was more than $300,000, then Mr. Gadhri and Mr. Gupta would be responsible for the amount in excess;</w:t>
      </w:r>
    </w:p>
    <w:p>
      <w:pPr>
        <w:numPr>
          <w:numId w:val="7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amount owing under the RBC mortgage was less than $300,000, then 815 and 528 would pay the difference between the $300,000 and the amount actually owing to Mr. Gadhri and Mr. Gupta within 12 months;</w:t>
      </w:r>
    </w:p>
    <w:p>
      <w:pPr>
        <w:numPr>
          <w:numId w:val="7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 and Mr. Gupta would absolutely forgive the outstanding private loans to 815 and 528; and</w:t>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528 had been paying for development costs and the parties agreed it would continue to do so, and in exchange, it would be entitled to all development cost security releases from the City of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agreement therefore dealt with the issue of the costs of the development going forward and recognized the funds Mr. Dhanoa provided were credit for the Private Loans. It addressed the monies to be paid by 815 and 528, which would be considered loan repayments and which Mr. Gupta and Mr. Gadhri would use to discharge the RBC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Mr. Gadhri says, however, he was forced to sign this agreement, first by a visit by Mr. Gupta and Mr. Dhanoa to his house and, second, when they enlisted the aid of his uncle, Mr. Pamma to ensure he signed the document. Mr. Gupta and Mr. Dhanoa deny these allegations. Once again, I do not find Mr. Gadhri was forced to sign this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The document was discussed at a meeting at which Mr. Pamma attended. Initially, Mr. Dhanoa and Mr. Gupta met with Mr. Pamma at a restaurant in Surrey. Mr. Gadhri arrived and all four sat down and discussed the outstanding matters. Mr. Gupta presented the document. Mr. Dhanoa noted 528 would pay the amount of $300,000 towards the outstanding RBC loan on behalf of 815 and 528, and this would be a credit towards the outstanding private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Paragraph 4 reflected the fact that once the mortgage of $300,000 was paid, it fulfilled the private obligation to repay the loans of 528 and 815.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Mr. Dhanoa also indicated the agreement addressed the concern of 528 that it would undertake the outstanding work and the refund monies would be released from the City. 528 would then account for it in a final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When the document was presented, all had a chance to review it. Mr. Gadhri looked to Mr. Pamma, who quickly glanced at it, saying it was fine; sign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While Mr. Gadhri said he was forced to sign this document, I do not find that to be the case. I do not take Mr. Pamma's attendance at the meeting to be an exercise in coercion, but rather part of his attendance at many meetings with Mr. Gadhri as a valued advisor. Mr. Pamma's testimony did not detract from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Certainly, the November 2008 Agreement could have been much clearer in its drafting; however, in the circumstances, and considering all other evidence, the intention of the parties is more than clear. The $200,000 was transferred to pay the debt owed to Mr. Gupta and Mr. Gadhri on the Private Loans. This is corroborated by the evidence of Mr. Gupta. Even if 815 or 528 owed the $213,000 as claimed by Mr. Gadhri, the debtor is entitled to elect how to apply a payment when multiple debts are outstanding: </w:t>
      </w:r>
      <w:r>
        <w:rPr>
          <w:rFonts w:ascii="arial" w:eastAsia="arial" w:hAnsi="arial" w:cs="arial"/>
          <w:i/>
          <w:color w:val="000000"/>
          <w:sz w:val="20"/>
          <w:lang w:val="en-US" w:eastAsia="en-US" w:bidi="ar-SA"/>
        </w:rPr>
        <w:t>Crescent Petroleum</w:t>
      </w:r>
      <w:r>
        <w:rPr>
          <w:rFonts w:ascii="arial" w:eastAsia="arial" w:hAnsi="arial" w:cs="arial"/>
          <w:color w:val="000000"/>
          <w:sz w:val="20"/>
          <w:lang w:val="en-US" w:eastAsia="en-US" w:bidi="ar-SA"/>
        </w:rPr>
        <w:t>, at 121. The November 2008 Agreement is an express election to apply that payment to the Private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Following the transfer of the $200,000, the remaining debt was $20,000 on the First Loan to 528 and $50,000 on the Second Loan to 815.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On June 24, 2009, 528 paid $75,000 to Mr. Gadhri and Mr. Gupta by way of cheque no. 105, which had the memo, "Repay of Loan for Lot #51." Mr. Gadhri exchanged that cheque for a bank draft numbered 304230 and deposited the $75,000 into his account. Mr. Dhanoa testified this amount comprised $70,000 to clear the outstanding debt from the Private Loans and $5,000 for any remaining interest (an amount he claims Mr. Gupta and Mr. Gadhri specified). I accept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Mr. Gadhri takes issue with the fact that, with cheque no. 105, 528 made a payment on the debt of 815. I will agree that, for clarity, it would have been preferred to keep the accounts of the two corporate entities separate with respect to these debts. That said, there is nothing untoward about one party paying the debts of another. As principal of both entities, Mr. Dhanoa had the authority to work out such an arrangement. If there is an issue in that regard, it must be raised by 815 or 528.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I find that, as of June 24, 2009, the Private Loans had been repaid in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 would like to make note of a few other things regarding the Private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First, shortly after receiving the $75,000 payment, Mr. Gadhri made a bank draft to Mrs. Gadhri for $200,000 with the notation, "loan." While he did not provide these funds to Mrs. Gadhri, I take this to be an acknowledgment the loan was repaid.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Second, at a meeting in January 2009, Ms. Manhas set out two documents for the parties. Each document set out the Private Loan repayments to date of the First Loan and Second Loan, respectively. The first document, "528 Transactions by Account," printed on January 7, 2009, shows the First Loan and that $280,000 had been repaid in accordance with the amounts detailed above, leaving $20,000. The second document, "815 Transactions by Account," shows the remaining $20,000 from the First Loan and $300,000 from the Second Loan. The document shows that $250,000 had been repaid, $50,000 by cheque and $200,000 "paid to RBC," noting that $70,000 remained. Both of these documents were signed at that meeting by Mr. Gadhri and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Finally, the Second Loan was made in May 2008; the demand letter was issued to 815 in June 2010. According to the initial claims of Mrs. Gadhri and Mr. Gadhri, Mrs. Gadhri was the creditor and Mr. Dhanoa had not made any payments to her. I find it very unlikely Mrs. Gadhri would have loaned $300,000 to 815 as a short-term loan, received no payment, and waited two years before issuing any sort of a demand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above demonstrates not only that the loan had been repaid but that it is more likely than not Mr. Gadhri was very aware of that fact before Mrs. Gadhri initiated her action. This will, ultimately, inform my analysis of whether Mr. Gadhri committed an abuse of process.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Consent Order of Mr. Justice Armstrong dated June 20,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In the course of this matter proceeding to trial, the parties agreed to a Consent Order concerning the accounting of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By the Consent Order of Mr. Justice Armstrong, dated June 20, 2012, the joint venturers agreed to the accounting of the joint venture, including the invoices, up to, and including, the accounting ending October 31,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 accounting completed for the period ending on October 31, 2008, established that:</w:t>
      </w:r>
      <w:r>
        <w:rPr>
          <w:rFonts w:ascii="arial" w:eastAsia="arial" w:hAnsi="arial" w:cs="arial"/>
          <w:sz w:val="20"/>
          <w:lang w:val="en-US" w:eastAsia="en-US" w:bidi="ar-SA"/>
        </w:rPr>
        <w:cr/>
      </w:r>
    </w:p>
    <w:p>
      <w:pPr>
        <w:numPr>
          <w:numId w:val="7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 loan portion of the RBC Loan was repaid;</w:t>
      </w:r>
    </w:p>
    <w:p>
      <w:pPr>
        <w:numPr>
          <w:numId w:val="7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majority of lot sales occurred over the course of 2008 and in particular during the course of April to October 2008;</w:t>
      </w:r>
    </w:p>
    <w:p>
      <w:pPr>
        <w:numPr>
          <w:numId w:val="7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Loan and the Second Loan were not included in the joint venture accounting and neither were repayments made pursuant to those loans;</w:t>
      </w:r>
    </w:p>
    <w:p>
      <w:pPr>
        <w:numPr>
          <w:numId w:val="7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2008 Refund of $569,191.24 from the City of Surrey was included in that accounting, but as a receivable from the City of Surrey and was accounted to reduce the joint venturers development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On June 19, 2009, the RBC Loan was repaid in full and discharged from title to the development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Accounting prepared for the period ending October 31, 2013, establishes:</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 venture owes 528 $117,425;</w:t>
      </w:r>
    </w:p>
    <w:p>
      <w:pPr>
        <w:numPr>
          <w:numId w:val="8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815 owes the joint venture $322,476; and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 venture owes Mr. Gupta and Mr. Gadhri $204,093.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The expert report obtained on behalf of Mr. Gadhri points out the accounting assumes $300,000 currently held in trust has already been paid by 815 to the joint venture and then out to Mr. Gupta and Mr. Gadhri. This is not 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Just prior to the last continuation of trial, Mr. Dhanoa discovered an $18,750.16 rebate that 528 received that had not been accounted for. This was immediately disclosed, and it was agreed the accounting should be revised to consider this and, in particular, to reduce the amount owing to 528 by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Accordingly, the accounting, as corrected, should be as follows: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528 is owed $$98,674.84 by the joint venture;</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815 owes $622,476 to the joint venture; and</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Gupta and Mr. Gadhri are owed $504,093 by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These amounts are not denied. It is pointed out, however, by Mr. Dhanoa and the Numbered Companies, that these are monies from the sale proceeds of lots registered to 815 that are held in trust as security in place of CPLs placed over them in the actions commenced by Mrs. Gadhri and then later by Mr. Gadhri and that would otherwise have been already paid to the joint venture. Mr. Dhanoa and the Numbered Companies have requested these monies be paid to the joint venture. 815 says it was prepared to provide proceeds from the sale of its lots towards its obligations to the joint venture but has been prevented from doing so.</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I have considered the expert reports submitted by Mr. Gadhri. The first report contained assumptions of fact that have not been established on the evidence -- in particular, that the Private Loans were not repaid; that interest applied to debts owed by the joint venture to the joint venturers; and that the Midwest invoices were inflated. I have found two of these items to be incorrect and Mr. Gadhri abandoned the claim of interest in final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The report, as noted, contained the key assumption the facts stated in the background are accurate. That has proven not to be the case, therefore fundamentally undermining the conclusions that rely on those assumptions. Furthermore, the supplemental report of September 17, 2014, while concluding the First Loan has been repaid, makes a key assumption the Court will find the November 2008 Agreement invalid. This has not been my finding. As noted in that report, parts of the analysis and conclusions need to be revised. I have found the November 2008 Agreement to be valid and, relatedly, the Second Loan to have been properly repaid.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Gupta/Gadhri Relationship</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Did Mr. Gupta and Mr. Gadhri have a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For the reasons that follow, I find Mr. Gupta and Mr. Gadhri were business partners.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Mr. Gupta and Mr. Gadhri's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Mr. Gupta first met Mr. Gadhri in 2005, when Mr. Gadhri inquired about a real estate listing Mr. Gupta had in Surrey. Mr. Gadhri was interested in properties with some development potential. The two became very good friends, spent significant time together, and developed a business relationship concerning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Mr. Gupta and Mr. Gadhri initially purchased a property on 96th Avenue in Surrey, which they disposed of for a profit and split the proceeds. They purchased a pre-sale apartment on West Pender Street in Vancouver and sold it, dividing the profit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Mr. Gupta testified these business dealings were done on the basis of a verbal agreement of a 50-50 business relationship. The two trusted each other and there were no issues. Each provided 50% of the funds for a purchase and would split the proceeds when it was sold. They shared expenses and any profits or losses. Indeed, in 2005, Mr. Gupta and Mr. Gadhri opened a joint bank account with CIBC as business partners. Either of them could sign any cheque from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Mr. Gupta also had a long-standing account with Vancouver City Savings Credit Union, opened in 1981. Unlike the CIBC account which put a hold on cheques, Mr. Gupta had an arrangement where his cheques were not on hold and he could write cheques immediately after a deposit. This arrangement was regularly used for the benefit of both Mr. Gupta and Mr. Gadhri as part of their business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The purchase of the parent parcels followed that same path. While Mr. Gadhri said they were not partners in the joint venture, I conclude the purchase of the parcels for the property development at issue was made on the same basis as all their previous dealings; a 50-50 partnership.</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xml:space="preserve">  Section 2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Partnership defined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Partnership is the relation which subsists between persons carrying on business in common with a view of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Backman v. R.</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2001 SCC 10</w:t>
        </w:r>
      </w:hyperlink>
      <w:r>
        <w:rPr>
          <w:rFonts w:ascii="arial" w:eastAsia="arial" w:hAnsi="arial" w:cs="arial"/>
          <w:color w:val="000000"/>
          <w:sz w:val="20"/>
          <w:lang w:val="en-US" w:eastAsia="en-US" w:bidi="ar-SA"/>
        </w:rPr>
        <w:t xml:space="preserve"> at paras. 18-19, the Supreme Court of Canada held a partnership is a common law and equitable concept that occurs where two or more parties agree (orally or in writing) to carry on a business in common with a view to making a profit, with "business" receiving its ordinary meaning. A "view to a profit" entails some intention, overriding or otherwise, of earning profit from the venture. Regarding "carried on in common," the Court noted at para. 21, "Whether or not the parties held themselves out to third parties as partners, is also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The Court set out other evidence to be considered, including the contribution of skill, knowledge or assets to a common undertaking; a joint property interest in the subject-matter of the adventure; the sharing of profits and losses; the filing of income tax returns as a partnership; financial statements and joint bank accounts; and/or correspondence with third parties: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The Court described the approach to ascertaining the existence of a partnership as inquiring into whether the objective, documentary evidence and the surrounding facts, including what the parties actually did, are consistent with a subjective intention to carry on business in common with a view to profit. The Court also cautioned that a pragmatic approach should be used in weighing the relevant factors in the totality of the circumstances, thereby preventing the mechanical application of a checklist: paras. 25, 26.</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Mr. Gadhri argues the joint venture agreement and cost sharing agreement contain clauses stating that nothing in those agreements shall construe the parties as partners and that, therefore, he cannot have been partners with Mr. Gupta. The joint venture agreement states, at page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Nothing in this agreement express or implied will constitute the joint venturers as partners or the relationship between them as a partnership. Except as otherwise expressly provided in this agreement, neither joint venturer will have any authority to pledge the creditor into any liability or obligation or bind or act for or receive any obligations or responsibilities on behalf of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xml:space="preserve">  Mr. Gadhri points to a decision of this Court, </w:t>
      </w:r>
      <w:r>
        <w:rPr>
          <w:rFonts w:ascii="arial" w:eastAsia="arial" w:hAnsi="arial" w:cs="arial"/>
          <w:i/>
          <w:color w:val="000000"/>
          <w:sz w:val="20"/>
          <w:lang w:val="en-US" w:eastAsia="en-US" w:bidi="ar-SA"/>
        </w:rPr>
        <w:t>Ben 102 Enterprises Ltd. v. Ben 105 Enterprises Ltd.</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2007 BCSC 1069</w:t>
        </w:r>
      </w:hyperlink>
      <w:r>
        <w:rPr>
          <w:rFonts w:ascii="arial" w:eastAsia="arial" w:hAnsi="arial" w:cs="arial"/>
          <w:color w:val="000000"/>
          <w:sz w:val="20"/>
          <w:lang w:val="en-US" w:eastAsia="en-US" w:bidi="ar-SA"/>
        </w:rPr>
        <w:t xml:space="preserve">, in which Barrow J. was asked to determine whether the parties were partners or joint venturers. In </w:t>
      </w:r>
      <w:r>
        <w:rPr>
          <w:rFonts w:ascii="arial" w:eastAsia="arial" w:hAnsi="arial" w:cs="arial"/>
          <w:i/>
          <w:color w:val="000000"/>
          <w:sz w:val="20"/>
          <w:lang w:val="en-US" w:eastAsia="en-US" w:bidi="ar-SA"/>
        </w:rPr>
        <w:t>Ben 102</w:t>
      </w:r>
      <w:r>
        <w:rPr>
          <w:rFonts w:ascii="arial" w:eastAsia="arial" w:hAnsi="arial" w:cs="arial"/>
          <w:color w:val="000000"/>
          <w:sz w:val="20"/>
          <w:lang w:val="en-US" w:eastAsia="en-US" w:bidi="ar-SA"/>
        </w:rPr>
        <w:t>, the parties' business relationship began with the joint venture agreement into which they entered. That agreement had a clause which expressly stated the relationship was not a partnership: para. 105. The Court found, in the circumstances, the parties were not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Mr. Gupta, on the other hand, submits the joint venture agreement and cost sharing agreement only negate the inference that a partnership exists between the four joint venturers as a partnership of four and not the inference that an independent partnership exists between Mr. Gadhri and Mr. Gupta in their dealings with each other and with the other joint venturers.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I am not persuaded by Mr. Gadhri's argument. In </w:t>
      </w:r>
      <w:r>
        <w:rPr>
          <w:rFonts w:ascii="arial" w:eastAsia="arial" w:hAnsi="arial" w:cs="arial"/>
          <w:i/>
          <w:color w:val="000000"/>
          <w:sz w:val="20"/>
          <w:lang w:val="en-US" w:eastAsia="en-US" w:bidi="ar-SA"/>
        </w:rPr>
        <w:t>Ben 102</w:t>
      </w:r>
      <w:r>
        <w:rPr>
          <w:rFonts w:ascii="arial" w:eastAsia="arial" w:hAnsi="arial" w:cs="arial"/>
          <w:color w:val="000000"/>
          <w:sz w:val="20"/>
          <w:lang w:val="en-US" w:eastAsia="en-US" w:bidi="ar-SA"/>
        </w:rPr>
        <w:t>, the Court stated that "all partnerships involve a joint venture, but not all joint ventures involve a partnership" and whether parties intended to form a partnership or not "falls to be determined by 'the true account and intention of the parties as appearing from the whole of the facts'": para. 104.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In the case at hand, there is little doubt Mr. Gadhri and Mr. Gupta were business partners. The two combined their experience, skills, and assets to carry on a business with an obvious view to profit: they bought, developed, and sold real estate. They shared a bank account and accounted to each other, though in a rather informal manner. The two shared in all profits, losses, and expenses. They held themselves out as partners to all third parties and to the principle of the Numbered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Ms. Manhas' evidence in particular corroborates the consistent statement of Mr. Gupta that he and Mr. Gadhri were very happy together as business partners. Ms. Manhas noted they consistently projected this until a falling out between them. Ms. Manhas is an objective witness in this regard. Her evidence also corroborates that of Mr. Dhanoa, who said throughout his dealings with Mr. Gupta and Mr. Gadhri the two maintained and projected this business and personal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At the initial meeting between Mr. Gupta, Mr. Gadhri, and Mr. Dhanoa, Mr. Gupta and Mr. Gadhri mentioned they were 50-50 partners -- Mr. Gupta saying they were like brothers, and Mr. Gadhri saying they were in this project together, 50-50.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Mr. Gupta maintained throughout his testimony he and Mr. Gupta were partners. In fact, Mr. Gadhri even refers to Mr. Gupta as his partner in Mr. Gadhri's own statement of facts in his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Unlike the parties in </w:t>
      </w:r>
      <w:r>
        <w:rPr>
          <w:rFonts w:ascii="arial" w:eastAsia="arial" w:hAnsi="arial" w:cs="arial"/>
          <w:i/>
          <w:color w:val="000000"/>
          <w:sz w:val="20"/>
          <w:lang w:val="en-US" w:eastAsia="en-US" w:bidi="ar-SA"/>
        </w:rPr>
        <w:t>Ben 102</w:t>
      </w:r>
      <w:r>
        <w:rPr>
          <w:rFonts w:ascii="arial" w:eastAsia="arial" w:hAnsi="arial" w:cs="arial"/>
          <w:color w:val="000000"/>
          <w:sz w:val="20"/>
          <w:lang w:val="en-US" w:eastAsia="en-US" w:bidi="ar-SA"/>
        </w:rPr>
        <w:t>, Mr. Gupta and Mr. Gadhri's relationship did not begin with the joint venture agreement. The manner in which Mr. Gadhri and Mr. Gupta represented themselves to others, their use of the joint bank accounts, and their real estate transactions prior to entering the joint venture all provide evidence that highlights their subjective intention to carry on a business in common with a view to a profit. That intention is not negated by a clause later inserted into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Mr. Gadhri's reliance on clauses in the joint venture and cost sharing agreements strikes as particularly hollow, given his insistence he was frequently unaware of what agreements he was signing and ignorant of their contents, merely signing what the other joint venturers told him to sign. Mr. Gadhri was happy to act as though Mr. Gupta was his partner after signing the joint venture agreement until their falling out and it no longer suited him to do so. This is illustrative of what is, unfortunately, a troubling habit of Mr. Gadhri's: he attempts to take advantage of agreements and documents when it is in his favour to do so and denies their existence or validity when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I conclude the evidence shows Mr. Gadhri and Mr. Gupta thought of themselves -- and represented themselves to Mr. Dhanoa and others -- as business partners. I find they had an oral agreement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Mr. Gadhri and Mr. Gupta had a true intention to act as partners and had a business partnership at all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I turn now to specific disputed issues between Mr. Gupta and Mr. Gadhri.</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Lots -- Outstanding Issues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Lots 61, 62, 67, and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Mr. Gadhri claims four of the lots -- 61, 62, 67, and 68 -- were sold to his brother, Ajmer Gadhri, through Gadhri Holdings. Mr. Gupta did not find out about this claim until early 2009, while visiting Mr. Gadhri at Mr. Pamma's plaza. Mr. Gadhri briefly mentioned this and Mr. Gupta thought he was joking. The first time he saw a document which purported to reflect this was in 2012, at the discovery of Mr. Gadhri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The document reflects an assignment contract dated April 12, 2006, on the subject lots to Gadhri Holdings. When Mr. Gupta initially saw this document, it was a two-page document with the middle portion missing. The assignments given to other parties had been done in February 2006; this document was dated April 12, 2006. Mr. Gupta's handwriting was on this document, and it purports to be for the assignment of lots 61and 62. There were no documents produced with respect to lots 67 and 68 by Mr. Gadhri. The document indicated the lots were assigned for $103,000, which was the cost that Mr. Gupta and Mr. Gadhri paid for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Mr. Gupta explained April 12, 2006, was very close to the completion of the parent parcel lots. Mr. Gadhri asked him to fill in the document as he was borrowing money from his brother and wanted to provide this document to his brother as security for a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Mr. Gupta said there was no intent to sell the lots to Gadhri Holdings -- the document was just for security. He did not discuss this as he considered it a matter between two brothers, a loan between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Mr. Gadhri had a number of explanations as to how these sales were handled and undertaken, none of which were made out in the evidence. He said the money owing from Ajmer Gadhri for the four lots was set off against monies owed to his own company for servicing contracts. There was little, if any, evidence to establish this. More importantly, however, he sought to explain this by referencing other subdivisions for which he had done work without any evidence other than his verbal testimony. Ajmer Gadhri was not called to give evidence, and I conclude Mr. Gadhri's claims are completely unsubstantiated.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 also note, as set out earlier when commenting on Mr. Gadhri's credibility, his testimony is inconsistent with the documentation. I have already noted above the discrepancy between the memo on the cheque and Mr. Gadhri's testimony. He also stated later the bank draft of $372,000.00 given to him by his brother was money needed to complete the transaction. It was therefore, in my opinion, more like a loan than a purchase of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 date of the document (April 12, 2006) was close to the completion date of the sale of the parent parcels. The document itself is also consistent with the practice of Mr. Gupta and Mr. Gadhri of using a real estate form to create security for a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Mr. Gupta also said despite the fact he knew Mr. Gadhri's brother and had dealings with him, including a six-lot development on 19th Avenue in 2007, Mr. Gadhri's brother never indicated he or his company purchased any of these lots. He did not mention to him he was owed money -- that is, over $500,000, being the cost of four lots minus servicing costs of $400,000. He noted Ajmer Gadhri had paid him for his investment in the 98th property and would not have done that if Mr. Gupta and Mr. Gadhri owed him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 conclude rather the $372,000 paid out of the CIBC joint account was Mr. Gadhri's contribution to the partnership. I do not find these monies to be for the purchase of these lots. While he may have received those funds through a loan from his brother, as reflected by the documentation, I conclude these four lots were not sold to Mr. Gadhri's brother, Ajmer Gadhri.</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Raymond Atwell lots/Bhatti lots and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Raymond Atwell and his brother purchased assignments to these lots. At the time of the purchase, they were advised the servicing costs would likely be between $55,000 and $65,000. The costs were much higher, being closer to $100,000. Both Raymond Atwell and Mr. Bhatti sued Mr. Gupta and Mr. Gadhri, maintaining the assignment contracts did not include any terms that servicing would be in addition to the purchase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Mr. Gupta and Mr. Gadhri retained Royal Morton of Buckley Hogan to represent them in this matter. Ultimately, Mr. Gupta and Mr. Gadhri settled with Raymond Atwell, whereby he agreed to pay $50,000 as servicing costs for each lot. $150,000 was paid to Buckley Hogan. Mr. Gadhri claims for the loss of $150,000, which he maintains Mr. Gupta should pay to the partnership, plus legal fees paid to Buckley Hogan.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Mr. Gadhri maintains Mr. Gupta was negligent in his capacity as a realtor and therefore incurred this loss to the partnership. Mr. Gupta says as they were 50-50 partners that includes both profits and losses. I have concluded Mr. Gupta and Mr. Gadhri were partners. As such, the two shared all profits, losses, and expenses. I conclude this amount is one that the parties share, and there was no other agreement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I also conclude the legal fees are a partnership expense. The litigation related to the business of the partnership, despite Mr. Gadhri's claim after November 2009. Buckley Hogan was acting exclusively for Mr. Gupta. I do not accept that Mr. Gupta stated he would accept responsibility for the costs. If that was the case, no doubt, Mr. Gadhri's new lawyer would have confirmed that in writing. While Mr. Gadhri had a new lawyer at the time, the fees for the litigation continued to be related to the business of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 also note there is simply no basis for the alternative contention of counsel for Mr. Gadhri, that the parties should bear their own litigation costs in the matter from the date the partnership dissolved. I was given no authority to support such an argument, and I do not accept it.</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Jaswinder Dahliwhal -- 3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Three lots were assigned to Coach Holdings, at $240,000 per lot, in 2008. All the funds, however, went to RBC. A significant amount of money was therefore owing to Jaswinder Dahliwhal, in particular, $720,000, $300,000 and servicing costs being $420,000, which he was anxious to get paid. After some payments, the partnership still owed Jaswinder Dahliwhal $215,000. Mr. Gupta testified they provided a lot to him worth $200,000. They still owe him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There is no reason to doubt this testimony. I agree and conclude the partnership owes Jaswinder Dhaliwal $15,000.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Lot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There is a contract of purchase and sale dated August 5, 2011, to sell Lot 23. This sale did not complete on October 12, 2011, because of the option registered on title in favour of Mr. Dhanoa's numbered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 have concluded above the option is valid and properly represents an interest in the lots held by these companies. I agree, as argued by Mr. Gupta and stated above, the Gupta/Gadhri partnership should pay the fair market value of the option to the numbered company in exchange for release of the option so this matter can be finalized.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Lot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Jasdeep Gadhri, the son of the plaintiff, Mr. Gadhri, testified about the attempted purchase of lot 79. He has no background in real estate development. In January 2011, his father approached him and indicated lot 79 was a good property for him to purchase, subdivide, sell a portion of, and build a house on. He was newly married, and this would be a good opportunity. His father had given his brother $300,000 to purchase a business and wanted to provide Jasdeep a benefit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Mr. Gadhri presented a contract of purchase and sale to his son in January 2011, which indicated "S. Singh" as the seller. Jasdeep Gadhri assumed he was the owner. He signed as the purchaser on this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It appeared $10,000 had been deposited as part of the purchase price, and Jasdeep recalled his brother producing a draft for $10,000. Jasdeep indicated his father arranged to fund the remaining $5,000. The price was $285,000. His father obtained $200,000 from a former business partner. $100,000 was received from a buyer his father obtained for the second portion of the subdivided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In March 2011, the sale did not, however, complete. Mr. Gupta became aware Mr. Gadhri was selling the property to his own family and was of the view Mr. Gadhri was trying to avoid sharing the profit with Mr. Gupta. The original contract presented to Mr. Gupta listed a Mr. Singh. Mr. Gupta was unaware Mr. Singh was a relative of Mr. Gadhri.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Mr. Gupta says the intention of Mr. Gadhri and his son Jasdeep was that Jasdeep would acquire the property and subdivide it. He could then sell a portion, retain the balance, and build a house for himself and his wife. Mr. Gupta says this was done to obtain the benefit of the subdivision for Mr. Gadhri to the exclusion of Mr. Gupta. Mr. Gupta points out the subdivision application preceded the contract with Mr. Singh. Mr. Gupta seeks an accounting for the profit of approximately $100,000 on the basis this is a shared profit of the partnership.</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Secret Profits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Sections 31-33 of the </w:t>
      </w:r>
      <w:r>
        <w:rPr>
          <w:rFonts w:ascii="arial" w:eastAsia="arial" w:hAnsi="arial" w:cs="arial"/>
          <w:i/>
          <w:color w:val="000000"/>
          <w:sz w:val="20"/>
          <w:lang w:val="en-US" w:eastAsia="en-US" w:bidi="ar-SA"/>
        </w:rPr>
        <w:t>Partnership Act</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Partners must render accounts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Partners are bound to render true accounts and full information of all things affecting the partnership to any partner or his or her legal representatives.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Partner must account for benefits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32 (1)</w:t>
      </w:r>
      <w:r>
        <w:rPr>
          <w:rFonts w:ascii="arial" w:eastAsia="arial" w:hAnsi="arial" w:cs="arial"/>
          <w:color w:val="000000"/>
          <w:sz w:val="20"/>
          <w:lang w:val="en-US" w:eastAsia="en-US" w:bidi="ar-SA"/>
        </w:rPr>
        <w:t xml:space="preserve"> A partner must account to the firm for any benefit derived by the partner without the consent of the other partners from any transaction concerning the partnership, or from any use by the partner of the partnership property, name or business connection.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Profits of partner carrying on similar business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If a partner, without the consent of the other partners, carries on any business of the same nature as and competing with that of the firm, the partner must account for and pay over to the firm all profits made by him or her in that business.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The relationship between partnerships is characterized by a duty of utmost fairness and good faith. There is a requirement of trust and of proportionate contribution in accordance with the partnership agreement. Where those duties have been breached, the remedy is for a full accounting to the wronged partner(s) for any profit made or benefit received as a result: </w:t>
      </w:r>
      <w:r>
        <w:rPr>
          <w:rFonts w:ascii="arial" w:eastAsia="arial" w:hAnsi="arial" w:cs="arial"/>
          <w:i/>
          <w:color w:val="000000"/>
          <w:sz w:val="20"/>
          <w:lang w:val="en-US" w:eastAsia="en-US" w:bidi="ar-SA"/>
        </w:rPr>
        <w:t>McKnight v. Hutchison</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2002 BCSC 1373</w:t>
        </w:r>
      </w:hyperlink>
      <w:r>
        <w:rPr>
          <w:rFonts w:ascii="arial" w:eastAsia="arial" w:hAnsi="arial" w:cs="arial"/>
          <w:color w:val="000000"/>
          <w:sz w:val="20"/>
          <w:lang w:val="en-US" w:eastAsia="en-US" w:bidi="ar-SA"/>
        </w:rPr>
        <w:t xml:space="preserve"> at paras. 63-65, aff'd </w:t>
      </w:r>
      <w:hyperlink r:id="rId910" w:history="1">
        <w:r>
          <w:rPr>
            <w:rFonts w:ascii="arial" w:eastAsia="arial" w:hAnsi="arial" w:cs="arial"/>
            <w:i/>
            <w:color w:val="0077CC"/>
            <w:sz w:val="20"/>
            <w:u w:val="single"/>
            <w:shd w:val="clear" w:color="auto" w:fill="FFFFFF"/>
            <w:lang w:val="en-US" w:eastAsia="en-US" w:bidi="ar-SA"/>
          </w:rPr>
          <w:t>2013 BCCA 340</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[1983] B.C.J. No. 802</w:t>
        </w:r>
      </w:hyperlink>
      <w:r>
        <w:rPr>
          <w:rFonts w:ascii="arial" w:eastAsia="arial" w:hAnsi="arial" w:cs="arial"/>
          <w:color w:val="000000"/>
          <w:sz w:val="20"/>
          <w:lang w:val="en-US" w:eastAsia="en-US" w:bidi="ar-SA"/>
        </w:rPr>
        <w:t xml:space="preserve"> at para. 60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I find Mr. Gadhri must account for the profits he earned in regard to Lot 79. He arranged for his son to purchase land from the development, which his son stated was so he could subdivide that land and use the property as an investment for his new family. There may be situations where that is an acceptable practice, and I make no comment on that here. However, Mr. Gadhri paid in part for the purchase price of the land with money resulting from the subdivision. Essentially, he subdivided the land, sold part, and used the profits to provide a benefit for a family member without the consent of his partner. Clearly, Mr. Gadhri must account for that $100,000, and I order accordingly.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Monetary Contributions -- Outstanding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Mr. Gadhri specifically seeks certain monetary orders against Mr. Gupta for certain contributions he says he made. Mr. Gupta and Mr. Gadhri reviewed numerous payments between them from 2007 to 2010, which I will not detail. This Court cannot and does not undertake an accounting function. I will note, however, the factual issues distilled from this exercise between the parties ultimately were relatively few. Mr. Gupta argues that in order to equalize the money owing by Mr. Gadhri to the partnership, which is alleged to be $553,013.23, Mr. Gadhri should be ordered to either pay that into the partnership or half that amount ($276,506.62) to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I will deal, accordingly, with the disputed factual issues and claims as follows: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$65,000 -- this amount was paid by Mr. Gadhri to Mr. Gupta for the purchase of a different property on 104th Avenue from Mr. Bains in June 2007. Mr. Gadhri says Mr. Gupta agreed it would be adjusted from the 192nd Street joint venture project and was never repaid. In other words, he says this should be considered a contribution by Mr. Gadhri to the partnership's involvement in the joint venture. Mr. Gupta denies this was agreed to between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there is no evidence to support Mr. Gadhri's claim. Mr. Gupta paid his own monies for the down payment of the 104th Avenue property, thereby calling into question why there would be any debt owed from Mr. Gupta to Mr. Gadhri.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Gadhri simply concluded in his mind the $65,000 he had given for the 104th Street property was a contribution, which he could consider to be his contribution to the 192nd Street joint venture project at issue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Gadhri also says the property was re-conveyed back to the sellers, Mr. Bains and Mr. Gupta, who continued to be the 50% registered owners of that property. That, however, was not established on the evidence. The document noted a cancellation of title. While Mr. Gadhri said that was because it was subdivided, there was no evidence to establish that point.</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$75,000 -- Mr. Gadhri says $75,000 he contributed to servicing costs at 104th Avenue on June 19, 2007, was also his contribution to the Gupta/Gadhri participation in the 192nd Street joint venture project. This was a cheque of $75,000 written to Mr. Gupta by Mr. Singh, a friend or relative of Mr. Gadhri.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substantiated. The servicing costs for the 104th Avenue project amounted to $150,000. The $75,000 therefore would appear to be Mr. Gadhri's contribution to the servicing costs, which Mr. Gupta paid in total.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 also establishes an accounting has been completed between the parties involved in 104th Avenue. This amount was not being raised as an issue between the parties at that development, and there is no evidence of outstanding issues to that effect.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$26,000 -- There is some dispute as to whether this amount is $32,000 or $26,000. Mr. Gadhri maintains he repaid the amount of $26,000 to the principals of MHK -- a company or partnership, the principals of which are Mr. Gadhri's relatives -- who bought certain lots of the 192nd Street/68th Avenue development. Mr. Gadhri says they overpaid, and he repaid the amount of $32,000 to MHK.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total of $341,000 was received from MHK at the time of the completion of the purchase of the parent parcels. Mr. Gadhri said MHK were only required to pay $309,000 for the three lots they purchased. As the partnership was short of money for the property transfer tax at the time, Mr. Gadhri requested extra funds, indicating later "we will adjust it." Mr. Gadhri says he gave $26,000 of the extra funds to Mr. Gupta. This was, in his view, a contribution to the Gupta/Gadhri partnership and he should get credit for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Gadhri said he returned the funds to MHK at the time of the completion of the sale of their individual lots, including $6,000 which he repaid as cash. The relationship was important to him as these were relatives. He was concerned Mr. Gupta would "quarrel with them" about not receiving $32,000, rather than the $26,000 paid to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simply no reliable evidence to establish this claim. Throughout these proceedings, Mr. Gadhri has had numerous dealings with relatives borrowing or financing various developments. There is nothing to establish the claim of this contribution to the partnership for this joint venture. As Mr. Gupta pointed out, he could have paid these funds to MHK from the CIBC joint account of the partnership. Without more evidence, the claim is not sustainable.</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$49,000 -- Mr. Gadhri says in April 2006 he paid $49,000 to Mr. Gupta as his contribution towards the purchase price of the parent parcels of land. This, he says, is while Mr. Gupta paid $88,000 on April 27, 2006, at the time of completion for the two parent parcels, Mr. Gadhri paid him $49,000. While Mr. Gupta ultimately did not recall, he did not agree it would be for the subdivision, as the two had other business activities as well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the two had business dealings in other ventures. Again, without more evidence, it is simply not possible to identify this $49,000 as part of a contribution to this venture.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as a result, this amount has not been established as a contribution by Mr. Gadhri to the partnership between the two for this subdivision development.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Compliance deposits are at issue between the partners. Mr. Gadhri says $60,000 raised by Mr. Gupta from the G&amp;F joint account pertains to the compliance deposits. I am unable to determine this on the evidence presented. I conclude this aspect should be considered as part of paragraph 2(f) in my final order with respect to determining and paying out all compliance deposits.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Abuse of Process and/or Conspiracy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Has Mr. Gadhri committed an abuse of process or are Mr. and Mrs. Gadhri liable for conspiracy by pursuing these actions?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The defendants, Mr. Dhanoa, 815, and 528, allege Mr. Gadhri commenced litigation against them to punish Mr. Dhanoa for not siding with him in his dispute with Mr. Gupta. As a result, they are claiming Mr. Gadhri is liable for abuse of process and Mr. and Mrs. Gadhri are both liable for the tort of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Recently, the B.C. Court of Appeal addressed abuse of process in </w:t>
      </w:r>
      <w:r>
        <w:rPr>
          <w:rFonts w:ascii="arial" w:eastAsia="arial" w:hAnsi="arial" w:cs="arial"/>
          <w:i/>
          <w:color w:val="000000"/>
          <w:sz w:val="20"/>
          <w:lang w:val="en-US" w:eastAsia="en-US" w:bidi="ar-SA"/>
        </w:rPr>
        <w:t>Palmer v. Palmer</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2015 BCCA 438</w:t>
        </w:r>
      </w:hyperlink>
      <w:r>
        <w:rPr>
          <w:rFonts w:ascii="arial" w:eastAsia="arial" w:hAnsi="arial" w:cs="arial"/>
          <w:color w:val="000000"/>
          <w:sz w:val="20"/>
          <w:lang w:val="en-US" w:eastAsia="en-US" w:bidi="ar-SA"/>
        </w:rPr>
        <w:t>. The Court stated,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tort of abuse of process is made out when a party shows a misuse or perversion of the Court's process for an exterior or ulterior purpose. In other words, using a certificate of pending litigation to tie up a property and prevent it being sold to anyone else as a negotiation tactic regarding an unrelated agreement would be an abuse of process: </w:t>
      </w:r>
      <w:r>
        <w:rPr>
          <w:rFonts w:ascii="arial" w:eastAsia="arial" w:hAnsi="arial" w:cs="arial"/>
          <w:i/>
          <w:color w:val="000000"/>
          <w:sz w:val="20"/>
          <w:lang w:val="en-US" w:eastAsia="en-US" w:bidi="ar-SA"/>
        </w:rPr>
        <w:t>D.K. Investments Ltd. v. S.W.S. Investments Ltd.</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(1984), 59 B.C.L.R. 333</w:t>
        </w:r>
      </w:hyperlink>
      <w:r>
        <w:rPr>
          <w:rFonts w:ascii="arial" w:eastAsia="arial" w:hAnsi="arial" w:cs="arial"/>
          <w:color w:val="000000"/>
          <w:sz w:val="20"/>
          <w:lang w:val="en-US" w:eastAsia="en-US" w:bidi="ar-SA"/>
        </w:rPr>
        <w:t xml:space="preserve"> (S.C.), aff'd </w:t>
      </w:r>
      <w:hyperlink r:id="rId914" w:history="1">
        <w:r>
          <w:rPr>
            <w:rFonts w:ascii="arial" w:eastAsia="arial" w:hAnsi="arial" w:cs="arial"/>
            <w:i/>
            <w:color w:val="0077CC"/>
            <w:sz w:val="20"/>
            <w:u w:val="single"/>
            <w:shd w:val="clear" w:color="auto" w:fill="FFFFFF"/>
            <w:lang w:val="en-US" w:eastAsia="en-US" w:bidi="ar-SA"/>
          </w:rPr>
          <w:t>(1986), 6 B.C.L.R. (2d) 291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xml:space="preserve">  To establish that Mr. Gadhri committed an abuse of process, the defendants must prove on a balance of probabilities that Mr. Gadhri: (1) willfully misused or perverted a court process for an extraneous or improper purpose; and (2) some damage resulted to the defendants: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Casino v. Pang</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2009 CarswellOnt 2114</w:t>
        </w:r>
      </w:hyperlink>
      <w:r>
        <w:rPr>
          <w:rFonts w:ascii="arial" w:eastAsia="arial" w:hAnsi="arial" w:cs="arial"/>
          <w:color w:val="000000"/>
          <w:sz w:val="20"/>
          <w:lang w:val="en-US" w:eastAsia="en-US" w:bidi="ar-SA"/>
        </w:rPr>
        <w:t xml:space="preserve"> (S.C.J.) at para. 17, Roberts J. discussed the strict standard to be applied in determining whether a purpose was extraneous to the litigation (that is, a collateral purpose):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To succeed on this point, the plaintiff must establish that the defendant brought the applications not principally for the relief that the Board could grant but instead to use the applications coercively to obtain some other and wrongful advantage from the plaintiff. </w:t>
      </w:r>
      <w:r>
        <w:rPr>
          <w:rFonts w:ascii="arial" w:eastAsia="arial" w:hAnsi="arial" w:cs="arial"/>
          <w:i/>
          <w:color w:val="000000"/>
          <w:sz w:val="20"/>
          <w:lang w:val="en-US" w:eastAsia="en-US" w:bidi="ar-SA"/>
        </w:rPr>
        <w:t>The requirement of a collateral purpose is a very demanding standard that is applied very strictly. The collateral purpose must be something more than the usual difficulties that such applications can cause, however devastating the effects of those proceedings may be upon the plaintiff</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Hawley v. Bapoo</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[2005] O.J. No. 4328</w:t>
        </w:r>
      </w:hyperlink>
      <w:r>
        <w:rPr>
          <w:rFonts w:ascii="arial" w:eastAsia="arial" w:hAnsi="arial" w:cs="arial"/>
          <w:color w:val="000000"/>
          <w:sz w:val="20"/>
          <w:lang w:val="en-US" w:eastAsia="en-US" w:bidi="ar-SA"/>
        </w:rPr>
        <w:t xml:space="preserve"> supra, at paras. 88-90.)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I conclude this litigation was for an extraneous purpose -- to punish Mr. Dhanoa and his Numbered Companies for not supporting Mr. Gadhri in his dispute with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I accept Mr. Dhanoa's testimony concerning events that give rise to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In October 2009, Mr. Gadhri began construction of a house directly opposite from the residence of Mr. Dhanoa. During that time, Mr. Gadhri visited the construction site often and, occasionally, Mr. Dhanoa at his residence while in the neighbourhood.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In November or December 2009, Mr. Gadhri approached Mr. Dhanoa to discuss the dispute he was having with Mr. Gupta. Mr. Gadhri suggested to Mr. Dhanoa the earlier joint venture agreement should govern the lot distribution dispute between Mr. Gadhri and Mr. Gupta and the later cost sharing agreement was created merely to facilitate the loan to the joint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Mr. Dhanoa advised Mr. Gadhri he did not want to get involved in the dispute. He also told Mr. Gadhri the two had always told him they were joint owners of the properties being developed pursuant to the joint venture on a 50-50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Mr. Gadhri suggested to Mr. Dhanoa he should support him over Mr. Gupta regardless. Mr. Gadhri said he and his family are well connected and obtain many real estate development opportunities. He suggested if Mr. Dhanoa supported him, he could have a great future with him in real estate development. Mr. Dhanoa refused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Mr. Gadhri approached Mr. Dhanoa on a number of occasions to convince Mr. Dhanoa to support him in his dispute with Mr. Gupta. Mr. Dhanoa continued to refuse to take part. He did not want to take sides and did not believe Mr. Gadhri's position to be true. Mr. Gadhri became upset. He threatened Mr. Dhanoa that if he did not support him in the dispute with Mr. Gupta, he would be dragged into it too and would suffer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As a result of Mr. Dhanoa's refusal to get involved, I agree Mr. Gadhri developed hostility towards Mr. Dhanoa. He then raised the $300,000 private loan provided to Mr. Dhanoa with him. In response to Mr. Dhanoa's reply that the loan had been repaid, Mr. Gadhri said the loan was from his wife. He said his wife had not been paid and he would sue through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In June 2010, Mr. Gadhri attended at Mr. Dhanoa's residence and handed him a document relating to the May 2008 loan. This, for the first time, had Mrs. Gadhri's name on it. Two weeks later, Mr. Gadhri attended at Mr. Dhanoa's residence and gave him a demand letter from a lawyer respecting the repayment of the May 2008 loan payable to Mrs. Gadhri. Mr. Gadhri ultimately instructed his counsel to sue Mr. Dhanoa and his Numbered Companies as reflected in the lawsuit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Meanwhile, in May 2010, 815 had entered into a contract to sell one of its last lots. Mrs. Gadhri, however, filed a CPL as per her new lawsuit against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On March 25, 2011, 815 obtained an order to have the CPL registered by Mrs. Gadhri removed by payment of $50,000 to a lawyer's trust account at McQuarrie Hunter LLP. Five days later, Mr. Gadhri filed his claim against Mr. Dhanoa and filed a CPL against Lots 18, 19, and 22 owned by 815. A CPL was later removed on the condition the monies be paid into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Mr. Gadhri, however, refused to permit the money held by McQuarrie Hunter LLP in trust to be released to 442 and to release the remaining CPLs on 815's properties. 815 has, accordingly, been unable to satisfy its obligations to 442. As a result, 442 has been unable to satisfy its obligations to the joint venturers. 442 has now been struck because of its inability to file corporate documents directly due to Mr. Gadhri's refusal to sign documents for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In my view, Mr. Gadhri has simply made allegations against Mr. Dhanoa and the Numbered Companies because he was unhappy with his participation in the joint venture, which stemmed from his falling out with Mr. Gupta in June 2009. He forced Mr. Dhanoa and the Numbered Companies to respond to these allegations in this lawsuit and then dropped significant allegations in final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There is no doubt Mr. Gadhri caused Mr. Dhanoa, 528, and 815 significant damages in the way of legal fees and delays to the joint venture. This is a complex litigation that spanned the course of five years. Mr. Gadhri's conduct complicated it even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The bank draft of $200,000 to Mrs. Gadhri, the accounting statements signed by Mr. Gadhri, and the delay in issuing a demand letter, make it probable Mr. Gadhri was aware the Private Loans had been repaid long before the claim was filed. That alone, in my mind, is sufficient for finding liability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Moreover, Mr. Gadhri continued to raise issues throughout the trial before changing his position on those issues as the trial proceeded. This added to the difficulties in dealing with such a complex matter and established, in my view, his determination to use the process to adversely affect both Mr. Dhanoa and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Mr. Gadhri sought to disavow portions of signed agreements witnessed by third-party professionals, made inconsistent claims regarding the cost sharing agreement and the Options, and claimed Mr. Dhanoa had failed to provide accounting information when that was routinely provided to him and available to him upon request. This was made very clear by Ms. Manhas' evidence. Indeed, Mr. Gadhri took the very documents that were necessary to finalize accounting and refused to return them. By this, Mr. Gadhri attempted to make allegations to impugn the entirety of Mr. Dhanoa's conduct in relation to the joint venture in the hopes that some claim might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The evidence established that in early 2010, Mr. Gadhri approached Mr. Dhanoa, insisting that Mr. Dhanoa side with him in his dispute with Mr. Gupta. Mr. Gadhri then went to Mr. Dhanoa's home in the summer of 2010 and told him if he did not side with Mr. Gadhri, he was "going to be in trouble as well," threatening to sue him on behalf of Mrs. Gadhri. Mr. Dhanoa was clear and unshaken in his testimony on this point and I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That incident, combined with Mr. Gadhri's conduct throughout this litigation, demonstrates an intention to misuse the processes of this court for a collateral and improper purpose -- to punish Mr. Dhanoa for not siding with him in his ongoing dispute with Mr. Gupta.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Mr. Dhanoa and his Numbered Companies have been most seriously affected by this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I therefore find Mr. Gadhri has willfully misused or perverted a court process for an extraneous or improper purpose and that Mr. Dhanoa and the Numbered Companies have suffered damage as a result. I find him liable for abuse of process.</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With regard to conspiracy, there are two types: "predominant purpose conspiracy" and "unlawful means conspiracy." The Court in </w:t>
      </w:r>
      <w:r>
        <w:rPr>
          <w:rFonts w:ascii="arial" w:eastAsia="arial" w:hAnsi="arial" w:cs="arial"/>
          <w:i/>
          <w:color w:val="000000"/>
          <w:sz w:val="20"/>
          <w:lang w:val="en-US" w:eastAsia="en-US" w:bidi="ar-SA"/>
        </w:rPr>
        <w:t>Dale v. Toronto Real Estate Board</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2012 ONSC 512</w:t>
        </w:r>
      </w:hyperlink>
      <w:r>
        <w:rPr>
          <w:rFonts w:ascii="arial" w:eastAsia="arial" w:hAnsi="arial" w:cs="arial"/>
          <w:color w:val="000000"/>
          <w:sz w:val="20"/>
          <w:lang w:val="en-US" w:eastAsia="en-US" w:bidi="ar-SA"/>
        </w:rPr>
        <w:t xml:space="preserve"> at para. 49, distinguished the elements required to prove each type. To prove predominant purpose conspiracy, the plaintiff must establish that:</w:t>
      </w:r>
      <w:r>
        <w:rPr>
          <w:rFonts w:ascii="arial" w:eastAsia="arial" w:hAnsi="arial" w:cs="arial"/>
          <w:sz w:val="20"/>
          <w:lang w:val="en-US" w:eastAsia="en-US" w:bidi="ar-SA"/>
        </w:rPr>
        <w:cr/>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acted in combination, that is, in concert, by agreement or common design;</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predominant purpose of the defendants was to intentionally harm the plaintiff;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caused harm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prove unlawful means conspiracy, the plaintiff must prove that:</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acted in combination, again that is, in concert, by agreement or common design;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committed some unlawful act such as a crime, a tort, or breached some statute;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was directed towards the plaintiffs;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knew or ought to have known that injury to the plaintiffs was likely to occur from their unlawful act; and</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unlawful conduct in furtherance of their conspiracy caused harm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The initial claim was Mrs. Gadhri had loaned the money to 815 for the Second Loan. As stated, Mr. Gadhri abandoned this argument in closing submissions, supposedly in an effort to reduce the number of issues required to decide. In my view, this was because the claim had little merit. Yet, Mr. and Mrs. Gadhri stuck to their claim for five years and through much of the trial. I have found it unlikely that Mr. Gadhri ever believed in this claim. The question with regard to conspiracy, in my mind, is what Mrs. Gadhri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That is difficult to determine. It was clear her anger was directed at Mr. Gupta and she followed her husband's directions on this matter. I am therefore unable to definitively find a conspiracy in this respect. It is more likely Mrs. Gadhri thought her actions would adversely affect Mr. Gupta and that was her predominant purpose. The unfortunate reality, however, was that as Mr. Dhanoa was a newcomer to her, she appeared to care little about the impact of her actions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I find, however, as Mrs. Gadhri's intent appears to be directed against Mr. Gupta, the required elements of conspiracy on a balance of probabilities have not been established as against Mr. Dhanoa and the Numbered Companies.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Breach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As I have already concluded Mr. Gadhri is liable for abuse of process, I do not find it necessary to address Mr. Dhanoa and the Numbered Companies' claim that Mr. Gadhri breached the principle of good faith.</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b/>
          <w:i/>
          <w:color w:val="000000"/>
          <w:sz w:val="20"/>
          <w:lang w:val="en-US" w:eastAsia="en-US" w:bidi="ar-SA"/>
        </w:rPr>
        <w:t>Damages for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As with defamation and malicious prosecution, damages for abuse of process are at large, meaning they are not limited to the pecuniary loss that can be specifically proved: </w:t>
      </w:r>
      <w:r>
        <w:rPr>
          <w:rFonts w:ascii="arial" w:eastAsia="arial" w:hAnsi="arial" w:cs="arial"/>
          <w:i/>
          <w:color w:val="000000"/>
          <w:sz w:val="20"/>
          <w:lang w:val="en-US" w:eastAsia="en-US" w:bidi="ar-SA"/>
        </w:rPr>
        <w:t>D.K. Investments Ltd. v. S.W.S. Investments Ltd.</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(1986), 6 B.C.L.R. (2d) 291</w:t>
        </w:r>
      </w:hyperlink>
      <w:r>
        <w:rPr>
          <w:rFonts w:ascii="arial" w:eastAsia="arial" w:hAnsi="arial" w:cs="arial"/>
          <w:color w:val="000000"/>
          <w:sz w:val="20"/>
          <w:lang w:val="en-US" w:eastAsia="en-US" w:bidi="ar-SA"/>
        </w:rPr>
        <w:t xml:space="preserve"> at 302 (C.A.) [</w:t>
      </w:r>
      <w:r>
        <w:rPr>
          <w:rFonts w:ascii="arial" w:eastAsia="arial" w:hAnsi="arial" w:cs="arial"/>
          <w:i/>
          <w:color w:val="000000"/>
          <w:sz w:val="20"/>
          <w:lang w:val="en-US" w:eastAsia="en-US" w:bidi="ar-SA"/>
        </w:rPr>
        <w:t>D.K. Investments CA</w:t>
      </w:r>
      <w:r>
        <w:rPr>
          <w:rFonts w:ascii="arial" w:eastAsia="arial" w:hAnsi="arial" w:cs="arial"/>
          <w:color w:val="000000"/>
          <w:sz w:val="20"/>
          <w:lang w:val="en-US" w:eastAsia="en-US" w:bidi="ar-SA"/>
        </w:rPr>
        <w:t xml:space="preserve">], aff'd </w:t>
      </w:r>
      <w:hyperlink r:id="rId913" w:history="1">
        <w:r>
          <w:rPr>
            <w:rFonts w:ascii="arial" w:eastAsia="arial" w:hAnsi="arial" w:cs="arial"/>
            <w:i/>
            <w:color w:val="0077CC"/>
            <w:sz w:val="20"/>
            <w:u w:val="single"/>
            <w:shd w:val="clear" w:color="auto" w:fill="FFFFFF"/>
            <w:lang w:val="en-US" w:eastAsia="en-US" w:bidi="ar-SA"/>
          </w:rPr>
          <w:t>(1984), 59 B.C.L.R. 333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D.K. Investments SC</w:t>
      </w:r>
      <w:r>
        <w:rPr>
          <w:rFonts w:ascii="arial" w:eastAsia="arial" w:hAnsi="arial" w:cs="arial"/>
          <w:color w:val="000000"/>
          <w:sz w:val="20"/>
          <w:lang w:val="en-US" w:eastAsia="en-US" w:bidi="ar-SA"/>
        </w:rPr>
        <w:t xml:space="preserve">], leave to appeal ref'd </w:t>
      </w:r>
      <w:hyperlink r:id="rId919" w:history="1">
        <w:r>
          <w:rPr>
            <w:rFonts w:ascii="arial" w:eastAsia="arial" w:hAnsi="arial" w:cs="arial"/>
            <w:i/>
            <w:color w:val="0077CC"/>
            <w:sz w:val="20"/>
            <w:u w:val="single"/>
            <w:shd w:val="clear" w:color="auto" w:fill="FFFFFF"/>
            <w:lang w:val="en-US" w:eastAsia="en-US" w:bidi="ar-SA"/>
          </w:rPr>
          <w:t>(1986), 75 N.R. 159</w:t>
        </w:r>
      </w:hyperlink>
      <w:r>
        <w:rPr>
          <w:rFonts w:ascii="arial" w:eastAsia="arial" w:hAnsi="arial" w:cs="arial"/>
          <w:color w:val="000000"/>
          <w:sz w:val="20"/>
          <w:lang w:val="en-US" w:eastAsia="en-US" w:bidi="ar-SA"/>
        </w:rPr>
        <w:t xml:space="preserve"> n (S.C.C.). The process for determining damages for abuse of process is to start with the proven quantifiable pecuniary loss then, having regard to the circumstances, determine what sum properly compensates the non-pecuniary loss. Finally, the Court must consider the totality of the award: </w:t>
      </w:r>
      <w:r>
        <w:rPr>
          <w:rFonts w:ascii="arial" w:eastAsia="arial" w:hAnsi="arial" w:cs="arial"/>
          <w:i/>
          <w:color w:val="000000"/>
          <w:sz w:val="20"/>
          <w:lang w:val="en-US" w:eastAsia="en-US" w:bidi="ar-SA"/>
        </w:rPr>
        <w:t>D.K. Investments CA</w:t>
      </w:r>
      <w:r>
        <w:rPr>
          <w:rFonts w:ascii="arial" w:eastAsia="arial" w:hAnsi="arial" w:cs="arial"/>
          <w:color w:val="000000"/>
          <w:sz w:val="20"/>
          <w:lang w:val="en-US" w:eastAsia="en-US" w:bidi="ar-SA"/>
        </w:rPr>
        <w:t>, at 305.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While Mr. Dhanoa and the Numbered Companies have proved the harm occurred, they did not advance evidence to establish their pecuniary loss. That is not surprising -- given the circumstances, it would be very difficult to do so. I must therefore consider what sum is appropriate for their non-pecuniary loss. I have already set out the harm done above. I do not intend to repeat that here, except to note the vast majority of that harm could easily have been avoided had it not been for Mr. Gadhri's unnecessary conduct and meritless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I have considered the authorities on compensation and I order that Mr. Gadhri pay $25,000 to Mr. Dhanoa and the Numbered Companies for his abuse of process.</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Mr. Gadhri or Mrs. Gadhri liable for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xml:space="preserve">  The Supreme Court of Canada reviewed awards of punitive damages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Punitive damages are awarded against a defendant in exceptional cases for "malicious, oppressive and high-handed" misconduct that "offends the court's sense of decency":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(S.C.C.), at para. 196. The test thus limits the award to misconduct that represents a marked departure from ordinary standards of decent behaviour. Because their objective is to punish the defendant rather than compensate a plaintiff (whose just compensation will already have been assessed), punitive damages straddle the frontier between civil law (compensation) and criminal law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The general objectives of punitive damages are retribution, punishment, deterrence, and denunciation: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xml:space="preserve">, at para. 68. Because of those objectives, punitive damages should be ordered only in exceptional cases and with restraint. The criminal law is the most appropriate vehicle for punishment: </w:t>
      </w:r>
      <w:r>
        <w:rPr>
          <w:rFonts w:ascii="arial" w:eastAsia="arial" w:hAnsi="arial" w:cs="arial"/>
          <w:i/>
          <w:color w:val="000000"/>
          <w:sz w:val="20"/>
          <w:lang w:val="en-US" w:eastAsia="en-US" w:bidi="ar-SA"/>
        </w:rPr>
        <w:t>Whiten</w:t>
      </w:r>
      <w:r>
        <w:rPr>
          <w:rFonts w:ascii="arial" w:eastAsia="arial" w:hAnsi="arial" w:cs="arial"/>
          <w:color w:val="000000"/>
          <w:sz w:val="20"/>
          <w:lang w:val="en-US" w:eastAsia="en-US" w:bidi="ar-SA"/>
        </w:rPr>
        <w:t>,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In the circumstances, while this Court certainly does not condone the conduct of Mr. Gadhri, I do not believe punitive damages are warranted here. I find the damages for abuse of process and my findings regarding special costs, as I will set out below, sufficiently denounce Mr. Gadhri's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Generally, costs are assessable on a party-and-party basis. The Court has the discretion, however, to assess special costs (formerly solicitor-and-client costs) where warranted: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 R. 14-1</w:t>
      </w:r>
      <w:r>
        <w:rPr>
          <w:rFonts w:ascii="arial" w:eastAsia="arial" w:hAnsi="arial" w:cs="arial"/>
          <w:color w:val="000000"/>
          <w:sz w:val="20"/>
          <w:lang w:val="en-US" w:eastAsia="en-US" w:bidi="ar-SA"/>
        </w:rPr>
        <w:t xml:space="preserve">. The standard warranting special costs is whether the behaviour in question is "reprehensible," which encompasses milder forms of misconduct deserving of rebuke: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at 746-47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I have already referenced many instances of Mr. Gadhri's behaviour throughout my Reasons, but make particular note of the following:</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 held up the final accounting despite claiming an accounting is part of this process and alleging Mr. Dhanoa has failed to comply with accounting requirements. He took a box of documents from the accountants and refused to return it. He claimed a proper accounting, ultimately obtaining a forensic report that confirmed the accounting.</w:t>
      </w:r>
    </w:p>
    <w:p>
      <w:pPr>
        <w:numPr>
          <w:numId w:val="10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 made many claims of impropriety against Mr. Dhanoa and the Numbered Defendants, which he maintained over the litigation before simply abandoning them in closing submissions. As part of those claims, Mr. Gadhri filed CPLs on lots owned by the Numbered Companies, impeding their sale.</w:t>
      </w:r>
    </w:p>
    <w:p>
      <w:pPr>
        <w:numPr>
          <w:numId w:val="10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 has not established any of the allegations pled. Rather, he has demonstrated a consistent disregard of documents. He sought throughout to explain matters on the basis of verbal agreements that were not consistent with and contradicted the documents. His testimony "fluctuated" as it pertained to the documents, especially those involving family members and relatives. Indeed, these were complete disregarded, as evident by his testimony that he asked his sister-in-law to write a "loan" to the memo portion of a cheque that he now says was a deposit to purchase property.</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 continued to pursue this litigation and did not depart from the many claims of impropriety against Mr. Dhanoa and his Numbered Companies, all of which I have concluded were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 have concluded the behaviour noted here and throughout my Reasons is reprehensible and warrants an order that Mr. and Mrs. Gadhri jointly and severally pay special costs to Mr. Dhanoa, 815, and 528. I include Mrs. Gadhri on the basis she permitted the action for repayment of loans to be filed in her name. This was done on Mr. Gadhri's instructions and took up extensive court time; the allegation of Mrs. Gadhri it was her loan due was abandoned in final argument. While I did not find Mrs. Gadhri was liable for conspiracy, it was her name on the action and she must bear some responsibility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This order is not a duplication of the damages awarded for Mr. Gadhri's abuse of process. Those damages compensate Mr. Dhanoa and the Numbered Companies for their losses. The costs order is reproof for Mr. and Mrs. Gadhri's conduct and unnecessarily inordinate use of the Court's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It is time for Mr. Gadhri to allow this unfortunate and unhappy chapter in this business development to be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Accordingly, I order and declare:</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actions concerning Mr. Dhanoa, 815 and 528:</w:t>
      </w:r>
    </w:p>
    <w:p>
      <w:pPr>
        <w:numPr>
          <w:numId w:val="10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Gadhri's claims against Mr. Dhanoa, 815 and 528 are dismissed;</w:t>
      </w:r>
    </w:p>
    <w:p>
      <w:pPr>
        <w:numPr>
          <w:numId w:val="10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Mrs. Gadhri's claims against 815 are dismissed;</w:t>
      </w:r>
    </w:p>
    <w:p>
      <w:pPr>
        <w:numPr>
          <w:numId w:val="10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Loan has been repaid in full;</w:t>
      </w:r>
    </w:p>
    <w:p>
      <w:pPr>
        <w:numPr>
          <w:numId w:val="10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Loan has been repaid in full;</w:t>
      </w:r>
    </w:p>
    <w:p>
      <w:pPr>
        <w:numPr>
          <w:numId w:val="10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joint venture agreement, the cost sharing agreement, the Option Agreements, the pond agreement, the November 2008 Agreement, and the Accounting Agreement are valid and binding contracts;</w:t>
      </w:r>
    </w:p>
    <w:p>
      <w:pPr>
        <w:numPr>
          <w:numId w:val="1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Dhanoa and the Numbered Companies are awarded $25,000 against Mr. Gadhri for his abuse of process;</w:t>
      </w:r>
    </w:p>
    <w:p>
      <w:pPr>
        <w:numPr>
          <w:numId w:val="1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Dhanoa, 815, and 528 are awarded special costs against Mr. and Mrs. Gadhri jointly and severally for their conduct during litigation;</w:t>
      </w:r>
    </w:p>
    <w:p>
      <w:pPr>
        <w:numPr>
          <w:numId w:val="1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costs and damages awarded to 815 and 528 are to be set off from any monies owing to Mr. Gadhri from the joint venture or 442;</w:t>
      </w:r>
    </w:p>
    <w:p>
      <w:pPr>
        <w:numPr>
          <w:numId w:val="1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remaining CPLs registered against 815 or 528 by Mr. Gadhri are to be released immediately;</w:t>
      </w:r>
    </w:p>
    <w:p>
      <w:pPr>
        <w:numPr>
          <w:numId w:val="1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for the joint venture is to be prepared in accordance with the joint venture agreement as modified by the cost sharing agreement, the pond agreement, the November 2008 Agreement and the Accounting Agreement by the accountants for the joint venture or such other accountant as the parties may mutually agree upon. The parties can apply to the Court if they cannot agree on an accountant;</w:t>
      </w:r>
    </w:p>
    <w:p>
      <w:pPr>
        <w:numPr>
          <w:numId w:val="1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is awarded.</w:t>
      </w:r>
    </w:p>
    <w:p>
      <w:pPr>
        <w:numPr>
          <w:numId w:val="1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actions concerning Mr. Gupta and Mr. Gadhri, I order and declare:</w:t>
      </w:r>
    </w:p>
    <w:p>
      <w:pPr>
        <w:numPr>
          <w:numId w:val="1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Gupta and Mr. Gadhri are partners in respect to the 25-lot subdivision (the "Partnership") and shall share equally in respect to all obligations and liabilities incurred, as well as in respect to all revenues and benefits derived therefrom;</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Partnership, especially Mr. Gadhri, shall cooperate to complete the joint venture accounting with Mr. Dhanoa and the Numbered Companies;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Partnership shall pay out and discharge the options over Lot 23 and Lot 79 at fair market values in accordance with the Saran Supplemental Report;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Partnership shall pay to Jaswinder Dhaliwal the sum of $15,000.00;</w:t>
      </w:r>
    </w:p>
    <w:p>
      <w:pPr>
        <w:numPr>
          <w:numId w:val="1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Partnership shall determine whether the buyers in respect to Lot 23 and Lot 79 are ready, willing, and able to complete under the existing contracts of purchase and sale and, if so, the Partnership shall complete the sales under the existing contracts. If either or both of the buyers are not willing to complete under either or both of the contracts, then Mr. Gupta and Mr. Gupta and Mr. Gadhri shall have joint conduct of sale with liberty to apply for further directions and orders;</w:t>
      </w:r>
    </w:p>
    <w:p>
      <w:pPr>
        <w:numPr>
          <w:numId w:val="1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net sale proceeds from the sale of Lots 23 and 79 shall form part of the Partnership funds;</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Partnership shall determine and pay out any and all the compliance deposits in respect to the project after making any and all adjustments, whether for concrete damage or otherwise with the buyers;</w:t>
      </w:r>
    </w:p>
    <w:p>
      <w:pPr>
        <w:numPr>
          <w:numId w:val="1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Gupta is awarded the sum of $276,506.62 against Mr. Gadhri to be paid from Mr. Gadhri's half-interest in the Partnership;</w:t>
      </w:r>
    </w:p>
    <w:p>
      <w:pPr>
        <w:numPr>
          <w:numId w:val="1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monies held in trust by counsel for Mr. Gadhri and Mr. Gupta, totalling approximately $400,000.00, shall constitute Partnership proceeds;</w:t>
      </w:r>
    </w:p>
    <w:p>
      <w:pPr>
        <w:numPr>
          <w:numId w:val="1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 is liable to account to Mr. Gupta for one-half of the profit arising from the subdivision of Lot 79;</w:t>
      </w:r>
    </w:p>
    <w:p>
      <w:pPr>
        <w:numPr>
          <w:numId w:val="1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Gadhri's counterclaims are dismissed;</w:t>
      </w:r>
    </w:p>
    <w:p>
      <w:pPr>
        <w:numPr>
          <w:numId w:val="1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Gadhri shall pay to Mr. Gupta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numPr>
          <w:numId w:val="1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Gupta is awarded costs against Mr. Gadhri.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As this matter is complex, I remain seized for the purposes of clarifying issues dealt with in this litigation as reflected in these orders. I encourage the parties to resolve any outstanding issues in view of the cost and length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BURKE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April 15,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front page of the attached Reasons for Judgment of Madam Justice Burke dated March 24, 2016, has been corrected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Reeves has been added as counsel for 0760815 B.C. Ltd., Simranjeet Dhanoa, and 0758528 B.C. Ltd.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Gilbert v. Nelson, [2012] B.C.J. No. 432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 Taylor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M105994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432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317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Alexander Stephen Gilbert, Plaintiff, and Stephen Curtis Nelson,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0" w:name="Keywords_42"/>
      <w:bookmarkEnd w:id="300"/>
      <w:r>
        <w:rPr>
          <w:rFonts w:ascii="arial" w:eastAsia="arial" w:hAnsi="arial" w:cs="arial"/>
          <w:b/>
          <w:color w:val="000000"/>
          <w:sz w:val="20"/>
          <w:lang w:val="en-US" w:eastAsia="en-US" w:bidi="ar-SA"/>
        </w:rPr>
        <w:t>Civil litigation — Civil procedure — Discovery — Production and inspection of documents — Privileged documents — Documents prepared in contemplation of litigation — Application by plaintiff for disclosure of adjuster's notes and three reports allowed in part — Plaintiff claimed serious personal injuries occurred when he was struck by defendant's van while riding bicycle in 2005 — Defendant claimed litigation privilege — Litigation was distinct possibility at time accident was first reported, given nature of accident and severity of injuries — However, test was dominant purpose of documents — None of the parties retained counsel until 2010 and insurer never formally told plaintiff liability was being denied — Disclosure ordered until date of first contact from plaintiff's lawyer, with references to reserves redacted.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Application by plaintiff for disclosure of adjuster's notes and three reports allowed in part — Plaintiff claimed serious personal injuries occurred when he was struck by defendant's van while riding bicycle in 2005 — Defendant claimed litigation privilege — Litigation was distinct possibility at time accident was first reported, given nature of accident and severity of injuries — However, test was dominant purpose of documents — None of the parties retained counsel until 2010 and insurer never formally told plaintiff liability was being denied — Disclosure ordered until date of first contact from plaintiff's lawyer, with references to reserves redacted.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Discovery — Inspection of documents — Privileged documents — Application by plaintiff for disclosure of adjuster's notes and three reports allowed in part — Plaintiff claimed serious personal injuries occurred when he was struck by defendant's van while riding bicycle in 2005 — Defendant claimed litigation privilege — Litigation was distinct possibility at time accident was first reported, given nature of accident and severity of injuries — However, test was dominant purpose of documents — None of the parties retained counsel until 2010 and insurer never formally told plaintiff liability was being denied — Disclosure ordered until date of first contact from plaintiff's lawyer, with references to reserves redacted.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1" w:name="Case Summary_40"/>
            <w:bookmarkEnd w:id="3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disclosure of unredacted adjuster's notes, an independent adjuster's report and two engineering reports. The plaintiff was struck by the defendant's van while riding his bicycle on a rural road in 2005. The plaintiff claimed serious personal injuries, including a traumatic brain injury. The plaintiff's father called the insurer the day after the accident and reported the plaintiff was still unconscious. The adjuster deposed that litigation was seen as likely at that time. The adjuster attended the defendant's residence, took photographs, made notes and told the plaintiff's father the defendant did not appear to be liable for the accident. The defendant relied on this affidavit and the affidavits of two subsequent adjusters to claim litigation privilege over the documents sought. The adjusters relied on the plaintiff's father's statement he was "getting his ducks in a row" as proof he was preparing for litigation. Nothing was actually done by the plaintiff until he retained a lawyer in 2010. In 2010, the plaintiff made a freedom of information request of the insurer for his complete file. The adjuster's notes were provided but were heavily redacted. The defendant provided a different engineering report than the ones now sought.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2" w:name="Holdings of Court_38"/>
            <w:bookmarkEnd w:id="30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Litigation was a distinct possibility at the time the accident was first reported, given the nature of the accident and severity of the plaintiff's injuries. However, the test was not the certainty of litigation but the dominant purpose of the documents. Neither the defendant nor the insurer retained counsel until 2010 and the insurer did not make a formal declaration that liability was being denied. Litigation privilege did not exist over the notes or reports. Disclosure up until the first letter from the plaintiff's counsel was sent was ordered, with references to reserves redacted.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3" w:name="Legislation Cited_32"/>
      <w:bookmarkEnd w:id="3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8"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Freedom of Information and Protection of Privacy Act, </w:t>
      </w:r>
      <w:r>
        <w:rPr>
          <w:rFonts w:ascii="arial" w:eastAsia="arial" w:hAnsi="arial" w:cs="arial"/>
          <w:i/>
          <w:color w:val="000000"/>
          <w:sz w:val="20"/>
          <w:lang w:val="en-US" w:eastAsia="en-US" w:bidi="ar-SA"/>
        </w:rPr>
        <w:t>RSBC 1996, CHAPTER 165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4" w:name="Counsel_43"/>
      <w:bookmarkEnd w:id="3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9"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 Naish.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K. Koller.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5" w:name="Judgment_43"/>
      <w:bookmarkEnd w:id="305"/>
      <w:r>
        <w:pict>
          <v:line id="_x0000_s1240"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6" w:name="MASTER G. TAYLOR"/>
            <w:bookmarkEnd w:id="306"/>
            <w:r>
              <w:rPr>
                <w:rFonts w:ascii="arial" w:eastAsia="arial" w:hAnsi="arial" w:cs="arial"/>
                <w:b/>
                <w:color w:val="000000"/>
                <w:sz w:val="30"/>
                <w:lang w:val="en-US" w:eastAsia="en-US" w:bidi="ar-SA"/>
              </w:rPr>
              <w:t>MASTER G. TAYLOR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6, 2005, when the plaintiff, Alexander Gilbert was 13 years of age, he was riding his bicycle in and near the driveway of his home outside of Nanaimo, in a rural area called Cedar, B.C. Unfortunately, the young cyclist was struck by the van driven by the defendant. Currently, the issue of liability has yet to be determined by the court, although the defendant, through his insurer, ICBC, has denied liability for the accident and subsequent injuries suffered by the young man as a result of the accident. In fact, the defendant alleges that the young plaintiff rode his bicycle out of his driveway without stopping and right into the path of the defendant's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an application by the plaintiff for an order that the defendant provide to the plaintiff a copy of the unedited CWMS notes from June 6, 2005, to December 9, 2010. As well, the plaintiff seeks an order that three documents over which privilege is claimed be produced for inspection. The three documents include a report of an independent adjuster dated September 11, 2009, a report to ICBC from an engineer dated September 28, 2005, and a report to ICBC from an engineer dated April 11, 2006. The defendant is opposed to the disclosure of all of the CWMS notes, but has produced some of them in a redacted format. The defendant is also opposed to production of the three sought-after reports and claims privilege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Interestingly, the defendant has produced a report from Baker Materials Engineering Ltd. dated March 1, 2006, over which at one time the defendant was claiming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notice of civil claim, commenced in July, 2010, some of the plaintiff's injuries are identified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Traumatic Brain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Fractured fibula and tibia requiring fasciotomy and surgical nailing;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Fractured rib;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Left arm and wrist injury and left ankle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Dental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Psychiatric and psychological sequelae arising from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was initially reported to ICBC by the boy's father on June 7, 2005 and ICBC records show that Julia Fall was assigned as adjuster to the file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an affidavit filed in these proceedings, Ms. Fall, who is now retired, deposes to the fact that she telephoned David Gilbert, the boy's father on June 7, 2005 to enquire about his son's injuries. She further deposes that she learned the young man was unconscious and had been since the accident the day before. Ms. Fall also learned that the boy suffered a badly broken leg and other injuries, the specifics of which were unknown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paragraph 7 of her affidavit, Ms. Fall deposes as follows:</w:t>
      </w:r>
      <w:r>
        <w:rPr>
          <w:rFonts w:ascii="arial" w:eastAsia="arial" w:hAnsi="arial" w:cs="arial"/>
          <w:sz w:val="20"/>
          <w:lang w:val="en-US" w:eastAsia="en-US" w:bidi="ar-SA"/>
        </w:rPr>
        <w:cr/>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first day that I learned about the accident, the plaintiff's young age, the fact that the plaintiff was a cyclist struck by a van, and the severity of the plaintiff's injuries which included a likely head injury were all factors that immediately put me on alert that litigation was a likely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Further in her affidavit, Ms. Fall describes attending the defendant's residence on June 8, 2005 with an ICBC estimator. She also attended the scene of the accident that same day and took photographs of the accident scene, the purpose of which, she says, was to assist her in her assessment of liability and also to preserve evidence for the eventual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she returned to her office that day, Ms. Fall made some notes including this entry: "Insured travelling on country road. T/P (13 year old cyclist) rode bike out of driveway onto roadway in front of insured's vehicle. Still under investigation, but would appear our insured is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Fall explains using the words, "still under investigation" because she still hadn't received the RCMP Accident Reconstructionist Report and because she says she knew the investigation would be ongoing for the purpose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June 13, 2005, Ms. Fall met with Mr. Gilbert. She says she told him at the outset of the meeting that there did not appear to be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driver, Mr. Nelson. She confirmed to Mr. Gilbert that their investigation was not complete, and says she said this because she was still awaiting the receipt of the RCMP report, and because "I knew the investigation would be ongoing for the purposes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relies heavily on the affidavit of Ms. Fall and affidavits of two subsequent adjusters who dealt with the file. In particular the defendant relies on paragraphs 18 to 20 of the affidavit of Ms. Fall for a determination of litigation privilege. Accordingly, I reproduce all three paragraphs in their entirety:</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13, 2005, following my meeting with David Gilbert, I believed that litigation was certain based on the following facts and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Alex Gilbert was a child cyclist struck by a van;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injuries were very serious including a suspected head injury and being in a medically induced coma with an unknown prognosis;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Gilbert indicated to me that he intended to retain counsel;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 Liability would be denied based on the following:</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Nelson's description of the accident including the fact that the cyclist came flying out of the driveway;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Nelson's confirmation that the RCMP did not give him a ticket after the accident;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My view of the scene of the accident, including the bushes and foliage that restrict the view of both parties;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other witnesses to the accident.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after my meeting with Mr. Gilbert on June 13, 2005, all investigations into insurance issues such as coverage and how ICBC would treat the liability issue were complete. For example: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 7 benefits were being paid and there was no investigation with respect to entitlement to Part 7 benefits;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Nelson's third party liability coverage was in order;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identifiable breaches on the part of Mr. Nelson;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never a property claim made by the Gilbert's in respect of the bicycle;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had been determined for the purposes of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that point forward all steps I took were for the purpose of gather evidence and assisting with the anticipated tort action.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Therefore, I concluded my June 13, 2005 note summarizing my meeting with David Gilbert with the statement that "All further action I take on this file will be in anticipation of litigation."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well, Ms. Fall deposes to having had a phone call with Mr. Gilbert on June 15, 2005, where she advised him that her position with respect to liability had not changed. In reply Mr. Gilbert is reported to have said he was "getting his ducks in a row", which Ms. Fall took to mean that Mr. Gilbert "was preparing for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relies on two more affidavits of examiners who assumed conduct of the file after Ms. Fall, who only had conduct until December 12, 2005. Thereafter, Ingrid Franzke, a claims examiner, had conduct of the file from December 12, 2005 to March 2008, and then Paula Simpson, another claims examiner, assumed conduct of the file on September 9, 2008. Thus, it would appear no one at ICBC had conduct of the file from March, 2008 to September 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Essentially, each of the two subsequent examiners with conduct of the file depose to exactly the same reasons in exactly the same words as Ms. Fall for determining that litigation was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it turns out, nothing was done by the plaintiff until he retained counsel and a notice of civil claim was filed on December 9, 2010. The response to notice of civil claim was filed on March 4, 2011. The trial date in this matter has been set for June 25, 2012 for 14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From the date of the accident, until July, 2010, no lawyer was ever retained to act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or about July 7, 2010, the plaintiff's solicitors wrote to ICBC making a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("FOI") request for the complete file regarding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office of plaintiff's counsel eventually received documents on December 2, 2010 from the FOI request. The file is 947 pages in length. Apparently, the file contains heavily redacted adjuster's notes, called CWMS notes, for the dates of June 7, 2005 to June 13,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Of particular note and importance to the plaintiff's submissions is that a CWMS entry by Ms. Fall on June 13, 2005 indicates that Ms. Fall confirmed in conversation with Mr. Gilbert that her investigations were not yet complete. As well, the plaintiff points to the CWMS entry on June 15, 2005 where Ms. Fall indicated a discussion with Mr. Gilbert informing him that the traffic analyst "report would not be available until August, at which time we [ICBC] would be ordering a copy, and after review of same, would review liability and make assessment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also points to the January 10, 2006 CWMS entry which indicates that Naseem Rahiman, an employee at ICBC, wrote to an individual working for the B.C. Health Insurance Plan as follows: "please note that we are unable to pay this account at this time as liability is still in dispute and we are still investigating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response to correspondence from plaintiff's counsel requesting copies of the complete unredacted CWMS notes plus the documents listed in part 4 of the defendant's List of Documents, wherein litigation privilege is claimed, the defendant's counsel responded by claiming that the Part 4 documents and the CWMS notes created after June 13, 2005 were made in contemplation of litigation. Attached in the correspondence were unredacted CWMS notes created prior to June 13, 2005 and an amended list of documents. Defence counsel continued to claim privilege over the documents as they were made "by a professional expert commissioned to investigate liability in 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Both parties agree that the decision of our Court of Appeal in </w:t>
      </w:r>
      <w:r>
        <w:rPr>
          <w:rFonts w:ascii="arial" w:eastAsia="arial" w:hAnsi="arial" w:cs="arial"/>
          <w:i/>
          <w:color w:val="000000"/>
          <w:sz w:val="20"/>
          <w:lang w:val="en-US" w:eastAsia="en-US" w:bidi="ar-SA"/>
        </w:rPr>
        <w:t>Hamalaninen v. Sippola</w:t>
      </w:r>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[1991] B.C.J. No. 3614</w:t>
        </w:r>
      </w:hyperlink>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[1992] 2 W.W.R. 132</w:t>
        </w:r>
      </w:hyperlink>
      <w:r>
        <w:rPr>
          <w:rFonts w:ascii="arial" w:eastAsia="arial" w:hAnsi="arial" w:cs="arial"/>
          <w:color w:val="000000"/>
          <w:sz w:val="20"/>
          <w:lang w:val="en-US" w:eastAsia="en-US" w:bidi="ar-SA"/>
        </w:rPr>
        <w:t xml:space="preserve">, </w:t>
      </w:r>
      <w:hyperlink r:id="rId929" w:history="1">
        <w:r>
          <w:rPr>
            <w:rFonts w:ascii="arial" w:eastAsia="arial" w:hAnsi="arial" w:cs="arial"/>
            <w:i/>
            <w:color w:val="0077CC"/>
            <w:sz w:val="20"/>
            <w:u w:val="single"/>
            <w:shd w:val="clear" w:color="auto" w:fill="FFFFFF"/>
            <w:lang w:val="en-US" w:eastAsia="en-US" w:bidi="ar-SA"/>
          </w:rPr>
          <w:t>62 B.C.L.R. (2d) 254</w:t>
        </w:r>
      </w:hyperlink>
      <w:r>
        <w:rPr>
          <w:rFonts w:ascii="arial" w:eastAsia="arial" w:hAnsi="arial" w:cs="arial"/>
          <w:color w:val="000000"/>
          <w:sz w:val="20"/>
          <w:lang w:val="en-US" w:eastAsia="en-US" w:bidi="ar-SA"/>
        </w:rPr>
        <w:t xml:space="preserve"> sets out the test to be applied in an application such as this. That test is set out by Wood, J.A., (as he then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Regardless of the terminology used to apply it, the correct rule, as adopted in Voth, is that stated by Barwick C.J. of the Australian High Court in Grant v. Downs (1976), 135 C.L.R. 674 at p. 677: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Having considered the decisions, the writings and the various aspects of the public interest which claim attention, I have come to the conclusion that the court should state the relevant principle as follows: a document which was produced or brought into existence either with the dominant purpose of its author, or of the person or authority under whose direction, whether particular or general, it was produced or brought into existence, of using it or its contents in order to obtain legal advice or to conduct or aid in the conduct of litigation, at the time of its production in reasonable prospect, should be privileged and excluded from inspection.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attempt to apply the rule when determining a claim of privilege with respect to a document necessarily requires that two factual determinations be made: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litigation in reasonable prospect at the time it was produced,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was the dominant purpose for its production?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litigation "in reasonable prospect" at the time these documents were produced?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onus is on the party claiming privilege to establish on a balance of probabilities that both tests are met in connection with each of the documents falling within the claim. As was so in the Shaughnessy Golf Club case, no effort was made in the material filed by the defendant in this case to distinguish one document from another in meeting that onus. The assumption seems to have been that by establishing that litigation was in reasonable prospect from the outset, the claim of privilege must necessarily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regard to whether litigation was in reasonable prospect, Wood, J.A.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litigation can properly be said to be in reasonable prospect when a reasonable person, possessed of all pertinent information including that peculiar to one party or the other, would conclude it is unlikely that the claim for loss will be resolved without it. The test is not one that will be particularly difficult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Following this analysis, it would seem to me that given the alleged circumstances of the particular accident in the case at bar, and the nature of the injuries suffered by Alexander Gilbert, that litigation would be a distinct possibility from the time the accident was first reported on June 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What is more difficult to determine is the dominant purpose for which the documents were produced. It is clear from the Court of Appeal analysis in </w:t>
      </w:r>
      <w:r>
        <w:rPr>
          <w:rFonts w:ascii="arial" w:eastAsia="arial" w:hAnsi="arial" w:cs="arial"/>
          <w:i/>
          <w:color w:val="000000"/>
          <w:sz w:val="20"/>
          <w:lang w:val="en-US" w:eastAsia="en-US" w:bidi="ar-SA"/>
        </w:rPr>
        <w:t>Hamalainen</w:t>
      </w:r>
      <w:r>
        <w:rPr>
          <w:rFonts w:ascii="arial" w:eastAsia="arial" w:hAnsi="arial" w:cs="arial"/>
          <w:color w:val="000000"/>
          <w:sz w:val="20"/>
          <w:lang w:val="en-US" w:eastAsia="en-US" w:bidi="ar-SA"/>
        </w:rPr>
        <w:t xml:space="preserve"> that each document must be reviewed for its purpose, and that a blanket privilege cannot be granted just because the privilege is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Wood, J.A. conducts the analysis thusly: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in cases where litigation is in reasonable prospect from the time a claim first arises, there is bound to be a preliminary period during which the parties are attempting to discover the cause of the accident on which it is based. At some point in the information gathering process the focus of such an inquiry will shift such that its dominant purpose will become that of preparing the party for whom it was conducted for the anticipated litigation. In other words, there is a continuum which begins with the incident giving rise to the claim and during which the focus of the inquiry changes. At what point the dominant purpose becomes that of furthering the course of litigation will necessarily fall to be determined by the facts peculiar to each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that sense there is obviously no absolute rule that the decision to deny liability in such a claim must mark the point in which the conduct of litigation becomes the dominant purpose underlying the production of each and every document of the sort for which privilege was claimed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Supreme Court of Canada discussed litigation privilege in the context of a claim to documents in the possession of the Crown but after the litigation had ceased in </w:t>
      </w:r>
      <w:r>
        <w:rPr>
          <w:rFonts w:ascii="arial" w:eastAsia="arial" w:hAnsi="arial" w:cs="arial"/>
          <w:i/>
          <w:color w:val="000000"/>
          <w:sz w:val="20"/>
          <w:lang w:val="en-US" w:eastAsia="en-US" w:bidi="ar-SA"/>
        </w:rPr>
        <w:t>Blank v. Canada (Minister of Justice)</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[2006] 2 S.C.R. 319</w:t>
        </w:r>
      </w:hyperlink>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2006 SCC 39</w:t>
        </w:r>
      </w:hyperlink>
      <w:r>
        <w:rPr>
          <w:rFonts w:ascii="arial" w:eastAsia="arial" w:hAnsi="arial" w:cs="arial"/>
          <w:color w:val="000000"/>
          <w:sz w:val="20"/>
          <w:lang w:val="en-US" w:eastAsia="en-US" w:bidi="ar-SA"/>
        </w:rPr>
        <w:t>. According to the Supreme Court of Canada, the claim to litigation privilege is waning especially in light of the on-going principle of disclosure. At paragraphs 59 - 61, Fish, J. said this in confirming the dominant purpose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question has arisen whether the litigation privilege should attach to documents created for the substantial purpose of litigation, the dominant purpose of litigation or the sole purpose of litigation. The dominant purpose test was chosen from this spectrum by the House of Lords in </w:t>
      </w:r>
      <w:r>
        <w:rPr>
          <w:rFonts w:ascii="arial" w:eastAsia="arial" w:hAnsi="arial" w:cs="arial"/>
          <w:i/>
          <w:color w:val="000000"/>
          <w:sz w:val="20"/>
          <w:lang w:val="en-US" w:eastAsia="en-US" w:bidi="ar-SA"/>
        </w:rPr>
        <w:t>Waugh v. British Railways Board</w:t>
      </w:r>
      <w:r>
        <w:rPr>
          <w:rFonts w:ascii="arial" w:eastAsia="arial" w:hAnsi="arial" w:cs="arial"/>
          <w:color w:val="000000"/>
          <w:sz w:val="20"/>
          <w:lang w:val="en-US" w:eastAsia="en-US" w:bidi="ar-SA"/>
        </w:rPr>
        <w:t xml:space="preserve">, [1979] 2 All E.R. 1169. It has been adopted in this country as well: </w:t>
      </w:r>
      <w:r>
        <w:rPr>
          <w:rFonts w:ascii="arial" w:eastAsia="arial" w:hAnsi="arial" w:cs="arial"/>
          <w:i/>
          <w:color w:val="000000"/>
          <w:sz w:val="20"/>
          <w:lang w:val="en-US" w:eastAsia="en-US" w:bidi="ar-SA"/>
        </w:rPr>
        <w:t>Davies v. Harrington</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(1980), 115 D.L.R. (3d) 347</w:t>
        </w:r>
      </w:hyperlink>
      <w:r>
        <w:rPr>
          <w:rFonts w:ascii="arial" w:eastAsia="arial" w:hAnsi="arial" w:cs="arial"/>
          <w:color w:val="000000"/>
          <w:sz w:val="20"/>
          <w:lang w:val="en-US" w:eastAsia="en-US" w:bidi="ar-SA"/>
        </w:rPr>
        <w:t xml:space="preserve"> (N.S.C.A.); </w:t>
      </w:r>
      <w:r>
        <w:rPr>
          <w:rFonts w:ascii="arial" w:eastAsia="arial" w:hAnsi="arial" w:cs="arial"/>
          <w:i/>
          <w:color w:val="000000"/>
          <w:sz w:val="20"/>
          <w:lang w:val="en-US" w:eastAsia="en-US" w:bidi="ar-SA"/>
        </w:rPr>
        <w:t>Voth Bros. Construction (1974) Ltd. v. North Vancouver School District No. 44 Board of School Trustees</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(1981), 29 B.C.L.R. 114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McCaig v. Trentowsky</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(1983), 148 D.L.R. (3d) 724</w:t>
        </w:r>
      </w:hyperlink>
      <w:r>
        <w:rPr>
          <w:rFonts w:ascii="arial" w:eastAsia="arial" w:hAnsi="arial" w:cs="arial"/>
          <w:color w:val="000000"/>
          <w:sz w:val="20"/>
          <w:lang w:val="en-US" w:eastAsia="en-US" w:bidi="ar-SA"/>
        </w:rPr>
        <w:t xml:space="preserve"> (N.B.C.A.); </w:t>
      </w:r>
      <w:r>
        <w:rPr>
          <w:rFonts w:ascii="arial" w:eastAsia="arial" w:hAnsi="arial" w:cs="arial"/>
          <w:i/>
          <w:color w:val="000000"/>
          <w:sz w:val="20"/>
          <w:lang w:val="en-US" w:eastAsia="en-US" w:bidi="ar-SA"/>
        </w:rPr>
        <w:t>Nova, an Alberta Corporation v. Guelph Engineering Co.</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(1984), 5 D.L.R. (4th) 755</w:t>
        </w:r>
      </w:hyperlink>
      <w:r>
        <w:rPr>
          <w:rFonts w:ascii="arial" w:eastAsia="arial" w:hAnsi="arial" w:cs="arial"/>
          <w:color w:val="000000"/>
          <w:sz w:val="20"/>
          <w:lang w:val="en-US" w:eastAsia="en-US" w:bidi="ar-SA"/>
        </w:rPr>
        <w:t xml:space="preserve"> (Alta. C.A.); </w:t>
      </w:r>
      <w:r>
        <w:rPr>
          <w:rFonts w:ascii="arial" w:eastAsia="arial" w:hAnsi="arial" w:cs="arial"/>
          <w:i/>
          <w:color w:val="000000"/>
          <w:sz w:val="20"/>
          <w:lang w:val="en-US" w:eastAsia="en-US" w:bidi="ar-SA"/>
        </w:rPr>
        <w:t>Ed Miller Sales &amp; Rentals</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[1988] A.J. No. 810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Chrusz</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[1999] O.J. No. 3291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Lifford</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[2005] O.J. No. 3042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Mitsui</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[2000] N.S.J. No. 258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College of Physicians</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[2002] B.C.J. No. 2779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Gower</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[2001] M.J. No. 39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I see no reason to depart from the dominant purpose test. Though it provides narrower protection than would a substantial purpose test, the dominant purpose standard appears to me consistent with the notion that the litigation privilege should be viewed as a limited exception to the principle of full disclosure and not as an equal partner of the broadly interpreted solicitor-client privilege. The dominant purpose test is more compatible with the contemporary trend favouring increased disclosure. As Royer has noted, it is hardly surprising that modern legislation and case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[translation] which increasingly attenuate the purely accusatory and adversarial nature of the civil trial, tend to limit the scope of this privilege [that is, the litigation privilege]. [p. 869]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 as Carthy J.A. stated in </w:t>
      </w:r>
      <w:r>
        <w:rPr>
          <w:rFonts w:ascii="arial" w:eastAsia="arial" w:hAnsi="arial" w:cs="arial"/>
          <w:i/>
          <w:color w:val="000000"/>
          <w:sz w:val="20"/>
          <w:lang w:val="en-US" w:eastAsia="en-US" w:bidi="ar-SA"/>
        </w:rPr>
        <w:t>Chrusz</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modern trend is in the direction of complete discovery and there is no apparent reason to inhibit that trend so long as counsel is left with sufficient flexibility to adequately serve the litigation client. [p. 331]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While the solicitor-client privilege has been strengthened, reaffirmed and elevated in recent years, the litigation privilege has had, on the contrary, to weather the trend toward mutual and reciprocal disclosure which is the hallmark of the judicial process. In this context, it would be incongruous to reverse that trend and revert to a substantial purpose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Six months before the decision in </w:t>
      </w:r>
      <w:r>
        <w:rPr>
          <w:rFonts w:ascii="arial" w:eastAsia="arial" w:hAnsi="arial" w:cs="arial"/>
          <w:i/>
          <w:color w:val="000000"/>
          <w:sz w:val="20"/>
          <w:lang w:val="en-US" w:eastAsia="en-US" w:bidi="ar-SA"/>
        </w:rPr>
        <w:t>Blank</w:t>
      </w:r>
      <w:r>
        <w:rPr>
          <w:rFonts w:ascii="arial" w:eastAsia="arial" w:hAnsi="arial" w:cs="arial"/>
          <w:color w:val="000000"/>
          <w:sz w:val="20"/>
          <w:lang w:val="en-US" w:eastAsia="en-US" w:bidi="ar-SA"/>
        </w:rPr>
        <w:t xml:space="preserve"> by the Supreme Court of Canada, Madam Justice Gray of our court in </w:t>
      </w:r>
      <w:r>
        <w:rPr>
          <w:rFonts w:ascii="arial" w:eastAsia="arial" w:hAnsi="arial" w:cs="arial"/>
          <w:i/>
          <w:color w:val="000000"/>
          <w:sz w:val="20"/>
          <w:lang w:val="en-US" w:eastAsia="en-US" w:bidi="ar-SA"/>
        </w:rPr>
        <w:t>Keefer Laundry Ltd. v. Pellerin Milnor Corp. et al,</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2006 BCSC 1180</w:t>
        </w:r>
      </w:hyperlink>
      <w:r>
        <w:rPr>
          <w:rFonts w:ascii="arial" w:eastAsia="arial" w:hAnsi="arial" w:cs="arial"/>
          <w:color w:val="000000"/>
          <w:sz w:val="20"/>
          <w:lang w:val="en-US" w:eastAsia="en-US" w:bidi="ar-SA"/>
        </w:rPr>
        <w:t>, addressed what information was required from a party claiming litigation privilege as well as the care to be taken when providing such information. She wrote at paragraphs 98 and 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[98] To establish "dominant purpose", the party asserting the privilege will have to present evidence of the circumstances surrounding the creation of the communication or document in question, including evidence with respect to when it was created, who created it, who authorized it, and what use was or could be made of it. Care must be taken to limit the extent of the information that is revealed in the process of establishing "dominant purpose" to avoid accidental or implied waiver of the privilege that is being claimed.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[99] The focus of the enquiry is on the time and purpose for which the document was created. Whether or not a document is actually used in ensuing litigation is a matter of strategy and does not affect the document's privileged status. A document created for the dominant purpose of litigation remains privileged throughout that litigation even if it is never used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observe that the finding of the dominant purpose is fact specific to each and every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case at bar, the court has been left with affidavits of 3 adjusters or claims examiners who have opined that litigation is certain. As well, the defendant has produced an affidavit from Tim Harper, an engineer in the employ of Baker Materials Engineering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Harper deposes to being retained by Ms. Fall on or about June 20, 2005 to attend the scene of the accident and to gather facts and information to assist Ms. Fall in preparing for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Harper was asked to prepare a report in February 2006 and did so. His report is dated March 1, 2006 and is the report that the defendants have chosen to disclose to the plaintiff in these proceedings. This report concludes that the condition of the tires on the defendant's vehicle was not a factor in the accident, and the speed of the van at the time of impact was in the range of 46 to 56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Harper apparently was requested by Ms. Franzke to do further work and he created a report dated April 11, 2006, which is one of the reports over which the defendants claim privilege. Mr. Harper says in his affidavit that he "believed that [his] work product was being prepared for the dominant purpose of litigation ..." How I could give any weight to Mr. Harper's assertion was not addressed by counsel seeking to rely on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Saying that litigation is a certainty is not the test for the dominant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What I do observe from the facts before me is that no counsel was consulted or retained by the defendant or his insurer until after the notice of civil claim was issued in July, 2010. While the retainer of counsel is not an absolute test as to whether or not documents were created for the dominant purpose of litigation, it is but one factor in this case that indicates that the defendant and his insurer were not preparing for litigation nor directing the course of the defence of a possible law suit, until a notice of civil claim was issued some five years post accident. One would have thought that the defendants would have sought to establish the dominant purpose by showing on a balance of probabilities that the dominant purpose of the documents was to obtain legal advice or to aid in the conduct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Most certainly the defendant and his insurer had followed a course of investigating the accident, and its dynamics, but other than telephone conversations Ms. Fall had with Mr. Gilbert on June 13 and 15, 2005, there is no evidence before me that the defendant or his insurer made a formal declaration to the Gilbert family by way of letter that liability for the accident was being denied. In my view, a reasonable person would expect no less especially after the family was told that an assessment of liability would be made after receipt of the traffic analyst's report which was anticipated to be received by Ms. Fall in August,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all of the circumstances, I find that the defendant hasn't met the onus on him to satisfy me that there exists over either the CWMS notes or the reports currently listed in Part 4 of the Defendant's List of Documents a litigation privilege, such that disclosure of the documents up to the date of the first letter from counsel for the plaintiff should not be made to the opposite party. The only caveat will be that all references to reserves are to be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shall have his costs for preparation for, and attendance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 TAYLOR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1"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Glendenning v. Matwychuk, [2019] B.C.J. No. 1836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 Warren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21-24 and 28-29,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M155773, M174797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1661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Melanie Glendenning, Plaintiff, and Mary Matwychuk, Defendant And between Melanie Glendenning, Plaintiff, and Simeran Boyal, Baye Enterprises Inc. dba Ranchland Honda,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2"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7" w:name="Keywords_43"/>
      <w:bookmarkEnd w:id="307"/>
      <w:r>
        <w:rPr>
          <w:rFonts w:ascii="arial" w:eastAsia="arial" w:hAnsi="arial" w:cs="arial"/>
          <w:b/>
          <w:color w:val="000000"/>
          <w:sz w:val="20"/>
          <w:lang w:val="en-US" w:eastAsia="en-US" w:bidi="ar-SA"/>
        </w:rPr>
        <w:t>Damages — Types of damages — For personal injuries — Conditions — Pre-existing medical conditions — Loss of housekeeping ability — Special damages — Expenses and expenditures — Medical — Therapy or rehabilitation — Non-pecuniary loss — Pain and suffering — Action for personal injuries suffered in a 2013 and 2016 accident allowed in part — Plaintiff, now 56, suffered whiplash-type injuries — She had pre-existing conditions relating to pain and fibromyalgia — Court did not accept plaintiff's evidence about her pre-2013 condition — Her accident symptoms resolved at latest one year after 2013 accident and within six months of 2016 accident — Plaintiff awarded non-pecuniary damages of $35,000, loss, $2,500 for past housekeeping capacity and special damages of $2,627.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8" w:name="Case Summary_41"/>
            <w:bookmarkEnd w:id="30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2013 and 2016 accident. In the 2013 accident the plaintiff, now 56, was injured as she tried to avoid being hit by another vehicle. She abruptly twisted her body and jumped out of the way, landing on the ground beside her car and suffering injuries. In the second accident, the plaintiff was injured when she fainted and fell onto the shoulder of the roadway after getting out of the vehicle after the collision. The plaintiff had a complex pre-existing medical history including severe, debilitating generalized pain associated with breast cancer, fibromyalgia, chronic fatigue and chronic myalgia. At the time of the 2013 accident the plaintiff was granted permanent disability status. She claimed that as a result of the 2013 accident, she suffered injuries to her neck, back, chest, and legs, aggravation of her prior pain symptoms, and anxiety. She claimed that as a result of the 2016 accident she suffered an aggravation of her neck pain, as well as ongoing concussive-type symptoms of dizziness, headaches and vertigo. She argued that most of the symptoms she attributed to the two accidents persisted had became chronic, were likely permanent, and that she remained limited in her homemaking capacity and her capacity to engage in social and recreational activities.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9" w:name="Holdings of Court_39"/>
            <w:bookmarkEnd w:id="309"/>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totaling $40,127. The court accepted the plaintiff's evidence that she suffered whiplash-type, soft tissue injuries to her neck and back as a result of the 2013 accident, and but found that those symptoms lasted only for about nine months to a year. She also sustained a flare-up of the neck symptoms and a mild concussion as a result of the 2016 accident but all of these eventually resolved in the normal course, and within six months at the outside. The court had significant concerns about the plaintiff's testimony related to her pre-2013 condition and the progression in the symptoms she experienced following each of the accidents in question. Her testimony about her ongoing symptoms was not sufficiently reliable to establish that the injuries she sustained in the accidents persisted beyond what human experience would suggest was typical given the nature of each accident. There was little if any independent evidence of the progression of the plaintiff's symptoms following each of the accidents that might provide some objective foundation to support her claim on ongoing significant symptoms. Considering the nature of the injuries sustained in each accident, their duration, the plaintiff's age and the effect of the injuries on her life, she was awarded non-pecuniary damages of $35,000. It was not appropriate to reduce this award on the basis of the "crumbling skull" principle. There was no basis for an award for loss of future housekeeping capacity. While the plaintiff's s injuries from the 2013 accident interfered with her ability to perform housekeeping for a period and her husband picked up the slack for that period, given the lack of clarity in the evidence, her damages for loss of past housekeeping capacity was assessed at $2,500. She was awarded special damages of $2,627 for medications, massage therapy, physiotherapy treatment, psychological counselling for anxiety, chiropractic treatments, and mileage for travel.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0" w:name="Counsel_44"/>
      <w:bookmarkEnd w:id="3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Michael L. Elliott, Ben Colangelo.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Christopher E. York, Andrew W. Schleichkorn.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1" w:name="Judgment_44"/>
      <w:bookmarkEnd w:id="311"/>
      <w:r>
        <w:pict>
          <v:line id="_x0000_s1244" style="position:absolute;z-index:2518067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2" w:name="L.A. WARREN J."/>
            <w:bookmarkEnd w:id="312"/>
            <w:r>
              <w:rPr>
                <w:rFonts w:ascii="arial" w:eastAsia="arial" w:hAnsi="arial" w:cs="arial"/>
                <w:b/>
                <w:color w:val="000000"/>
                <w:sz w:val="30"/>
                <w:lang w:val="en-US" w:eastAsia="en-US" w:bidi="ar-SA"/>
              </w:rPr>
              <w:t>L.A. WARREN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Melanie Glendenning, seeks damages for personal injuries she says she sustained as a result of two motor vehicle accidents. The personal defendants, Mary Matwychuk and Simeran Boyal, each admits that she caused the accident in which she was involved, but liability for the damages claimed has been denied on the basis that Ms. Glendenning has not established that she was injured in either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first accident occurred on September 18, 2013. Ms. Glendenning says she was standing behind her car in the Kelowna Superstore parking lot, about to load her groceries into the trunk, when she saw a vehicle accelerating towards her. She says she abruptly twisted her body and jumped out of the way, landing on the ground beside her car and suffering injuries in the process. The vehicle, which Ms. Matwychuk was driving, then collided with the rear end of Ms. Glendenning's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dispute that Ms. Matwychuk caused the first accident. She had been pulling into a parking stall when she inexplicably accelerated over a curbed pedestrian walkway, sideswiped a parked van, and then collided with Ms. Glendenning's parked car. However, Ms. Matwychuk says Ms. Glendenning was not in the immediate area at the time of the collision, did not have to move to get out of the way, and did not fall. Alternatively, she says that if Ms. Glendenning did fall, she has not established that she suffered any injury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second accident occurred on April 25, 2016. Ms. Glendenning was a backseat passenger in a car driven by her mother. Their vehicle was stopped in traffic when it was struck from behind by a vehicle driven by Ms. Boyal. Ms. Glendenning says she suffered injuries in the accident or in the immediate aftermath, when she fainted and fell onto the shoulder of the roadway after getting out of her mother's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no dispute that Ms. Boyal caused the second accident. However, Ms. Boyal asserts that the force of the impact was insignificant, she denies that Ms. Glendenning suffered any injury as a result of the impact, and she says the accident did not cause Ms. Glendenning to faint.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Glendenning has a complex pre-existing medical history including, but not limited to severe, debilitating generalized pain associated with breast cancer, which was diagnosed in 2004. Before the 2013 accident she had also been diagnosed with fibromyalgia, chronic fatigue and chronic 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Prior to the cancer diagnosis, Ms. Glendenning was working as a nurse's aide. She did not return to that, or any other paid employment, following the diagnosis. She was granted permanent disability status through the Canadian Pension Plan ("CPP") in 2011 or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Glendenning claims that in the year immediately preceding the 2013 accident, her health had improved to the point that she had resumed most normal day-to-day activities. She claims that as a result of the 2013 accident, she suffered injuries to her neck, back, chest, and legs, aggravation of her prior pain symptoms, and anxiety. She says that her neck symptoms interfered with her ability to sleep, her level of fatigue increased, she was unable to perform most daily activities, including homemaking, was unable to socialize, and for almost a year she was unable to drive herself. She says that as a result of the 2016 accident she suffered an aggravation of her neck pain, as well as ongoing concussive-type symptoms of dizziness, headaches and vertigo. She says that most of the symptoms she attributes to the two accidents persist, have become chronic, and are likely permanent, and that she remains limited in her homemaking capacity and her capacity to engage in social and recreational activities. She says she is unlikely to ever return to the condition she was in just prior to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Glendenning advances no claim for past or future loss of earning capacity, because she had stopped working years before the accidents. She seeks an award of $85,000 for non-pecuniary damages; $10,000 for loss of housekeeping capacity; special damages of $15,477, which primarily relate to the large number of chiropractic treatments she underwent; and between $65,921 and $81,706 for future care costs. She has quantified her total damages claim at between $176,398 and $192,183.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submit that Ms. Glendenning was not a credible or reliable witness, and that this affects every aspect of her case. They say that given the absence of objective evidence, the court would be justified in dismissing her claim. In the alternative, they say that any injuries Ms. Glendenning did suffer as a result of the accidents, or one of them, were minor and short-lived, warranting a non-pecuniary damage award of between $20,000 and $35,000, and a minor special damages award for limited chiropractic treatments. They say any current symptoms or functional limitations are the result of pre-existing conditions or intervening events, or both. If it is found that Ms. Glendenning was injured in one or both accidents, the defendants also submit that the application of the "crumbling skull" principle should result in a 20% reduction of any non-pecuniary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It is agreed that if Ms. Glendenning was injured as a result of both accidents, her injuries are indivisible and there is no need to apportion damages as between the two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Before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Glendenning is 56 years old. She has been married to her husband, Ross Glendenning, for more than 40 years. They have two adult children and two grandchildren. Ms. Glendenning worked in a variety of jobs before ultimately becoming a nurse's aide. As mentioned, she has not been employed since being diagnosed with breast cancer in 2004, almost nine years before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Glendenning underwent a left mastectomy a few weeks after the cancer diagnosis. That was followed by several related surgeries over the next seven years involving both breasts, including reconstructive surgeries and bilateral implants. The cancer and subsequent surgeries left Ms. Glendenning with significant ongoing pain along the surgical lines, going across her chest, under her left arm and around the back to her left shoulder and scapula. Before the first accident, she suffered from chronic pain in these areas, chronic fatigue, migraine headaches up to three to four times per week, autoimmune issues, leg weakness, and stomach issues including ulcerated colitis. She had been diagnosed with fibromyalgia, chronic fatigue and chronic 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April 2013, Ms. Glendenning underwent a painful mammogram, and thereafter she experienced pain and swelling around one or both implants. She expressed concerns to her GP, Dr. Denis Sokol, about whether the right breast implant may have ruptured and steps were taken to investigate the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May or June 2013, a few months before the first accident, Ms. Glendenning was diagnosed with sarcoidosis, which causes the lymph nodes in her chest to swell, resulting in chest pressure and pain, and shortness of breath.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Glendenning conceded that, for several years prior to the 2013 accident, the symptoms associated with the above noted conditions had a dramatic limiting effect on her lifestyle, including her ability to perform most normal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Commencing in 2008, Ms. Glendenning began receiving regular chiropractic treatments from Dr. Troy Wielgosz. She attended as many as 100 chiropractic sessions in some years, for the primary purpose of increasing the mobility in her left shoulder and easing the pain that developed following the cancer surgeries.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Glendenning claimed at trial that her health had improved significantly in the six to twelve months prior to the 2013 accident. She said the symptoms in the left upper quadrant of her torso had diminished and the mobility in her left shoulder had improved, which she attributed to the chiropractic treatments. She said the chiropractic treatments also helped with the migraines, and that her fatigue had lessened.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Glendenning testified that in the year before the 2013 accident she was able to perform her housekeeping duties, except for vacuuming and washing windows. She said that she and her husband had started going for longer walks, she was working out in the gym in their condominium building every other day, she swam, and she and her husband socialized and visited family. She had also started entertaining and hosting dinner parties. She was able to play with her grandchildren. She testified that in the year prior to the first accident she attended Jehovah's Witnesses meetings about twice a week.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accidents and their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Glendenning testified that she had been grocery shopping on the afternoon of September 18, 2013. She said that she returned to her parked car, put her grocery bags down by the back wheel, and was about to put her key in the trunk when she heard a revving sound that caused her to turn. She saw a vehicle coming toward her. She said she jumped in the direction of the driver's side of her vehicle, threw herself between her vehicle and the one parked next to it, and fell to the ground. She said she felt her back "go". She was able to get herself up quite quickly. She saw that her car had been rear-ended and that the vehicle that hit her car had also scraped the side of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mentioned, Ms. Matwychuk denies that Ms. Glendenning fell at all. She admitted that she caused the 2013 accident. However, she testified that after the collision, she saw a woman she assumes was Ms. Glendenning walking towards her, coming from the store, carrying groceries, and that this woman approached Ms. Matwychuk and said, "If I had been here a few minutes sooner I would have been putting my groceries in my car". Ms. Matwychuk testified that she and the woman were both just thankful that nobody had been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independent eye witness, Donna Housworth, testified in Ms. Glendenning's case. Ms. Housworth's evidence was generally supportive of Ms. Glendenning's version of events. I will discuss Ms. Housworth's evidence in more detail in the liability section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Glendenning's friend, Laurel Clark, drove Ms. Glendening home after the accident in the Superstore parking lot. Ms. Glendenning testified that she started to feel stiff while in Ms. Clark's car and Ms. Clark suggested she go to the doctor. Ms. Clark drove her to Dr. Sokol's office, Ms. Glendenning's GP at the time. Dr. Sokol noted tenderness in her cervical and thoracic spine and prescribed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her direct examination, Ms. Glendenning described the injuries she sustained in the 2013 accident as injuries to her neck, chest, low back, left hip and tingling in her legs. She said her neck symptoms were at the base of her neck towards the left. The back pain was in the low back radiating down to her hip and into her legs, which affected her mobility. She said she could not control her anxiety, cried a lot and could not concentrate. Her sleep was disrupted by the hip pain. She said that her pre-accident chest symptoms flared up and she also experienced new symptoms at the center of her chest, including swelling. She did not say whether this swelling differed from the swelling associated with the sarcoidosis, but later said her sarcoidosis flared up. She said all these symptoms significantly interfered with her ability to perform most normal daily functions, and she could not drive for a year due to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her direct examination, Ms. Glendenning testified that she underwent several forms of treatment for the injuries she suffered in the 2013 accident including one physiotherapy treatment, a few massage therapy treatments, counselling for anxiety, and many chiropractic treatments. She underwent more than 250 chiropractic treatments in the 2 1/2 years between the 2013 accident and the 2016 accident. She said that she took muscle relaxants and pain medication. She identified a schedule of special damages with attached invoices as reflecting these treatments but acknowledged that during some of the chiropractic sessions listed the treatment focussed on her pre-accident symptoms around the mastectomy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Glendening saw her GP regularly in the years following the 2013 accident. Dr. Sokol retired in 2014. She then saw Dr. Lindsay Pritchard for a few months. In early 2015, she started seeing Dr. Janet Evans, who remains her primary care physician. There are very few references to the 2013 accident or related injuries in Dr. Sokol's clinical records after the September 18, 2013 visit. There are no such references in Dr. Pritchard's clinical records, which span September 2014 to October 2015. There are only sporadic references in Dr. Evans' clinical records of injuries related to the 2013 accident. Ms. Glendening testified that she considered her chiropractor, Dr. Wielgosz, to be her primary treatment provider in relation to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mentioned, the second accident at issue occurred on April 25, 2016. Ms. Glendenning was in Williams Lake visiting her parents. One of her sisters had recently died and her father was recovering from a heart attack. She was in her mother's car. Her mother was driving, her father was in the front passenger seat. She was in the back, behind her father. Ms. Glendenning's mother brought her car to a stop, while waiting to merge, and Ms. Boyal's car collided with it from the rear. Ms. Glendenning said that just before the impact, she leaned forward and to the left in an attempt to help her mother assess the flow of traffic. She said that, on impact, her body moved and she hit her head on the seat in front of her. She called an ambulance because she was worried about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ambulance arrived and the attendants began assessing Ms. Glendenning's parents. By this time, Ms. Glendenning had gotten out of the car. She said she was "running around making sure [her parents] were both okay" when she suddenly felt dizzy and passed out. When she woke up she was on the ground and her sister was holding her head. Ms. Glendenning's other sister, Penny Hynes, testified that she attended the scene of the 2016 accident after the collision. She testified that she heard a commotion and then saw Ms. Glendenning lying on the ground after fainting. She said she held Ms. Glendenning's head until she regained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Boyal admitted that she caused the 2016 accident. She was test driving a vehicle at the time and her father was in the passenger seat. She testified that she saw two vehicles ahead of her as she approached a yield sign. She testified that the vehicle directly in front of her, that is, Ms. Glendenning's mother's vehicle, started to move forward. She said she then rolled forward and shoulder checked but in the meantime the vehicle in front of her had stopped. She testified that she "touched it". She said she was travelling less than 5 km/h and described the impact as "very light-like a gentle high-five". There was no damage to the vehicle Ms. Boyal was driving. Ms. Boyal testified that about 20 minutes after the collision there was some commotion around the ambulance and she later learned that Ms. Glendenning had fainted.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Ms. Glendenning fainted, a second ambulance was called and she was taken to the hospital. She testified that she had a severe headache, stiffness in her neck, and was dizzy and unsteady on her feet. She said the dizziness lasted about six months and then started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her direct examination, Ms. Glendenning described the 2016 accident as "stirring things up again", which led to a decrease in her ability to do her housework. She characterized treatments specific to the injuries she sustained in the 2016 accident as sway machine treatments provided by another chiropractor in Dr. Wielgosz's clinic to assess her balance and treat her concussion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Glendenning went to a walk-in clinic on May 5, 2016. She saw Dr. Evans for the first time after the 2016 accident on May 17, 2016. On that day, she complained of concussion and sore neck, as well as stress related to family issues. Thereafter, she continued to see Dr. Evans regularly. Ms. Glendenning agreed that she raised with Dr. Evans whatever was most prominent at the time of each visit. There are very few references in Dr. Evans' records to neck and back pain. The clinical records indicate she raised nausea, cough, stress, concerns about the possible rupture of the breast implants, stomach pain, sore chest, chest tightness, weak legs, among other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Glendenning continued to see Dr. Wielgosz regularly after the 2016 accident. His records indicate she saw him about 80 times in 2016, about 90 times in 2017, and about 100 times in 2018. Ms. Glendenning said that if she does not attend for a week or two her symptoms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Glendenning has been affected by several additional health issues since the 2016 accident. In December 2016, Ms. Glendenning's breast implants were surgically removed. After the implants were removed, the swelling reduced and the pain in her chest improved. In July 2018, she had six kidney stones removed. In August 2018, she had another kidney stone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to these physical issues, Ms. Glendenning has suffered personal hardships. As mentioned, her sister died in April 2016. Her husband suffered serious injuries in two work accidents that prevented him from working and eventually resulted in bankruptcy in about 2015, which was very stressful. In the summer of 2015, her father was in a diabetic coma and her cousin was on life support and ultimately died. Her father has had two heart attacks since 2016, and her mother suffered a stroke after the second accident. Her husband had a heart attack shortly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direct examination, Ms. Glendenning described the ongoing symptoms she attributes to the two accidents in the following terms:</w:t>
      </w:r>
      <w:r>
        <w:rPr>
          <w:rFonts w:ascii="arial" w:eastAsia="arial" w:hAnsi="arial" w:cs="arial"/>
          <w:sz w:val="20"/>
          <w:lang w:val="en-US" w:eastAsia="en-US" w:bidi="ar-SA"/>
        </w:rPr>
        <w:cr/>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does not have full range of motion in her neck and suffers from fairly constant neck pain. These neck symptoms are worse than any neck symptoms she had before the 2013 accident. They are manageable provided she receives regular chiropractic treatments.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low back pain that travels into her legs and causes her to drag a leg. She did not have low back pain before the 2013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hip pain on the left side that travels into her left leg. Later, she said that when she walks it feels like her hips are disjointed, and I was left with the impression that she was attributing symptoms in both hips to the accidents, but that was not entirely clear.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occasional mid-back pain.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headaches. She rarely suffered from headaches before the 2013 accident. She now has a lot more headaches.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continues to suffer from anxiety when she is in the car although she can now drive. She said that she did not have any significant anxiety before the 2013 accident.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tightness in her chest from time to time but her chest symptoms are 90% better since the breast implants were removed in December 2016.</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in her chest, left shoulder and rib area prior to the 2013 accident were aggravated by the first accident. She said that she had this area under control prior to the 2013 accident and the 2013 accident caused it to flare up.</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said she still suffers from dizziness if she gets up too quickly or bends over and she did not have any dizziness before the 2013 accident.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continues to suffer from fatigue that is worse than the fatigue she had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cross-examination, Ms. Glendenning described the symptoms she attributes to the two accidents in the following terms: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characterized her neck pain following the 2013 accident until about 2016, a period of more than two years, as constant, 24/7, excruciating, unbearable, and way past 10 out of 10. She said that by about 2016 it had reduced to about 5 out of 10 in intensity.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said that before the 2013 accident she suffered from back pain off and on at an intensity of about 4 out of 10 and this was exacerbated by the 2013 accident to about 7 out of 10 with the exacerbation lasting about a year and a half.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said she suffered constant agonizing chest pain, way past 10 out of 10, from after the 2013 accident to December 2016 when she had breast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Glendenning testified that the injuries she suffered in the 2013 accident prevented her from being able to perform most of her housework. She said her husband took over and the result was that her house was not kept up to her own personal standards. She said Ms. Clark helped her with groceries on occasion. She said she could not work out until about the summer of 2018. She said she could no longer go for walks with her dog because her hips and legs bothered her, and she could not socialize. She said that the pain caused her to forego personal attendance at most Jehovah's Witness meetings and instead she often attended such meetings by phone. Ms. Glendenning also said that for about a year after the first accident she was unable to drive herself, and I took it from the whole of her evidence that this was because of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Glendenning testified that at the time of the trial her symptoms sometimes interfered with her housekeeping duties. She said they affect her ability to play with her grandchildren. She also said she does play with her grandchildren, but cannot run after them. She said that she attends social activities but sometimes has to cancel if her legs are bad. She now attends most Jehovah's Witnesses' activities in person although she is occasionally not able to attend. When asked about her concerns for the future she identified the lack of full range of motion in her neck and her inability to walk as much as she did before the first accident. She uses a walker for walking longer distances. Her husband recently bought her a scooter but she had not yet 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Troy Wielgosz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mentioned, Dr. Wielgosz is a chiropractor. He has been treating Ms. Glendenning since 2008. He testified as a fact witness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Wielgosz testified that initially Ms. Glendenning's primary complaints were symptoms in her chest and left shoulder area, and the primary goal of his treatment was to increase mobility in her left shoulder that had become restricted after her breast cancer surgeries. He testified that before the 2013 accident, he did treat the muscles at the base of her skull for her migraines and also her neck and her back but he said these areas were not the focus of his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Wielgosz testified that Ms. Glendenning responded well to his treatment. That statement appeared to me to be based almost entirely on the number of treatments she booked. He said that in the first couple of years that he treated her, she had more than 100 sessions per year but that over time the frequency of her visits reduced to less than one per week in the year before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Wielgosz testified that after the 2013 accident, he saw Ms. Glendenning more often. He said her visit frequency almost doubled, and he spent more time working on her neck, mid-back and lower back. He said he worked on these areas before the first accident but not as frequently as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Dr. Wielgosz acknowledged that there was variability in the frequency of Ms. Glendenning's chiropractic treatments over the years. For example, in some months she would attend twice a week or more, while at other times she attended only twice in a month. Also, she attended more visits in the first nine months of 2013, up to the date of the 2013 accident, than she did in all of 2012 (about 43 in the first nine months of 2013 as compared to about 40 during 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June 12, 2014, Dr. Wielgosz wrote a letter "To Whom it May Concern". That letter stated that his examination of Ms. Glendenning on October 8, 2013, the first after the 2013 accident, "revealed muscle asymmetry in the neck, thoracic and lumbar paraspinal musculature (increased on the right in the cervical, and increased on the left in the thoracic and lumbar regions)". The letter also stated that Ms. Glendenning's symptoms had improved and her visit frequency had reduced but that she was "still subject to exacerbations related to physical activities and sometimes psychological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Wielgosz's clinical records are handwritten and largely illegible. Although I assume that he tested Ms. Glendenning's range of motion and looked for other signs of injury, at least from time to time, I cannot make findings to that effect from the notes themselves because I cannot reliably decipher them. Dr. Wielgosz did not testify about having observed objective signs of injury to Ms. Glendenning's back or neck after either of the accidents in issue. Rather, as indicated, in his testimony he relied heavily on frequency of visits as an indicator of Ms. Glendenning's condition at various times. In the absence of evidence to the contrary, I infer that he focussed his treatments according to her subjective complaints, or largely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Janet Evans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Janet Evans has been Ms. Glendenning's GP since early 2015. She authored expert reports dated September 20, 2015 and April 1, 2018. In one or both of those reports, she expressed the following opinions: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 suffered a Grade II soft tissue injury of her cervical spine, upper back, and lumbar spine in the 2013 accident, which was exacerbated by the 2016 accident;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 suffered a concussion with headaches and dizziness/unsteadiness in the 2016 accident;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 suffered depression and anxiety, including post-traumatic stress disorder, after the 2013 accident;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"possible" that Ms. Glendenning's right breast implant was ruptured in the 2013 accident;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 would benefit from attending acupuncture, physiotherapy and kinesiology treatments every two weeks for three to six months and then reducing to monthly for three to six months, followed by monthly ongoing treatments on an as-needed basis;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 would benefit from housekeeping support, one to two times a month, indefinitely;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 would benefit from some neuro/ vestibular rehabilitation to learn techniques to minimize ongoing symptoms of dizziness;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 would benefit from a course of cognitive behavioural therapy to address the ongoing sources of her anxiety and to learn strategies to manage them;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Glendenning's prognosis is "guarded" and she is unlikely to return to her pre-2013 accident state. She will continue to suffer from chronic left-sided neck, and back pain for years to come. She is predisposed to re-injury of her soft 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mentioned, Dr. Evans was not Ms. Glendenning's GP at the time of the 2013 accident. Ms. Glendenning acknowledged that she rarely discussed the symptoms she attributes to the accidents with Dr. Evans. Dr. Evans opinions were based on:</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review of Dr. Sokol's clinical notes recorded on the day of the 2013 accident, which included a finding that Ms. Glendenning was tender in her cervical spine and thoracic spine muscles;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review of the clinical notes of the physician who evaluated Ms. Glendenning at a walk-in clinic on May 5, 2016, which included a finding of marked reduced range of motion of the cervical spine as well as tightness in the neck and upper back muscles and a neurologic exam consistent with an early concussion;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Glendenning's sporadic subjective reports to Dr. Evans of the progression of her symptoms;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Evans' examination of Ms. Glendenning at or near the time she wrote the September 20, 2015 report during which Ms. Glendenning exhibited pain or tenderness to palpation of the paraspinal muscles, the left rib area, and the left gluteal muscles; reduced range of motion in the neck; tenderness in the left rhomboids and trapezius muscles; and slightly reduced range of motion in the lumbar spine;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Evans' examination of Ms. Glendenning on May 17, 2016 during which Ms. Glendenning's condition was said to be much the same as had been noted by the physician who examined her at the walk-in clinic on May 5, 2016; however, from Dr. Evans' clinical records it appears that she may not have physically examined Ms. Glendenning during that visit--certainly no objective signs of injury are noted in the associated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the circumstances, the weight to be given to Dr. Evans' opinions depends significantly on the credibility and reliability of Ms. Glendenning's subjective reporting. The very occasional notation of tenderness or reduced range of motion, over several years, does not change that reality. It is to be expected that Dr. Evans will take her patients' complaints at face value. It is for the court to assess credibility: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para.77; aff'd </w:t>
      </w:r>
      <w:hyperlink r:id="rId950"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Having said that, in my view, no foundation was established in the record to support Dr. Evans' statement that Ms. Glendenning has post-traumatic stress disorder, which I understand to be a psychiatric diagnosis. I am unable to give any weight to that particular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Gillian Simonett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Gillian Simonett is a physician with a specialty in physical medicine and rehabilitation. At the request of Ms. Glendenning's counsel, she conducted an assessment of Ms. Glendenning on September 4, 2018 and authored an expert report dated September 12,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her report, Dr. Simonett noted aspects of Ms. Glendenning's medical history, including chronic fatigue, probable fibromyalgia, and chronic myalgia. She summarized Ms. Glendenning's subjective report of her symptoms following each of the accidents in issue, her medications and therapies, and the impact of her symptoms on her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Simonett conducted a physical examination of Ms. Glendenning. She noted an abnormal, unsteady gait (which she said could have been related to Ms. Glendenning's very recent kidney stone surgery); near-normal back range of motion; asymmetric neck range of motion with reduced rotation to the left compared to the right; normal motor examination; near-normal sensory examination; normal hip range of motion; and pain with palpation of the right upper gluteus medias region, the left side of the neck, the left posterior pelvis and upper gluteus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Simonett expressed the opinion that Ms. Glendenning has mechanical left neck pain and mechanical low back pain. She opined that Ms. Glendenning's fall at the time of the 2013 accident "contributed" to her neck pain and low back pain. This opinion was based to a significant extent on Ms. Glendenning's subjective report of the onset of pain after the fall and the mechanism of injury associated with the fall as she described it. Dr. Simonett also expressed the opinion that Ms. Glendenning's "ongoing" neck pain "can be related to deconditioning and potential manifestation of stress (such as tightening muscles)" and that her "ongoing" back symptoms "at this time are likely more related to a chronic pain disorder and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Simonett recommended that Ms. Glendenning's mental health "be optimized" because "high anxiety can be a risk factor for generalized chronic pain syndrome" and that Ms. Glendenning work with a physiotherapist and "start a slow but progressive exercise regime as, to date, her treatments ... have been primarily passive".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prognosis section of Dr. Simonett's report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Glendenning has a previous history of generalized pain and fatigue that predates MVC #1. She reports deterioration in her symptoms that have persisted almost five years from the initial incident. Based on her current presentation, I anticipate that her mood/anxiety is a significant contributing factor and input from a mental health expert would be required for long-term prognosis. She has not yet engaged in a regular series of therapeutic exercises that would be part of the usual treatment for musculoskeletal pain. Motivation and fear of re-injury can negatively impact one's success for exercise based treatments, so concurrent mental health support would likely be required to optimize support. Long-term prognosis for her pain symptoms will be best determined upon reassessment after the above recommendations. However, the prolonged duration of her increased pain symptoms in the context of pre-existing pain and fatigue is a poor prognostic factor for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difficult to extract from Dr. Simonett's report a clear opinion to the effect that one or both accidents in issue is a cause of Ms. Glendenning's current condition as she describes it. As mentioned, while Dr. Simonett expressed the opinion that the 2013 accident contributed to Ms. Glendenning's mechanical neck pain and low back pain, she also expressed the opinion that the ongoing symptoms are related to deconditioning, stress, and a pre-existing chronic pain disorder. She noted the existence of pre-existing fibromyalgia, chronic pain, and fatigue. She did not state in clear terms the connection, if any, between the mechanical neck and low back pain caused by the first accident and the ongoing chronic pain. She did not distinguish between the ongoing chronic pain and the pre-existing chronic pain, except to note a "prolonged duration of her increased pain symptoms", which I infer is a reference to Ms. Glendenning's subjective report of her symptoms following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circumstances, the most I can draw from Dr. Simonett's report is support for the conclusion that Ms. Glendenning did suffer an injury to her neck and back in the 2013 accident resulting in mechanical neck and back pain. In addition, in cross-examination, Dr. Simonett acknowledged that the ambulance report following the 2016 accident scored Ms. Glendenning at 15 out of 15 on a consciousness scale and expressed the view that a score of 15 out of 15 indicates a mild concussion, if any.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Louise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Louise Craig is a physiotherapist with an expertise in future care planning. She prepared a report expressing her opinion of the items and services Ms. Glendenning would require for her future care, based in large part on the recommendations made by Dr. Evans and Dr. Simonett.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Defence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Duncan Laidlow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Duncan Laidlow is a physician with a specialty in physical medicine and rehabilitation. At the request of defence counsel, he conducted an assessment of Ms. Glendenning on October 2, 2018 and authored an expert report dated October 13,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report, Dr. Laidlow summarized Ms. Glendenning's current chief complaints, prior health problems, the circumstances of the 2013 accident, Ms. Glendenning's immediate symptoms, the various subsequent investigations and diagnostic procedures undertaken, Ms. Glendenning's treatments and response to treatments, the trends in her symptoms, and her vocational and other functional limitations, all as relayed to him by her or gleaned from her medical records, which are also founded to a significant extent on her subjective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Laidlow considered Ms. Glendenning's past medical history to be of significance. Among other things he specifically mentioned:</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Glendenning received about 220 chiropractic treatments from Dr. Wielgosz in the four years before the 2013 accident. Although Dr. Wielgosz's clinical records are hard to decipher, Dr. Laidlow was able to make out complaints of pain in different areas at different times including in her low back, neck and ribs.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years prior to the 2013 accident, Ms. Glendenning's medical records note a myriad of symptoms including but not limited to:</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lower abdominal pain and fatigue, being tired and aching all over, chronic fatigue; left arm numbness (March 2012);</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 numbness in the right leg that had bothered her for two years (April 2012);</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migraine headaches (December 2012);</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knee pain (March 2013);</w:t>
      </w:r>
    </w:p>
    <w:p>
      <w:pPr>
        <w:numPr>
          <w:numId w:val="3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ankle pain and swelling (May 2013);</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chronic back, shoulder, rib and neck pain plus chronic fatigue and chronic migraines, limitations in walking and lifting, and problems with concentration (January 2012);</w:t>
      </w:r>
    </w:p>
    <w:p>
      <w:pPr>
        <w:numPr>
          <w:numId w:val="3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fibromyalgia and chronic fatigue syndrome, chronic urinary tract infections and irritable bladder, depression, chronic gastritis and chronic migraines (January 2012);</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chronic pain everyday all day and severe fatigue (October 2012);</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 and weakness in the legs (July and August 2013);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history of chronic myalgia (July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these records he expressed the view that Ms. Glendenning would have been highly prone to having ongoing pain on a generalized basis even if the accidents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Laidlow summarized his examination findings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tenderness was noted in the neck. She had reduced range of movement in the neck in flexion, rotation and lateral bending and evidence of tightness in the upper shoulder muscles. No abnormality was noted in the shoulders or the other joints of the arms. The mid back had full rotation and no tenderness. The low back had full movement and no tenderness. No abnormality was noted in the sacroiliac joints or the joints of the legs. Her neurologic examination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Laidlow expressed the opinion that it is "possible" that Ms. Glendenning suffered a strain to the neck and back in the 2013 accident but it is "far more likely that her ongoing symptoms in the neck, mid-back and lower back relate to her previous tendency to experience generalized pain". He expressed the view that she suffered from a "somatic symptom disorder" prior to the 2013 accident and that her current symptoms relate to that disorder and not to the accidents in question. In this regard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good explanation was found for her pain prior to the accident and I think that she fits best into a diagnosis of a somatic symptom disorder with pain as the predominant complaint. There is no sign that she has a significant joint dysfunction or disc dysfunction and no sign that she has a neurologic abnormality. I do feel that she had this somatic symptom disorder prior to the accident and that her symptoms now relate to it. I do think that her symptoms are at least aggravated if not solely caused by her underlying anxiety but would defer on the diagnosis of the anxiety to a psychiatrist. I do not attribute her current symptoms to the 2013, 2015 or 2016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he could not relate Ms. Glendenning's current complaints to the accidents in question, Dr. Laidlow, like Dr. Simonett, recommended treatment directed at Ms. Glendenning's mental health issues and a much more active exercise program to address her deconditioning. He opined that it would be a mistake to continue to treat her for a musculoskeletal or neurologic condition (with medication and passive treatments) when there is no evidence that she has one because doing so "further entrenches thoughts of disability ... and does nothing to improve her overall functional level or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Glendenning submitted that Dr. Laidlow lacked an open mind, crossed the line into advocacy, and ignored information that supported her position. She also submitted that the acceptance of his opinion would require the rejection of the opinions of Dr. Evans and Dr. Simonett. I do not agree. I did not find anything in Dr. Laidlow's report or testimony that suggested he had failed in his duty as an expert to assist the court by giving impartial evidence. Also, as I have explained, the opinions of Drs. Evans, Simonett, and Laidlow all depend to a significant extent on the credibility and reliability of Ms. Glendenning's subjective reporting of the onset and progression of her symptoms. If I conclude her account is not convincing then the foundation for their opinions will be undermined. Dr. Laidlow acknowledged that a person's pain experience is highly subjective and he said that his opinion concerning the cause of Ms. Glendenning's current complaints would be affected if the court accepted her account of the intensity and progression of her symptoms, including that they were significantly different in nature and intensity after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summary, all of the expert evidence depends heavily on Ms. Glendenning's subjective reports of symptoms prior to and after each of the accidents in question, and on her reports about how her life was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related to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Matwychuk submits that there are irreconcilable inconsistencies in Ms. Glendenning's evidence regarding her alleged fall at the time of the first accident. She says her evidence that she saw Ms. Glendenning walking towards her from the direction of the store carrying groceries and her evidence that Ms. Glendenning said that if she had been there a bit sooner she would have been putting her groceries in her trunk necessarily implies that Ms. Glendenning was not standing at the rear of her car just prior to the impact. She says her evidence ought to be preferred over Ms. Glendenning's evidence and that I should find that Ms. Glendenning did not fall,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have serious concerns about the reliability of Ms. Matwychuk's evidence. Much of her evidence was simply unreasonable and she was inexplicably hostile in her demeanour at trial. She acknowledged that she drove over a curb and pedestrian walkway in the middle of the day. There is no evidence that anything impeded her vision. She said she forgot the walkway was there, which suggests that she was at least somewhat distracted. In her direct examination, when asked how fast she was going at the time of impact, she said she could not have been going "at any speed", yet Ms. Glendenning's vehicle was rendered a total loss. She conceded her own vehicle sustained a lot of damage, and she agreed that the impact was "pretty hard". She acknowledged that at the time she did not even realize that she had "glanced off" the van before hitting Ms. Glendenning's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contrast, I did not have concerns about the reliability of Ms. Glendenning's evidence about what happened at the time of the first accident. To find that she did not fall at all would require me to conclude that she was untruthful in her evidence in this respect. As discussed in detail later, I do have significant concerns about the reliability of Ms. Glendenning's evidence concerning the nature and progression of her physical symptoms, but there were no material inconsistencies in her evidence about the fall itself and I do not have concerns about her credibility. In any event, Ms. Housworth's testimony, which I do accept, corroborates Ms. Glendenning's version, to some extent, in that she says she saw Ms. Glendenning behind her own car prior to the impact and saw her jump out of the way. This is inconsistent with Ms. Matwychuk's account and I prefer Ms. Housworth's evidence over that of Ms. Matwychuk where it conflicts.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Housworth testified that on the afternoon in question, she was walking in the Superstore parking lot, a few stalls away from where Ms. Glendenning's car was parked. She heard a loud bang and saw a vehicle travel across a pedestrian walkway, while accelerating. She also saw a dark-haired woman standing behind a parked car, in the path of the accelerating vehicle. She testified that she saw the dark-haired woman, who I find was Ms. Glendenning, jump out of the way, toward the driver's side of the car she had been standing behind, just before the collision. She said the impact of the collision was loud and that Ms. Glendenning would have been seriously hurt or killed if she had not jumped when she did. Ms. Housworth testified that she did not see the dark-haired woman fall to the ground. She said that after the dark-haired woman jumped to the side, she was out of Ms. Housworth's line of sight, obscured by her car. She said that after the impact she walked over toward the dark-haired woman and spoke to her. By the time they spoke, the dark-haired woman was standing up and appeared visibly shaken. She testified that the dark-haired woman told her that she had wrenched her back or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Ms. Housworth was asked to adopt portions of an audio-recorded statement. The audio recording indicates that someone named Bradley Ives interviewed Ms. Housworth on November 25, 2015. Ms. Housworth agreed that it was her voice on the audio recording, from which I find that it was in fact her, but she testified that she had no recollection of participating in a conversation with Mr. Ives or giving a statement to him. At trial, she said that she recalled giving an earlier statement, in 2014. She could not recall who she gave the 2014 statement to but she remembered that she spoke to someone who asked her questions about the accident, in answering the questions she referred to notes she made shortly after the accident, someone then typed up a written version, which she read, edited slightly, and signed. She said she subsequently discarded the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 written transcript of the audio recording was presented to Ms. Housworth during cross-examination but it was prepared after the fact and not signed by her. The audio recorded statement shows that Mr. Ives asked Ms. Housworth whether she saw Ms. Glendenning jump out of the way and she responded that she did not. During cross-examination, Ms. Glendenning did not adopt this portion of the audio recorded statement. To the contrary, she insisted that she did see Ms. Glendenning jump sideways, out of the way, and towards the driver's side of Ms. Glendenning's car, that she did not see her fall to the ground, and that her view of Ms. Glendenning was partially obstructed by Ms. Glendenning's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permitted Ms. Glendenning's counsel to re-examine Ms. Housworth on the earlier, 2014, written statement, after confirming that defence counsel intended to urge me to conclude that Ms. Housworth's memory of the event would have been better in 2015, when she gave the audio recorded statement, than it was several years later when she testified at the trial. In re-examination, Ms. Housworth identified the written statement as the one she recalled giving, after consulting her notes, and she adopted its contents. The written statement reads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heard the dark-haired woman yell, and she leapt out of the way around the side of the car just as the first car that came over the curb rear-ended hers. The dark-haired lady managed to get out of the way literally in the nick of time. If she hadn't jumped when she did, she would have been struck by the car or even pinned between it and her own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inconsistency between Ms. Housworth's testimony and the 2014 statement, on the one hand, both of which confirm that she saw Ms. Glendenning jump out of the way, and the 2015 audio recorded statement, on the other, in which Ms. Housworth answered no to the question of whether she saw Ms. Glendenning jump out of the way, did not affect my assessment of the credibility or reliability of Ms. Housworth's testimony. The 2014 statement, which accords with her testimony at trial, was closer in time to the incident, made by Ms. Housworth after consulting notes, and was read over and signed by her. In contrast, there is no evidence as to the circumstances under which the audio recorded statement was made and no evidence that Ms. Housworth had the opportunity to review and consider a written version prior to confirming its accuracy. It is entirely possible that she misunderstood Mr. Ives' question and that she would have corrected her answer had she been given the chance.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defence emphasized that Ms. Housworth did not corroborate Ms. Glendenning's evidence to the effect that she snagged or ripped her pants when she fell. That is of no consequence because it is a detail that a witness would not necessarily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accept Ms. Housworth's testimony. It corroborates Ms. Glendenning's evidence about where she was situated in relation to her own car in the moment before the impact and that she jumped to get out of the way. It is inconsistent with Ms. Matwychuk's testimony to the effect that Ms. Glendenning was not in the immediate vicinity of the rear end of her car just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For these reasons, I accept Ms. Glendenning's account of the 2013 accident. Specifically, I find that she was standing close to the trunk of her car when she saw Ms. Matwychuk's vehicle coming towards her, she abruptly jumped towards the driver's side of her own car "in the nick of time" to avoid the collision, that she fell to the ground beside her car, and that within a short time she stood up on her own. Ms. Matwychuk is liable for the losses associated with the injuries she sustained. I will address the nature of those injuries in the next section of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Boyal submits the evidence is insufficient to establish that Ms. Glendenning hit her head on the seat in front of her at the time of impact. She challenges the credibility and reliability of Ms. Glendenning's account and emphasizes that the impact was a very minor one. Although she does not deny that Ms. Glendenning fainted, her position is that the fainting was "due to unrelated reasons" and was not caused by the accident. She urges me to find that Ms. Glendenning has not established that she was injured at all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did not have concerns about the reliability of Ms. Glendenning's evidence about what happened at the time of the second accident. To find that she did not hit her head on the seat in front of her at the time of impact would require me to conclude that she was untruthful in her evidence in this respect. Again, while I have concerns about the reliability of Ms. Glendenning's evidence concerning the nature and progression of her symptoms, there were no material inconsistencies in her evidence about what happened at the moment of impact or in the immediate aftermath, and I do not have concerns about her credibility. There is no contrary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satisfied that Ms. Glendenning did hit her head on the seat in front of her at the moment of impact. However, I am also satisfied that the impact was a minor one. I accept Ms. Boyal's evidence in this respect, which was corroborated by the uncontroversial evidence that there was no damage to the vehicle she was driving and only minor damage to Ms. Glendenning's mother's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There is no dispute that Ms. Glendenning fainted. Her testimony that she did so was corroborated by her sister, Ms. Hynes, who was holding her head as she regained consciousness. The only question is whether the fainting was caused by the accident. I am satisfied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Borgfjord v. Boizard</w:t>
      </w:r>
      <w:r>
        <w:rPr>
          <w:rFonts w:ascii="arial" w:eastAsia="arial" w:hAnsi="arial" w:cs="arial"/>
          <w:color w:val="000000"/>
          <w:sz w:val="20"/>
          <w:lang w:val="en-US" w:eastAsia="en-US" w:bidi="ar-SA"/>
        </w:rPr>
        <w:t xml:space="preserve">, </w:t>
      </w:r>
      <w:hyperlink r:id="rId951" w:history="1">
        <w:r>
          <w:rPr>
            <w:rFonts w:ascii="arial" w:eastAsia="arial" w:hAnsi="arial" w:cs="arial"/>
            <w:i/>
            <w:color w:val="0077CC"/>
            <w:sz w:val="20"/>
            <w:u w:val="single"/>
            <w:shd w:val="clear" w:color="auto" w:fill="FFFFFF"/>
            <w:lang w:val="en-US" w:eastAsia="en-US" w:bidi="ar-SA"/>
          </w:rPr>
          <w:t>2016 BCCA 317</w:t>
        </w:r>
      </w:hyperlink>
      <w:r>
        <w:rPr>
          <w:rFonts w:ascii="arial" w:eastAsia="arial" w:hAnsi="arial" w:cs="arial"/>
          <w:color w:val="000000"/>
          <w:sz w:val="20"/>
          <w:lang w:val="en-US" w:eastAsia="en-US" w:bidi="ar-SA"/>
        </w:rPr>
        <w:t>, Mr. Justice Savage summarized the law on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Causation is a two-step consideration. First, the plaintiff must establish the damage was caused in fact by the conduct of the defendant: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952"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The test for factual causation was restated by the Supreme Court in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This Court recently summarized the legal test for causation in </w:t>
      </w:r>
      <w:r>
        <w:rPr>
          <w:rFonts w:ascii="arial" w:eastAsia="arial" w:hAnsi="arial" w:cs="arial"/>
          <w:i/>
          <w:color w:val="000000"/>
          <w:sz w:val="20"/>
          <w:lang w:val="en-US" w:eastAsia="en-US" w:bidi="ar-SA"/>
        </w:rPr>
        <w:t>Clements v. Clement</w:t>
      </w:r>
      <w:r>
        <w:rPr>
          <w:rFonts w:ascii="arial" w:eastAsia="arial" w:hAnsi="arial" w:cs="arial"/>
          <w:color w:val="000000"/>
          <w:sz w:val="20"/>
          <w:lang w:val="en-US" w:eastAsia="en-US" w:bidi="ar-SA"/>
        </w:rPr>
        <w:t xml:space="preserve">s, </w:t>
      </w:r>
      <w:hyperlink r:id="rId95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Causation is assessed using the "but for" test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 and 13;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at paras. 21-22). That is, the plaintiff must show on a balance of probabilities that "but for" the defendant's negligent act, the injury would not have occurred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 8 (emphasis deleted)).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Scientific proof of causation is not required; common sense inferences from the facts may suffice: </w:t>
      </w:r>
      <w:r>
        <w:rPr>
          <w:rFonts w:ascii="arial" w:eastAsia="arial" w:hAnsi="arial" w:cs="arial"/>
          <w:i/>
          <w:color w:val="000000"/>
          <w:sz w:val="20"/>
          <w:lang w:val="en-US" w:eastAsia="en-US" w:bidi="ar-SA"/>
        </w:rPr>
        <w:t>Clements (Litigation Guardian of) v. Clements</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38, 46. However, inferences must be based on proven facts and cannot be simply guesswork or conjecture: </w:t>
      </w:r>
      <w:r>
        <w:rPr>
          <w:rFonts w:ascii="arial" w:eastAsia="arial" w:hAnsi="arial" w:cs="arial"/>
          <w:i/>
          <w:color w:val="000000"/>
          <w:sz w:val="20"/>
          <w:lang w:val="en-US" w:eastAsia="en-US" w:bidi="ar-SA"/>
        </w:rPr>
        <w:t>Kerr (Litigation Guardian of) v. Creighton</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2008 BCCA 75</w:t>
        </w:r>
      </w:hyperlink>
      <w:r>
        <w:rPr>
          <w:rFonts w:ascii="arial" w:eastAsia="arial" w:hAnsi="arial" w:cs="arial"/>
          <w:color w:val="000000"/>
          <w:sz w:val="20"/>
          <w:lang w:val="en-US" w:eastAsia="en-US" w:bidi="ar-SA"/>
        </w:rPr>
        <w:t xml:space="preserve"> at paras. 58-62;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xml:space="preserve"> (C.A.) at 279-80, 305.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Second, the plaintiff must establish causation in law. This has been described as proving the defendant was a proximate cause of the loss, the damage was not too remote from the factual cause, or the damage suffered was reasonably foreseeable: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xml:space="preserve"> at para. 54. Overall the inquiry asks whether the harm is too unrelated to the wrongful conduct to hold the defendant fairly liable: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paras. 11 and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It is not necessary for the plaintiff to show the precise injury or the full extent of the injury was reasonably foreseeable, only that the type or kind of injury was reasonably foreseeable: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Glendenning had experienced fainting before the 2013 accident. She attributed this to certain medications she was taking. However, she testified that she had no issues with fainting in the period between about 2012 and the second accident in 2016. There is no contrary evidence. There is nothing in the record that would support the conclusion that she would have fainted even in the absence of the accident. To the contrary, common sense leads to the inference that but for the accident she would not have fainted. She has established factual causation on a balance of probabilities. I am also satisfied that fainting is a reasonably foreseeable consequence of being involved in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more difficult question is whether Ms. Glendenning has established that she sustained any injury as a result of the 2016 accident. I am satisfied that she did, either when she hit her head on the seat or when she fainted, or both. Ms. Boyal is liable for the losses associated with the injuries she sustained. I will address the nature of those injuries in the next section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related to Ms. Glendenning's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Glendenning asks me to find that the two accidents in question caused her to suffer injuries to and pain in her neck, back, hips and legs; headaches; pain and swelling in her chest; concussion symptoms, including dizziness; anxiety; fatigue; and an aggravation of the pre-existing pain in the upper left portion of her torso. She asks me to find that the symptoms in her chest persisted until December 2016, when she had her breast implants removed, and that most if not all of the other symptoms are chronic and likely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question in this case is one of factual causation; specifically, has Ms. Glendenning established, on a balance of probabilities, that but for the accidents in question she would not have sustained the injuries and ongoing symptoms summarized above. In answering that question, I must make factual findings about Ms. Glendenning's injuries and ongoing symptoms. In other words, I must decide whether the evidence provides a sufficient foundation for the conclusion that Ms. Glendenning experienced and continues to experience the symptoms she claims she did and does and, if not, I must decide what injuries and symptoms she has established on a balance of probabilities. I must then decide whether those injuries and symptoms, if any, would not have occurred in the absence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satisfied that Ms. Glendenning sustained whiplash-type, soft tissue injuries to her neck and back as a result of the 2013 accident, and that she experienced some pain and stiffness in those areas for about nine months to a year. I have settled on nine months to a year because that period aligns with Dr. Wielgosz's June 2014 letter in which he noted significant improvement in her condition nine months after the accident. I am also satisfied that Ms. Glendenning suffered from some anxiety, especially in relation to driving, for about a year. Her testimony to this extent was corroborated by some, albeit scant, objective evidence. Specifically, when Dr. Sokol assessed her on the day of the accident he noted tenderness in her cervical spine and thoracic spine muscles. On October 8, 2013, Dr. Wielgosz examined Ms. Glendenning for the first time following the 2013 accident and noted muscle asymmetry in the neck, thoracic and lumbar paraspinal musculature. Ross Glendenning and Laurel Clark testified that Ms. Glendenning would not drive for a period after the 2013 accident. Ms. Glendenning's testimony to this extent is also consistent with the preponderance of probabilities that a practical and informed person would readily recognize as reasonable in the circumstances or, in other words, with normal human experience. According to Dr. Simonett, it is also consistent with the mechanism of injury associated with an abrupt twist and fall. However, I do not accept that Ms. Glendenning sustained any injury to her chest as a result of the 2013 accident. There is a dearth of evidence of contemporaneous complaints of chest pain and the record establishes that Ms. Glendenning was complaining about chest pain and suspected a breast implant rupture in April 2013, before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Similarly, I am satisfied that Ms. Glendenning sustained a flare-up of the neck symptoms and a mild concussion as a result of the 2016 accident, either as a result of hitting her head on the seat at the moment of impact or when she fainted, and that she experienced some additional pain and stiffness in her neck as well as headaches and dizziness for some time. She testified to this effect. Her testimony was corroborated by some, albeit again scant, objective evidence. Specifically, when she was evaluated by a physician at a walk-in clinic on May 5, 2016, a couple weeks after the 2016 accident, the physician noted reduced range of motion of her cervical spine, tightness to her neck and upper back muscles and her neurologic exam showed some non-specific abnormalities consistent with concussion. Dr. Simonett agreed that her score of 15 on the consciousness scale, as noted on the ambulance report, was not inconsistent with a mild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more difficult question is whether the evidence satisfies me, on a balance of probabilities, of ongoing symptoms persisting for years, far beyond what one would normally expect given the nature of each incident. Where a plaintiff's case relies on subjective symptoms with little or no objective evidence of continuing injury, I must be very careful in my examination of the evidence and assessment of credibility and reliability. As then Chief Justice McEachern said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Perhaps no injury has been the subject of so much judicial consideration as the whiplash. Human experience tells us that these injuries normally resolve themselves within six months to a year or so. Yet every physician knows some patients whose complaint continues for years, and some apparently never recover. For this reason, it is necessary for a court to exercise caution and to examine all the evidence carefully so as to arrive at fair and reasonable compensation. ...</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decided 7th October 1981, Vancouver No. B781505, I referred to counsel's argument that a defendant is often at the mercy of a plaintiff in actions for damages for personal injuries because complaints of pain cannot easily be disproved. I then said:</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There is very little objective evidence to corroborate Ms. Glendenning's subjective ongoing complaints. As already discussed, the medical evidence depends to a very large extent on the credibility and reliability of her subjective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Glendenning rarely complained about ongoing neck or back pain to Dr. Evans even though she has seen Dr. Evans many times in the years since the first accident. Dr. Evans' expert opinions are heavily based on Ms. Glendenning's sporadic subjective reports. Dr. Wieglosz testified that the focus of his treatment of Ms. Glendenning changed after the 2013 accident, but his evidence fell short of establishing an objective basis for that change. Rather, it appears that the change in his focus was driven by a change in Ms. Glendenning's subjective complaints. Dr. Simonett noted decreased cervical rotation to the left at the time of her assessment of Ms. Glendenning on September 4, 2018, but that is a single observation some five years after the first accident. Otherwise she too relied primary on Ms. Glendenning's subjective reports. If I conclude that Ms. Glendenning's account of the progression of her symptoms is not convincing, then the basis upon which the expert opinions rests will be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Glendenning's lay witnesses did little to corroborate her subjective complaints. This not because they were not credible but, rather, because their evidence depended to a significant extent on what they were told by Ms. Glendenning and otherwise was too vague to be of much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Glendenning's husband, Ross Glendenning, testified about her condition before and after the 2013 accident. While his testimony was consistent with hers, it was often very vague. For example, at one point when he was asked to summarize the changes in her since the first accident he said "she operates in a diminished capacity" and "doesn't do the things she used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Glendenning's daughter, Chante Twiss, testified that after the 2013 accident, Ms. Glendenning complained of neck, back and hip pain and stiffness, and she observed that Ms. Glendenning moved more slowly. She also said that after the 2016 accident she saw that Ms. Glendenning was dizzy. She did not explain how she could have visually observed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Glendenning's sister, Penny Hynes, testified in general terms about Ms. Glendenning's condition before and after the 2013 accident. She said that Ms. Glendenning suffered from fatigue, pain in her chest, ribs and shoulder, and headaches following her breast cancer surgery, but in the year before the 2013 accident she "did get better" and "her life was on track". She described specific limitations in Ms. Glendenning's function that she observed after the 2013 accident but she was not specific about the extent to which Ms. Glendenning's function was limited before the 2013 accident, except to say she got better and life was on track. Ms. Hynes also testified that before the 2013 accident Ms. Glendenning had no issues with her mood or anxiety. In my view, some of her evidence concerning Ms. Glendenning's condition before the 2013 accident was inconsistent with Ms. Glendenning's own description of her condition in documents related to her CPP disability benefits, which I discuss in more detail below. I do not suggest that Ms. Hynes was deliberately misleading. Rather, I was left questioning whether she had an accurate understanding of Ms. Glendenning's condition at any particular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Glendenning's friend, Laurel Clark, testified in somewhat more detailed terms, at least with respect to the period immediately following the 2013 accident. For example, she said she observed Ms. Glendenning using a heating pad for her back and a neck roll, that Ms. Glendenning did not drive for quite some time, and that for about three to four months after the first accident Ms. Glendenning attended fewer Jehovah's Witnesses meetings in person and more often participated by telephone. However her testimony about the progression of Ms. Glendenning's condition was vague. Her testimony about Ms. Glendenning's condition before the 2013 accident was actually inconsistent with Ms. Glendenning's testimony. When Ms. Clark was asked whether she observed a progression in Ms. Glendenning symptoms in the year prior to the 2013 accident, Ms. Clark indicated she did not. She said that Ms. Glendenning was "holding her own" but things were not really changing.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turn then to Ms. Glendenning's testimony. The proper approach to assessing an interested witness's testimony was articulated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factors identified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14"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also play a role in assessing whether the evidence of a witness is truthful and accurate. These factors include the ability of the witness to resist being influenced by his or her interest in recalling those events; the internal and external consistency of the witness's evidence; whether the witness's evidence harmonizes with or is contradicted by other evidence, particularly independent or undisputed evidence; whether his or her evidence seems unreasonable, improbable or unlikely, bearing in mind the probabilities affecting the case; and the witness's demeanour, meaning the way he or she presents while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Ultimately, I must decide whether Ms. Glendenning's claim that for more than four years after the 2013 accident she has suffered from very considerable pain, particularly in her neck and back, that is materially different from her pre-existing pain is reliable. A consideration of the factors outlined above, has led me to the conclusion that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have significant concerns about Ms. Glendenning's testimony related to her pre-2013 condition and the progression in the symptoms she experienced following each of the accidents in question. In particular, I have concluded that Ms. Glendenning's testimony about her ongoing symptoms is not sufficiently reliable to establish that the injuries she sustained in the accidents in question persisted beyond what human experience would suggest is typical given the nature of each accident. I wish to be clear that I have not concluded that Ms. Glendenning was deliberately misleading and I have not rejected all of her evidence. As already discussed, I accept her account of each accident and the symptoms she experienced in the immediate aftermath of each accident. Her testimony concerning those matters was reasonable and corroborated at least to some extent by other evidence that I accept. However, I have concluded that her recall of the progression of her condition has become influenced by her interest in advancing her case to an extent that has substantiality undermined its reliability. There are several reasons for this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Glendenning's testimony to the effect that her pre-existing condition (specifically, her pre-existing chronic pain) had improved significantly in the year prior to the 2013 accident was inconsistent with her pattern of chiropractic treatments, was difficult to reconcile with her own previous description of her condition about a year before that accident, and was somewhat inconsistent with Ms. Clark's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According to Ms. Glendenning, in 2012 she was suffering from severe pain and fatigue every day, all day. The severe intensity of her pain symptoms in 2012 is reflected in a CPP disability benefits claim form she filled out in January 2012 (about 21 months before the 2013 accident), and a letter she wrote in October 2012 (about a year before the 2013 accident) in support of a request for retroactive disability benefits. In the former, she described her condition as including "chronic fatigue", swelling of "feet, ankles, hands &amp; arms ... which also cause movement restrictions with chronic &amp; severe pain", "severe &amp; chronic back, shoulder, rib &amp; neck pain" associated with the mastectomy incision, suffering from "chronic migraines, ulcerative colitis, anxiety, joint pain &amp; swelling", living with "severe pain that is so intense it has taken over my life", limitations with sitting or standing due to "severe pain in back, legs, feet", limitations walking, carrying, concentrating and sleeping, but able to perform household maintenance provided she paced herself, and taking medications daily, including Gabapentin, Flexeril, Pantaloc, Lorazepam, and Maxalt. In the latter, she said she had been sick for almost eight years, "would never be the same or have the quality of life [she] did before the [first cancer surgery]" and that she suffered from "severe chronic pain everyday all day and severe fatigue [such that] its [sic] very hard to get through your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Glendenning emphasized that her primary treatment modality for pain was chiropractic sessions with Dr. Wielgosz. She had 40 sessions in 2012 when, according to the descriptions in her disability documents, she was living with severe chronic pain, every day, all day, so intense it had taken over her life. This compares with 43 chiropractic sessions in the first nine months of 2013 (prior to the 2013 accident), which translates to about 57 treatments for the year on an annualized basis, a period when she now says she was doing much better. In his testimony, Dr. Wielgosz relied heavily on frequency of visits as an indicator of Ms. Glendenning's condition at various times. If frequency of visits is a reliable indicator of her condition then her condition in 2013 was certainly no better than it was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As noted, Ms. Clark testified that Ms. Glendenning had a lot of rough days in the year before the 2013 accident and she did not observe her condition to be changing or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Further, there was a vagueness to Ms. Glendenning's testimony about her condition in the months prior to the 2013 accident that is surprising given the severity of her symptoms as she described them in the 2012 disability-related documents. She testified to the effect that she was doing much better in 2013 than she had been in 2012. She said her symptoms were improving, things had settled down, she was optimistic, and she had resumed most of her normal daily activities. One would expect a dramatic change from severe pain so intense it had taken over her life to a resumption of most normal activities, including working out every other day, especially where the change has occurred over a relatively short period, would have generated a detailed memory of when and in what specific manner, the symptoms, quite suddenly,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were also inconsistencies in Ms. Glendenning's evidence concerning the extent to which she suffered from specific symptoms before the 2013 accident. She said she rarely suffered from headaches before the 2013 accident and now has a lot more headaches. However, she also said she suffered from regular migraines before the 2013 accident, as often as three to four times per week. She said that she did not have any significant anxiety before the 2013 accident; however, in the application for CPP disability benefits she filled out in January 2012, she claimed to have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These aspects of Ms. Glendenning's testimony demonstrated a tendency on her part to downplay, at trial, the severity of her pre-existing conditions and a corresponding inability to resist the influence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was also troubled by Ms. Glendenning's descriptions at trial of her condition in the years since the 2013 accident. As mentioned, during cross-examination she testified that she was suffering constant excruciating neck, back and chest pain, 24/7, beyond 10 out of 10, on a pain scale of 10 with 10 being the most excruciating pain imaginable, from the 2013 accident up until 2016 with respect to the neck pain when it reduced to 5 out of 10, up until mid-2015 with respect to the back pain when it eased off, and up until December 2016 with respect to the chest pain when she had breast implants removed. This was inconsistent with the June 12, 2014 letter written by Dr. Wielgosz and the notable dearth of such complaints in the clinical records of her GPs.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mentioned, on June 12, 2014, roughly nine months after the 2013 accident, Dr. Wielgosz wrote a letter summarizing the state of his treatment of Ms. Glendenning after the 2013 accident. In that letter, he wrote that since the commencement of treatment on October 8, 2013 Ms. Glendenning "has been experiencing less symptoms, but is still subject to exacerbations related to physical activities and sometimes psychological stressors" and that there had been "improvement in the musculature" such that visit frequency had been reduced. When presented with this letter in cross-examination, Ms. Glendenning acknowledged that she was improving at that time. While an injured party is not expected to be able to precisely recount the progression of symptoms over a long period, an acknowledgement of significant improvement in June 2014 stands in stark contrast to the dramatic assertions of 24/7, agonizing and excruciating pain persisting to at least 2016, and continuing thereafter albeit at a somewhat reduced intensity. This contributed to my concern that Ms. Glendenning has become unable to resist the influence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addition, and as already alluded to, there is a dearth of references to complaints of constant, agonizing, excruciating pain, such as Ms. Glendenning described at the trial, in the clinical records of her GPs. This is surprising, given the alleged intensity and long duration of the symptoms, and the frequency of her visits to her GP.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the day of the 2013 accident, Ms. Glendenning reported pain in her neck and back to Dr. Sokol. She acknowledged that in subsequent visits to him up to late November 2013, she complained about weakness in her left leg, anxiety following the 2013 accident, and tooth pain, but there is no mention in his notes of anything approaching constant, agonizing neck, low back or chest pain even though she said that she raised with him the things that were most prominent at the time. She acknowledged that on November 25, 2013, about two months after the 2013 accident, she complained to Dr. Sokol of right breast pain that she said had been ongoing for about a year (that is, since before the 2013 accident). She acknowledged that between December 2013 and April 2014 she saw Dr. Sokol on at least nine occasions complaining of such things as cough, cold, right breast pain, pain in the lower left quadrant in the area of the ovaries, issues with her left leg, and concerns about the recurrence of cancer, again without any apparent mention of neck or low back pain. At a visit with Dr. Sokol on April 24, 2014, Ms. Glendenning did complain of anxiety and neck and low back pain associated with the 2013 accident. On April 16, 2014, ICBC had requested Dr. Sokol submit a CL 19 form in relation to Ms. Glendenning's claim and it is reasonable to infer that the purpose of the April 24 appointment was to provide information required for him to fill out the form. His notes of the April 24 visit indicate clinical findings consisting of tenderness on palpation to the cervical spine and lumbar spine and restrictions in the range of motion in her neck with rotation to the left. However, there is no note of any complaint of constant, excruciating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Dr. Sokol retired in 2014 and Ms. Glendenning then saw Dr. Pritchett, before Dr. Evans took over her primary care. When questioned about Dr. Pritchett, Ms. Glendenning again acknowledged that she would focus on the most pressing concerns in her visits with him. Dr. Pritchett's clinical records indicate that she discussed prescription refills, aching legs, referrals, carpal tunnel, issues with her stomach, joint swelling and pain in her hands, and menopausal symptoms. There are no references to neck or back pain, or to the 2013 accident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Glendenning started seeing Dr. Evans in early 2015. At a visit in April 2015, she mentioned the 2013 accident. Dr. Evans noted "tight" on left side of body, neck and hip and recorded reduced neck range of motion. There is no note of constant, severe pain. Ms. Glendenning acknowledged that in May 2015 she discussed headaches, migraines, stomach problems, diabetes, swollen hands, and emotional issues with Dr. Evans. Dr. Evans' clinical notes indicate that Ms. Glendenning relayed details about the 2013 accident at a visit on August 4, 2015. The first expert report written by Dr. Evans for use in this litigation is dated September 20, 2015, and it indicates that the request for that report was made in a letter dated July 20, 2015. Ms. Glendenning acknowledged that she rarely discussed the symptoms she attributes to the accidents with Dr. Evans. She could not recall, at trial, whether her visit to Dr. Evans on August 4, 2015 was specifically for the purpose of providing Dr. Evans with background for the report that had been requested but, given the timing, it is likely this was so. Dr. Evans' notes of the August 4, 2015 visit indicate that, among other things, Ms. Glendenning told her that she had been receiving chiropractic treatments since the 2013 accident, she was not back to normal but was much better than she had been, and that when her low back "goes out" she gets more treatments and it gets better. This is not consistent with constant, agonizing pain. Thereafter, Ms. Glendenning saw Dr. Evans regularly for a variety of complaints but Dr. Evans' clinical records rarely if ever mention the 2013 accident or the symptoms Ms. Glendenning attributes to it. Certainly, there is no mention in any of Dr. Evans' notes of a complaint of constant, agonizing, excruciating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Glendenning saw Dr. Evans on May 17, 2016, after the 2016 accident, at which time she complained of concussion and sore neck, as well as stress related to family issues. Thereafter she continued to see Dr. Evans regularly. She agreed that she discussed whatever was most prominent at the time of each visit. There are few references in Dr. Evans' records to neck and back pain. The clinical records indicate she raised nausea, cough, stress, concerns about possible rupture of implants, stomach pain, sore chest, chest tightness, weak legs, among other things. Again, there is no mention of a complaint of constant, agonizing, excruciating neck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Smith J. provided instructive commentary on the evidentiary use of clinical records: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difficulty with statements in clinical records is that, because they are only a brief summary or paraphrase, there is no record of anything else that may have been said and which might in some way explain, expand upon or qualify a particular doctor's note. The plaintiff will usually have no specific recollection of what was said and, when shown the record on cross-examination, can rarely do more than agree that he or she must have said what the doctor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With respect to alleged inconsistencies in clinical records, Justice Smith went on to observe: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Further difficulties arise when a number of clinical records made over a lengthy period are being considered. Inconsistencies are almost inevitable because few people, when asked to describe their condition on numerous occasions, will use exactly the same words or emphasis each time. As Parrett J. said in </w:t>
      </w:r>
      <w:r>
        <w:rPr>
          <w:rFonts w:ascii="arial" w:eastAsia="arial" w:hAnsi="arial" w:cs="arial"/>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958"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at paragraph 104: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reports are those of a layperson going through a traumatic and difficult time and one for which she is seeing little, if any, hope for improvement. Secondly, the histories are those recorded by different doctors who may well have had different perspectives and different perceptions of what is important. ... I find little surprising in the variations of the plaintiff's history in this case, particularly given the human tendency to reconsider, review and summarize history in light of new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While the content of a clinical record may be evidence for some purposes, the absence of a record is not, in itself, evidence of anything. For example, the absence of reference to a symptom in a doctor's notes of a particular visit cannot be the sole basis for any inference about the existence or non-existence of that symptom. At most, it indicates only that it was not the focus of discussion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Tisalona v. Easton</w:t>
      </w:r>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2017 BCCA 272</w:t>
        </w:r>
      </w:hyperlink>
      <w:r>
        <w:rPr>
          <w:rFonts w:ascii="arial" w:eastAsia="arial" w:hAnsi="arial" w:cs="arial"/>
          <w:color w:val="000000"/>
          <w:sz w:val="20"/>
          <w:lang w:val="en-US" w:eastAsia="en-US" w:bidi="ar-SA"/>
        </w:rPr>
        <w:t xml:space="preserve"> at paras. 27-35, the Court of Appeal revisited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and reiterated that what was said in that case about the absence of a clinical record did not amount to a legal principle but, rather, reflected a common sense response to an argument that the absence of a reference in clinical records was decisive.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To be clear, I am not drawing an inference that Ms. Glendenning had in fact recovered from the injuries, from the absence of references to severe symptoms in the records of her GPs. It is well accepted that injured people are not expected to continue to report to their GP about ongoing symptoms for which there is not likely to be any change in treatment. It is also well accepted and understood that not everything said at a visit with a physician is noted in the physician's records. I also accept that Ms. Glendenning considered Dr. Wielgosz to be her primary treatment provider for accident-related injuries and, as such, it is likely that she would have discussed the symptoms she attributed to the accidents more extensively with him than with her GPs.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Having said that, the issue here is not a minor inconsistency in the clinical records with respect to how a symptom has been reported or the absence of a reference to a symptom on a particular visit. The concern arises from the complete absence of any report by Ms. Glendenning to her GPs of symptoms associated with the accidents that comes anywhere close to the severity she described at trial, in circumstances where she was attending at her GPs regularly with numerous other, sometimes apparently trivial complaints. This suggests that constant, severe, long-standing pain associated with the accidents in question was never the focus of discussion between Ms. Glendenning and her GPs.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Normal human experience gives rise to an expectation that Ms. Glendenning would have, at least on occasion, reported to her GP that she was suffering from constant, agonizing, excruciating pain and that her GP would have, at least on occasion, made note of such a significant report, even if Dr. Wielgosz was the person Ms. Glendenning primarily relied on. A trial judge is not expected to leave her common sense at the door when she enters the courtroom: </w:t>
      </w:r>
      <w:r>
        <w:rPr>
          <w:rFonts w:ascii="arial" w:eastAsia="arial" w:hAnsi="arial" w:cs="arial"/>
          <w:i/>
          <w:color w:val="000000"/>
          <w:sz w:val="20"/>
          <w:lang w:val="en-US" w:eastAsia="en-US" w:bidi="ar-SA"/>
        </w:rPr>
        <w:t>R. v. Twohey</w:t>
      </w:r>
      <w:r>
        <w:rPr>
          <w:rFonts w:ascii="arial" w:eastAsia="arial" w:hAnsi="arial" w:cs="arial"/>
          <w:color w:val="000000"/>
          <w:sz w:val="20"/>
          <w:lang w:val="en-US" w:eastAsia="en-US" w:bidi="ar-SA"/>
        </w:rPr>
        <w:t xml:space="preserve">, </w:t>
      </w:r>
      <w:hyperlink r:id="rId960" w:history="1">
        <w:r>
          <w:rPr>
            <w:rFonts w:ascii="arial" w:eastAsia="arial" w:hAnsi="arial" w:cs="arial"/>
            <w:i/>
            <w:color w:val="0077CC"/>
            <w:sz w:val="20"/>
            <w:u w:val="single"/>
            <w:shd w:val="clear" w:color="auto" w:fill="FFFFFF"/>
            <w:lang w:val="en-US" w:eastAsia="en-US" w:bidi="ar-SA"/>
          </w:rPr>
          <w:t>2009 BCCA 428</w:t>
        </w:r>
      </w:hyperlink>
      <w:r>
        <w:rPr>
          <w:rFonts w:ascii="arial" w:eastAsia="arial" w:hAnsi="arial" w:cs="arial"/>
          <w:color w:val="000000"/>
          <w:sz w:val="20"/>
          <w:lang w:val="en-US" w:eastAsia="en-US" w:bidi="ar-SA"/>
        </w:rPr>
        <w:t xml:space="preserve"> at para. 18. In this case, the absence of any record of complaints of constant and severe accident-related pain in the clinical records of Ms. Glendenning's GPs significantly undermines the reliability of her testimony about the progression of her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Glendenning's attribution at trial of her chest pain to the accident showed a tendency to draw linkages to the 2013 accident in the absence of a reasonable basis, which also demonstrated her inability to resist the influence of interest. Ms. Glendenning clearly suggested that, in her view at least, there was a likelihood that she damaged or ruptured a breast implant when she fell in the Superstore parking lot. She provided no rational basis for that view. There is no evidence that she complained to any medical treatment provider of increased chest pain in the immediate aftermath of the 2013 fall. In cross-examination, she acknowledged that she had a painful mammogram in April 2013, before the 2013 accident, and that over the next few months (again before the 2013 accident) she consulted medical professionals and underwent diagnostic testing to investigate the possible rupture of a breast implant. Although Dr. Evans expressed the view, in her second report, that it is "possible" the implant was ruptured at the time of the 2013 fall, she does not appear to have considered the other possibility; that is, any rupture was caused by the mammogram some months earlier, or the fact that Ms. Glendenning's complaints in this respect pre-dated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There was also a vagueness to some aspects of Ms. Glendenning's testimony concerning her symptoms that undermined its reliability. For example, she testified that her injuries interfered to a significant extent with her day-to-day functioning but it was not clear from her testimony how long many of these limitations lasted and if they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discussed, there is little if any independent evidence of the progression of Ms. Glendenning symptoms following each of the accidents that might provide some objective foundation to support her claim on ongoing significant symptoms, and this is a major weakness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summary, for the reasons expressed above, I find that as a result of the 2013 accident, Ms. Glendenning sustained whiplash-type, soft tissue injuries to her neck and back and that, as a result, she experienced pain and stiffness in those areas for about nine months to a year, and that she also suffered from anxiety, especially in relation to driving, for about a year. I find that as a result of the 2016 accident, Ms. Glendenning sustained a mild flare up of the neck pain and a mild concussion, and that, as a result, she experienced some additional pain and stiffness in her neck as well as headaches and dizziness, all of which eventually resolved in the normal course, and within six months at the outside. However, I am not persuaded, on a balance of probabilities, that Ms. Glendenning's accident-related symptoms were nearly as severe as she described them at trial, that they have persisted, or that they are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An award of non-pecuniary damages is intended to compensate for pain, suffering and loss of enjoyment of life prior to the trial and into the future.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11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of Appeal set out a non-exhaustive list of factors to be considered in determining the amount of non-pecuniary damages to award. That list includes the age of the plaintiff, the nature of the injury, the severity and duration of the pain, the extent of disability, the existence of emotional suffering, the loss or impairment of life, the impairment of relationships, the impairment of physical and mental abilities, and the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have concluded that:</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2013 accident, Ms. Glendenning sustained whiplash-type, soft tissue injuries to her neck and back and that, as a result, she experienced pain and stiffness in those areas for about nine months to a year, and that she also suffered from anxiety, especially in relation to driving, for about a year; and</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2016 accident, Ms. Glendenning sustained a mild flare up of the neck pain and a mild concussion, and that, as a result, she experienced some additional pain and stiffness in her neck as well as headaches and dizziness, all of which eventually resolved within six months at the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satisfied that Ms. Glendenning was limited in her daily activities, particularly her housekeeping and attendance at Jehovah's Witness meetings, for up to a year after the 2013 accident, and that she was also moderately limited in her daily activities for a relatively short time following the 2016 accident. I am not able to make more specific findings about the duration of these limitations on the record available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 already noted, Ms. Glendenning submits that an award of $85,000 for non-pecuniary damages is appropriate, but that submission was based on the court accepting her evidence about the ongoing nature of her symptoms. Accordingly, I did not find the cases cited by her to be helpful because they concern plaintiffs whose injuries were found to be more severe and long-lasting.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defence submits an award of between $20,000 and $35,000 for non-pecuniary damages is appropriate on the basis of awards in the following cases: </w:t>
      </w:r>
      <w:r>
        <w:rPr>
          <w:rFonts w:ascii="arial" w:eastAsia="arial" w:hAnsi="arial" w:cs="arial"/>
          <w:i/>
          <w:color w:val="000000"/>
          <w:sz w:val="20"/>
          <w:lang w:val="en-US" w:eastAsia="en-US" w:bidi="ar-SA"/>
        </w:rPr>
        <w:t>Gendron v. Moffat</w:t>
      </w:r>
      <w:r>
        <w:rPr>
          <w:rFonts w:ascii="arial" w:eastAsia="arial" w:hAnsi="arial" w:cs="arial"/>
          <w:color w:val="000000"/>
          <w:sz w:val="20"/>
          <w:lang w:val="en-US" w:eastAsia="en-US" w:bidi="ar-SA"/>
        </w:rPr>
        <w:t xml:space="preserve">, </w:t>
      </w:r>
      <w:hyperlink r:id="rId961" w:history="1">
        <w:r>
          <w:rPr>
            <w:rFonts w:ascii="arial" w:eastAsia="arial" w:hAnsi="arial" w:cs="arial"/>
            <w:i/>
            <w:color w:val="0077CC"/>
            <w:sz w:val="20"/>
            <w:u w:val="single"/>
            <w:shd w:val="clear" w:color="auto" w:fill="FFFFFF"/>
            <w:lang w:val="en-US" w:eastAsia="en-US" w:bidi="ar-SA"/>
          </w:rPr>
          <w:t>2010 BCSC 1231</w:t>
        </w:r>
      </w:hyperlink>
      <w:r>
        <w:rPr>
          <w:rFonts w:ascii="arial" w:eastAsia="arial" w:hAnsi="arial" w:cs="arial"/>
          <w:color w:val="000000"/>
          <w:sz w:val="20"/>
          <w:lang w:val="en-US" w:eastAsia="en-US" w:bidi="ar-SA"/>
        </w:rPr>
        <w:t xml:space="preserve"> ($25,000); </w:t>
      </w:r>
      <w:r>
        <w:rPr>
          <w:rFonts w:ascii="arial" w:eastAsia="arial" w:hAnsi="arial" w:cs="arial"/>
          <w:i/>
          <w:color w:val="000000"/>
          <w:sz w:val="20"/>
          <w:lang w:val="en-US" w:eastAsia="en-US" w:bidi="ar-SA"/>
        </w:rPr>
        <w:t>Wallner v. Uppal</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2012 BCSC 1602</w:t>
        </w:r>
      </w:hyperlink>
      <w:r>
        <w:rPr>
          <w:rFonts w:ascii="arial" w:eastAsia="arial" w:hAnsi="arial" w:cs="arial"/>
          <w:color w:val="000000"/>
          <w:sz w:val="20"/>
          <w:lang w:val="en-US" w:eastAsia="en-US" w:bidi="ar-SA"/>
        </w:rPr>
        <w:t xml:space="preserve"> ($20,000); and </w:t>
      </w:r>
      <w:r>
        <w:rPr>
          <w:rFonts w:ascii="arial" w:eastAsia="arial" w:hAnsi="arial" w:cs="arial"/>
          <w:i/>
          <w:color w:val="000000"/>
          <w:sz w:val="20"/>
          <w:lang w:val="en-US" w:eastAsia="en-US" w:bidi="ar-SA"/>
        </w:rPr>
        <w:t>Kabani v. Lee</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2014 BCSC 2336</w:t>
        </w:r>
      </w:hyperlink>
      <w:r>
        <w:rPr>
          <w:rFonts w:ascii="arial" w:eastAsia="arial" w:hAnsi="arial" w:cs="arial"/>
          <w:color w:val="000000"/>
          <w:sz w:val="20"/>
          <w:lang w:val="en-US" w:eastAsia="en-US" w:bidi="ar-SA"/>
        </w:rPr>
        <w:t xml:space="preserve"> ($32,500).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 recognize that an injury and accompanying loss of function for a disabled person, or a person living with significant pre-existing health conditions, can have a magnified effect: see </w:t>
      </w:r>
      <w:r>
        <w:rPr>
          <w:rFonts w:ascii="arial" w:eastAsia="arial" w:hAnsi="arial" w:cs="arial"/>
          <w:i/>
          <w:color w:val="000000"/>
          <w:sz w:val="20"/>
          <w:lang w:val="en-US" w:eastAsia="en-US" w:bidi="ar-SA"/>
        </w:rPr>
        <w:t>Morgan v. Scott</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2012 BCSC 1237</w:t>
        </w:r>
      </w:hyperlink>
      <w:r>
        <w:rPr>
          <w:rFonts w:ascii="arial" w:eastAsia="arial" w:hAnsi="arial" w:cs="arial"/>
          <w:color w:val="000000"/>
          <w:sz w:val="20"/>
          <w:lang w:val="en-US" w:eastAsia="en-US" w:bidi="ar-SA"/>
        </w:rPr>
        <w:t>, for example. However, for the reasons I have already expressed, I am unable, on the record, to make findings about the extent of Ms. Glendenning's condition prior to the 2013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The authorities referred to by the defence are all generally instructive, but the findings in </w:t>
      </w:r>
      <w:r>
        <w:rPr>
          <w:rFonts w:ascii="arial" w:eastAsia="arial" w:hAnsi="arial" w:cs="arial"/>
          <w:i/>
          <w:color w:val="000000"/>
          <w:sz w:val="20"/>
          <w:lang w:val="en-US" w:eastAsia="en-US" w:bidi="ar-SA"/>
        </w:rPr>
        <w:t>Wallner</w:t>
      </w:r>
      <w:r>
        <w:rPr>
          <w:rFonts w:ascii="arial" w:eastAsia="arial" w:hAnsi="arial" w:cs="arial"/>
          <w:color w:val="000000"/>
          <w:sz w:val="20"/>
          <w:lang w:val="en-US" w:eastAsia="en-US" w:bidi="ar-SA"/>
        </w:rPr>
        <w:t xml:space="preserve"> are quite different from those here. </w:t>
      </w:r>
      <w:r>
        <w:rPr>
          <w:rFonts w:ascii="arial" w:eastAsia="arial" w:hAnsi="arial" w:cs="arial"/>
          <w:i/>
          <w:color w:val="000000"/>
          <w:sz w:val="20"/>
          <w:lang w:val="en-US" w:eastAsia="en-US" w:bidi="ar-SA"/>
        </w:rPr>
        <w:t>Gendron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Kabani</w:t>
      </w:r>
      <w:r>
        <w:rPr>
          <w:rFonts w:ascii="arial" w:eastAsia="arial" w:hAnsi="arial" w:cs="arial"/>
          <w:color w:val="000000"/>
          <w:sz w:val="20"/>
          <w:lang w:val="en-US" w:eastAsia="en-US" w:bidi="ar-SA"/>
        </w:rPr>
        <w:t xml:space="preserve"> concern plaintiffs whose injuries and their implications are much more similar to Ms. Glendenning's injuries and their affect on her life. </w:t>
      </w:r>
      <w:r>
        <w:rPr>
          <w:rFonts w:ascii="arial" w:eastAsia="arial" w:hAnsi="arial" w:cs="arial"/>
          <w:i/>
          <w:color w:val="000000"/>
          <w:sz w:val="20"/>
          <w:lang w:val="en-US" w:eastAsia="en-US" w:bidi="ar-SA"/>
        </w:rPr>
        <w:t>Kabani</w:t>
      </w:r>
      <w:r>
        <w:rPr>
          <w:rFonts w:ascii="arial" w:eastAsia="arial" w:hAnsi="arial" w:cs="arial"/>
          <w:color w:val="000000"/>
          <w:sz w:val="20"/>
          <w:lang w:val="en-US" w:eastAsia="en-US" w:bidi="ar-SA"/>
        </w:rPr>
        <w:t xml:space="preserve"> is a more recent case so the award is more comparable in terms of current dollars. Considering my findings concerning the nature of the injuries sustained by Ms. Glendenning in each accident, their duration, Ms. Glendenning's age and the effect of the injuries on her life, I assess non-pecuniary damages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my view, it would not be appropriate to reduce this award on the basis of the "crumbling skull" principle. The fundamental principle in assessing tort damages is that the quantum should be that which is required to place the plaintiff in her original position; that is,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32-35. If there is a measurable risk that a pre-existing condition or an intervening event would have resulted in the same loss even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risk must be taken into account in reducing the damages award. Measurable risks, or in other words contingencies, need not be proved on a balance of probabilities. Rather, as with any hypothetical event, they are given weight in the assessment of damages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have assessed Ms. Glendenning's non-pecuniary damages to reflect the damage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there is evidence that she suffered from pre-existing chronic pain, the evidence falls short of establishing a measurable risk that she would have suffered the same symptoms (primarily, the neck and back pain, driving anxiety, and dizziness) in the year following the 2013 accident and in the aftermath of the 2016 accident, in any event of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Glendenning seeks an award of damages for loss of past and future housekeeping capacity. Given my findings concerning the duration of her symptoms, there is no basis for an award for loss of future housekeeping capacity. The question is whether there is a basis for an award for loss of past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An award for loss of housekeeping capacity provides compensation for the value of the housekeeping the plaintiff would have done but was and/or will be incapable of performing because of the injuries caused by the accident. Loss of housekeeping capacity reflects the loss of personal capacity, which is an asset and is therefore compensable as a pecuniary loss. It is not dependent on replacement costs actually being incurred. In some circumstances, however, the loss of housekeeping capacity can be compensated by a non-pecuniary award. The determination is a discretionary one for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suggested treating the loss of housekeeping capacity as non-pecuniary where the plaintiff is still able to perform household tasks with difficulty or has decided they need not be done. More recently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Court of Appeal returned to the question of how to properly characterize and value such a loss, concluding: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Whichever option a court chooses, when valuing these different types of awards, courts should pay heed to the differing rationales behind them. In particular, when valuing the pecuniary damages for the loss of capacity suffered by a plaintiff, courts may look to the cost of hiring replacement services, but they should ensure that any award for that loss, and any deduction to that award, is tied to the actual loss of capacity which justifies the award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Glendenning testified that since the 2013 accident, he devotes three to four hours per week to the heavier housekeeping tasks. However, Ms. Glendenning testified that even before the 2013 accident she was not able to perform the heavier housekeeping tasks such as vacuuming and windows. I infer that even before the 2013 accident he was performing those tasks. It is not clear from the record whether his estimate of three to four hours includes those tasks that he was already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do accept that Ms. Glendenning's injuries from the 2013 accident interfered with her ability to perform housekeeping for a period and that Mr. Glendenning picked up the slack for that period. As a result, I am of the view that the loss should be compensated by a pecuniary damages award. However, the record is not clear enough for me to find that, as a result of those injuries, Mr. Glendenning spent three to four hours each week performing housekeeping that she was unable to perform. If he did spend four hours a week on the tasks she could not perform, for an entire year, that would amount to 208 hours. If his time was valued at $25 an hour, it would translate to $5,200. Given the lack of clarity in the evidence, I assess Ms. Glendenning's damages for loss of past housekeeping capacity at $2,500.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Given my findings concerning the duration of Ms. Glendenning's symptoms, there is no basis for an award for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Glendenning's special damages claim relates to the cost of certain medications, massage therapy, one physiotherapy treatment, psychological counselling for anxiety, chiropractic treatments, and mileage for travel to the chiropractic treatments. She is entitled to reimbursement for reasonable claims for the year after the 2013 accident and the six months after the 2016 accident; in other words for the periods from September 18, 2013 to September 18, 2014, and from April 25, 2016 to October 25,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Leaving aside the cost of chiropractic treatments, the items that fall within these periods are:</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medications -- $131.92;</w:t>
      </w:r>
    </w:p>
    <w:p>
      <w:pPr>
        <w:numPr>
          <w:numId w:val="5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 $90; and</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 $756.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am satisfied that Ms. Glendenning has established a claim to those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the year following the 2013 accident, Ms. Glendenning attended approximately 85 chiropractic treatments. In the six months following the 2016 accident she attended about 43 chiropractic treatments. The evidence is that the cost of each treatment was $35. If it was reasonable to reimburse her for all of those treatments, the award would be $4,480.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However, as I have already indicated, Ms. Glendenning was attending chiropractic treatments at a significant frequency before the 2013 accident and there is no reason to think she would not have continued to do so. As mentioned, in 2012 she attended 40 sessions, nearly half as many as in the year following the 2013 accident and about the same number as in the six months following the 2016 accident. In the circumstances, it is reasonable to infer that, at most, only half the post-accident treatments are reasonably attributable to the accidents. In addition, there was no medical evidence that supported chiropractic treatments to this extent. Dr. Evans observed that Ms. Glendenning said she found the treatments to be of benefit, but I do not view that as an opinion to the effect that they are medically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all the circumstances, I award Ms. Glendenning special damages of $1,000 for chiropractic treatments. At $35 per treatment, this translates to about 29 sessions. She established that each session involved a 44.8 km round trip. At $.50 per km, I award $650 for mileage (29 sessions x 44.8 km x $.50 per km).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summary, the damages awarded to Ms. Glendenning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housekeeping capacity</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$2,627.92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$40,127.92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If counsel are unable to reach agreement on costs they may make arrangements to speak to that issue provided that, within 60 days, they submit a request to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WARREN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5"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Holmes v. Hanna, [2001] B.C.J. No. 2082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October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S23797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2082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809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Kevin Stuart Holmes, plaintiff, and Ashley Hanna and Keith Jubenville,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6"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3" w:name="Keywords_44"/>
      <w:bookmarkEnd w:id="313"/>
      <w:r>
        <w:rPr>
          <w:rFonts w:ascii="arial" w:eastAsia="arial" w:hAnsi="arial" w:cs="arial"/>
          <w:b/>
          <w:color w:val="000000"/>
          <w:sz w:val="20"/>
          <w:lang w:val="en-US" w:eastAsia="en-US" w:bidi="ar-SA"/>
        </w:rPr>
        <w:t>Practice — Trials — Trial de novo — When available — Settlements — By one of multiple defendants, effect of — Damages — Limits of compensatory damages — Prohibition against double recovery.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4" w:name="Case Summary_42"/>
            <w:bookmarkEnd w:id="3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Holmes for an order to re-open the trial. Holmes was awarded damages against Hanna and Jubenville as joint tortfeasors. His damages were reduced by 25 per cent on the basis that he had settled his claim against three other defendants assuming that they were liable for 25 per cent of his damages. The court found that Hanna and Jubenville were solely responsible for the accident. Holmes argued that he had agreed not to recover any amount from the three other defendants. He also argued that the joint liability of the remaining tortfeasors was severed and their liability was several only.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5" w:name="Holdings of Court_40"/>
            <w:bookmarkEnd w:id="315"/>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Holmes settled his claims against the three other defendants to compensate him for his injuries. If he was not required to deduct his settlement with them, he would be compensated for more than his loss, in violation of the double recovery principle. The court was mistaken in its assumption regarding the settlement. It was appropriate to re-open the trial to decide the issue of whether the amount paid to Holmes by the settling defendants should have been deducted from the damages assessed at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6" w:name="Legislation Cited_33"/>
      <w:bookmarkEnd w:id="3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7"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Original reasons for judgment were released June 1, 2001. See </w:t>
            </w:r>
            <w:hyperlink r:id="rId974" w:history="1">
              <w:r>
                <w:rPr>
                  <w:rFonts w:ascii="arial" w:eastAsia="arial" w:hAnsi="arial" w:cs="arial"/>
                  <w:i/>
                  <w:color w:val="0077CC"/>
                  <w:sz w:val="18"/>
                  <w:u w:val="single"/>
                  <w:shd w:val="clear" w:color="auto" w:fill="FFFFFF"/>
                  <w:lang w:val="en-US" w:eastAsia="en-US" w:bidi="ar-SA"/>
                </w:rPr>
                <w:t>[2001] B.C.J. No. 1256</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7" w:name="Counsel_45"/>
      <w:bookmarkEnd w:id="3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Jordan, for the plaintiff. D. Yule, appeared for the defendant, Keith Jubenville.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8" w:name="Judgment_45"/>
      <w:bookmarkEnd w:id="318"/>
      <w:r>
        <w:pict>
          <v:line id="_x0000_s1249"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9" w:name="HALFYARD J."/>
            <w:bookmarkEnd w:id="319"/>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June 1, 2001, I gave written reasons for judgment and ordered that the plaintiff should recover $607,068.75 in damages from the defendants Hanna and Jubenville, whom I found to be joint tortfeasors, </w:t>
      </w:r>
      <w:hyperlink r:id="rId974" w:history="1">
        <w:r>
          <w:rPr>
            <w:rFonts w:ascii="arial" w:eastAsia="arial" w:hAnsi="arial" w:cs="arial"/>
            <w:i/>
            <w:color w:val="0077CC"/>
            <w:sz w:val="20"/>
            <w:u w:val="single"/>
            <w:shd w:val="clear" w:color="auto" w:fill="FFFFFF"/>
            <w:lang w:val="en-US" w:eastAsia="en-US" w:bidi="ar-SA"/>
          </w:rPr>
          <w:t>[2001] B.C.J. No. 1256</w:t>
        </w:r>
      </w:hyperlink>
      <w:r>
        <w:rPr>
          <w:rFonts w:ascii="arial" w:eastAsia="arial" w:hAnsi="arial" w:cs="arial"/>
          <w:color w:val="000000"/>
          <w:sz w:val="20"/>
          <w:lang w:val="en-US" w:eastAsia="en-US" w:bidi="ar-SA"/>
        </w:rPr>
        <w:t>. That sum was only 75% of the plaintiff's damages, which I had assessed at $809,425.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reduced the plaintiff's damages by 25%, on the assumption that the plaintiff had settled his claim against three former defendants ("the settling defendants") on the basis that they were collectively liable to the plaintiff for 25% of his damages, and that the plaintiff would seek only 75% of his damages against the two remaining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My stated assumption was based on my interpretation of what Mr. Jordan, counsel for the plaintiff, had said in his opening statement and final argument about the settlement, and its effect. However, Mr. Jordan informed me, by letter to the Registrar, that he believed I was mistaken in my understanding of what he said. He pointed out that what he intended to convey, was that the plaintiff would not seek to recover from the settling defendants, any damages that I might find were attributable to their fault. Mr. Jordan said he meant to convey that the plaintiff was claiming 100% of his damages from the defendants Hanna and Jubenville ("the trial defendants") on the basis that they were jointly and severally liable, regardless of any fault that might be attributed to the settling defendants. He said that, since I found that the trial defendants alone were at fault for the accident, I should not have ordered a reduction in the plaintiff's damages. Mr. Jordan's letter was sent to me with the consent of Keith Jubenville's former counsel, and of his father, Ken Jubenville, who represented his son at the trial. The final order has not been entered.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Mr. Jordan's comments in mind, I have listened to the audiotape of the relevant portions of his opening statement and final argument. I am satisfied that he is correct, and that I was mistaken in my understanding of what he said. Accordingly, I was prepared to amend my reasons so as to award the plaintiff the full amount of the damages I had assessed. Before doing so, I scheduled a hearing for August 3, 2001, to ensure that Mr. Ken Jubenville would have an opportunity to address me on this issue, if he wished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August 3, Mr. Yule appeared on behalf of the defendant Keith Jubenville, in place of Keith's father. After I informed counsel that I had misinterpreted Mr. Jordan's submission at trial, and was ready to amend my reasons, Mr. Yule asked that I defer my ruling on that point, and announced that he was seeking leave to make an application to have the trial reopened. Mr. Jordan objected on the ground that no notice of this intended application had been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hearing submissions, I granted leave to make the application, but I directed that it be made by way of written submissions. That has been done, and the submissions include both arguments for and against the application to reopen, and the arguments to be made in the event that the motion to reopen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Yule asks that the trial be reopened so that additional submissions can be made on three issues, which I paraphrase as follows:</w:t>
      </w:r>
      <w:r>
        <w:rPr>
          <w:rFonts w:ascii="arial" w:eastAsia="arial" w:hAnsi="arial" w:cs="arial"/>
          <w:sz w:val="20"/>
          <w:lang w:val="en-US" w:eastAsia="en-US" w:bidi="ar-SA"/>
        </w:rPr>
        <w:cr/>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amount paid to the plaintiff by the settling defendants be deducted from the damages assessed against the trial defendants?</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liability of the trial defendants be several only, and not joint and several as decided?</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settling defendants be found contributorily negligent, contrary to my decision that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have decided that the trial should be reopened, so that argument on the first issue may be made. In my opinion, a miscarriage of justice could occur, if I do not permit the first argument to be made as part of the trial. My reasons for this decision, in brief,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Mr. Jubenville tried to question the plaintiff about the settlement he had made with the settling defendants, I immediately stopped him, on the unstated assumption that it was irrelevant. I think I was wrong to do so. This error was caused by my mistake in interpreting what Mr. Jordan had told me about the effect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Jubenville could not be expected to challenge my statement, whereas a lawyer probably would have. At the least, a foundation would probably have been laid for making further submissions on the issue (and seeking leave to present further evidence if necessary), after damages were assessed, but before judgment for the amount of damages was ordered. But the result here was that the issue of whether the settlement monies should be deducted, was never argued at all. It has now been pointed out to me that this issue had been raised by amendment to Keith Jubenville's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second argument sought to be advanced is that the settlement agreement between the plaintiff and the settling defendants, as a matter of law, severed the joint liability of the trial defendants. At trial, a strong submission for joint liability was made by Mr. Jordan on behalf of the plaintiff, based on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No submission to the contrary was made by Mr. Jubenville, although the point was apparently pleaded in the amended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Counsel have pointed out that the leading authority on the issue of whether a plaintiff's settlement with one or more concurrent tortfeasors will sever the joint liability of the remaining concurrent tortfeasors, is Tucker v. Asleson </w:t>
      </w:r>
      <w:hyperlink r:id="rId975" w:history="1">
        <w:r>
          <w:rPr>
            <w:rFonts w:ascii="arial" w:eastAsia="arial" w:hAnsi="arial" w:cs="arial"/>
            <w:i/>
            <w:color w:val="0077CC"/>
            <w:sz w:val="20"/>
            <w:u w:val="single"/>
            <w:shd w:val="clear" w:color="auto" w:fill="FFFFFF"/>
            <w:lang w:val="en-US" w:eastAsia="en-US" w:bidi="ar-SA"/>
          </w:rPr>
          <w:t>(1991) 62 B.C.L.R. (2d) 78</w:t>
        </w:r>
      </w:hyperlink>
      <w:r>
        <w:rPr>
          <w:rFonts w:ascii="arial" w:eastAsia="arial" w:hAnsi="arial" w:cs="arial"/>
          <w:color w:val="000000"/>
          <w:sz w:val="20"/>
          <w:lang w:val="en-US" w:eastAsia="en-US" w:bidi="ar-SA"/>
        </w:rPr>
        <w:t xml:space="preserve"> (Finch, J.); affirmed on appeal, </w:t>
      </w:r>
      <w:hyperlink r:id="rId307" w:history="1">
        <w:r>
          <w:rPr>
            <w:rFonts w:ascii="arial" w:eastAsia="arial" w:hAnsi="arial" w:cs="arial"/>
            <w:i/>
            <w:color w:val="0077CC"/>
            <w:sz w:val="20"/>
            <w:u w:val="single"/>
            <w:shd w:val="clear" w:color="auto" w:fill="FFFFFF"/>
            <w:lang w:val="en-US" w:eastAsia="en-US" w:bidi="ar-SA"/>
          </w:rPr>
          <w:t>(1993) 78 B.C.L.R. (2d) 173</w:t>
        </w:r>
      </w:hyperlink>
      <w:r>
        <w:rPr>
          <w:rFonts w:ascii="arial" w:eastAsia="arial" w:hAnsi="arial" w:cs="arial"/>
          <w:color w:val="000000"/>
          <w:sz w:val="20"/>
          <w:lang w:val="en-US" w:eastAsia="en-US" w:bidi="ar-SA"/>
        </w:rPr>
        <w:t xml:space="preserve"> (C.A.). Mr. Jordan submits that this authority settles the law in the plaintiff's favour, and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Yule says the decision in Tucker is restricted to cases where there has been no impairment of the rights of the remaining defendants to claim contribution or indemnity from those defendants who have settled. He then argues that, in the present case, the "B.C. Ferries type" settlement operated to extinguish the rights of the trial defendants to claim contribution or indemnity from the settling defendants. Counsel concedes that a covenant not to sue the settling defendants would not by itself sever the joint liability of the trial defendants. But Mr. Yule says that where, as here, such a covenant is combined with the plaintiff's promise not to seek to recover from the settling defendants any part of the plaintiff's damages that the court may attribute to the fault of the settling defendants, the right of contribution of the trial defendants is eliminated. Mr. Yule says it does not matter that, in this case, the settling defendants were ultimately found not to be at fault. In this regard, he points out and relies on the fact that the third party proceedings brought by the defendant Jubenville against the settling defendants were dismissed before trial by Mr. Justice Lander, by reason of the specific nature of the settlement. The logical conclusion, says Mr. Yule, is that the liability of the trial defendants is several only. If that is correct, then he submits that my decision was wrong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Notwithstanding the elaborate argument of Mr. Yule (which I have given in outline only), I am not persuaded that the trial should be reopened so that this issue may be reconsidered. In my opinion, the lack of representation by counsel is not of much significance, because the issue was raised on the pleadings and argued by counsel for the plaintiff. And I see no basis on which the decision and the reasoning in Tucker v. Asleson, supra, can be distinguished in principle, so as not to have application to this case. I should say that I found a number of Mr. Jordan's submissions on this point to be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would add that, even if Mr. Yule's argument was sound (and I think it is not), there could be no possible prejudice to the trial defendants in the present case. The settling defendants were not found to be at fault, and the trial defendants could therefore have no rights of contribution against them. In my view, there is no risk of a miscarriage of justice in relation to this issue. I would not grant leave to reopen the trial 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As to the third proposed argument, Mr. Yule submits that my reasons for absolving the settling defendants of fault are inconsistent with my reasons for finding liability on the part of the defendant Keith Jubenville. Mr. Jubenville defended his son on the basis that the defendant Hanna was solely to blame. He did not advance any alternative position, although that position was pleaded, and in my view a lawyer in his place would almost certainly have done so. However, counsel for the plaintiff did allege and argue that the settling defendants were also at fault. I considered counsel's argument on that issue, and rejected it. In doing so, I accepted that part of Mr. Jubenville's submission which disclaimed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settling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view, there is no rational connection between my decision on that issue, and the error I have described concerning my understanding of the effect of the settlement agreement. Furthermore, it appears to me that this argument is in direct response to my reasons for judgment. I find no proper basis for reconsidering my decision on this issue, and I decline to exercise my discretion to reopen the trial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turn to consider the merits of the first argument. In this case, the plaintiff agreed with the settling defendants that he would not sue them, and would not seek to recover any damages from them in this action, in exchange for their agreement to pay the plaintiff a sum of money which is as yet undisclosed. As mentioned, after trial, I found that the trial defendants were jointly liable to the plaintiff, and that none of the settling defendants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After reading the submissions of counsel and the authorities cited by them, it is my opinion that the law would clearly require the amount of the settlement to be deducted from the plaintiff's damages, if I had attributed some fault to the settling defendants. See Dixon v. British Columbia </w:t>
      </w:r>
      <w:hyperlink r:id="rId976" w:history="1">
        <w:r>
          <w:rPr>
            <w:rFonts w:ascii="arial" w:eastAsia="arial" w:hAnsi="arial" w:cs="arial"/>
            <w:i/>
            <w:color w:val="0077CC"/>
            <w:sz w:val="20"/>
            <w:u w:val="single"/>
            <w:shd w:val="clear" w:color="auto" w:fill="FFFFFF"/>
            <w:lang w:val="en-US" w:eastAsia="en-US" w:bidi="ar-SA"/>
          </w:rPr>
          <w:t>(1979) 99 D.L.R. (3d) 652</w:t>
        </w:r>
      </w:hyperlink>
      <w:r>
        <w:rPr>
          <w:rFonts w:ascii="arial" w:eastAsia="arial" w:hAnsi="arial" w:cs="arial"/>
          <w:color w:val="000000"/>
          <w:sz w:val="20"/>
          <w:lang w:val="en-US" w:eastAsia="en-US" w:bidi="ar-SA"/>
        </w:rPr>
        <w:t xml:space="preserve"> (Ruttan, J.); affirmed </w:t>
      </w:r>
      <w:hyperlink r:id="rId977" w:history="1">
        <w:r>
          <w:rPr>
            <w:rFonts w:ascii="arial" w:eastAsia="arial" w:hAnsi="arial" w:cs="arial"/>
            <w:i/>
            <w:color w:val="0077CC"/>
            <w:sz w:val="20"/>
            <w:u w:val="single"/>
            <w:shd w:val="clear" w:color="auto" w:fill="FFFFFF"/>
            <w:lang w:val="en-US" w:eastAsia="en-US" w:bidi="ar-SA"/>
          </w:rPr>
          <w:t>(1980) 128 D.L.R. (3d) 389</w:t>
        </w:r>
      </w:hyperlink>
      <w:r>
        <w:rPr>
          <w:rFonts w:ascii="arial" w:eastAsia="arial" w:hAnsi="arial" w:cs="arial"/>
          <w:color w:val="000000"/>
          <w:sz w:val="20"/>
          <w:lang w:val="en-US" w:eastAsia="en-US" w:bidi="ar-SA"/>
        </w:rPr>
        <w:t xml:space="preserve"> (B.C.C.A) per Taggart, J.A. at 405.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question is whether a finding that the settling defendants were not at fault (and so were not "concurrent tortfeasors" or "wrongdoers") should prevent application of the rule against double recovery. In my opinion, it should not. Despite Mr. Jordan's arguments, I see no true analogy between the settlement money and proceeds from an insurance policy paid for by the plaintiff, or a trust fund of donations.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settling defendants paid money to the plaintiff to settle his claims against them. The subject matter of the settlement was the same as the claims advanced by the plaintiff at trial, namely, his claim for damages for the injuries he sustained in the accident of February 19, 1999. The plaintiff received money from the settling defendants in respect of those claims, to compensate him for his injuries. If he is not required to deduct his settlement money from the damages awarded at trial, then in my judgment he will be compensated for more than the full amount of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Settlement money is generally paid by a defendant to eliminate the risks that the plaintiff would not only succeed in his claims at trial, but would recover as much or more than the settlement amount. In most lawsuits that are settled before trial, no trial is ever held, and so no one knows what the court's judgment would have been. But in my opinion, the fact that the plaintiff seeks to attribute fault to the settling defendants in a subsequent trial against other defendants, and fails, should not change the effect of the settlement. If the plaintiff is not required to account for the settlement monies, I think there would be a double recovery, in violation of a fundamental principle of tort law: Ratych v. Bloomer </w:t>
      </w:r>
      <w:hyperlink r:id="rId978"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w:t>
      </w:r>
      <w:hyperlink r:id="rId978" w:history="1">
        <w:r>
          <w:rPr>
            <w:rFonts w:ascii="arial" w:eastAsia="arial" w:hAnsi="arial" w:cs="arial"/>
            <w:i/>
            <w:color w:val="0077CC"/>
            <w:sz w:val="20"/>
            <w:u w:val="single"/>
            <w:shd w:val="clear" w:color="auto" w:fill="FFFFFF"/>
            <w:lang w:val="en-US" w:eastAsia="en-US" w:bidi="ar-SA"/>
          </w:rPr>
          <w:t>69 D.L.R. (4th) 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Accordingly, I have concluded that there should be a deduction for the settlement money. However, Mr. Jordan has submitted in the alternative that, if deduction is to be ordered, the amount deducted should not include the plaintiff's legal fees properly incurred to achieve the settlement. Mr. Jordan did not expand on this aspect of his argument, and did not cite any authority in support of it. Nor did Mr. Yule refer to this issue in his reply. I note that no reduction for legal fees was made in Dixon v. British Columbia, supra, or in Lawson v. Burns </w:t>
      </w:r>
      <w:hyperlink r:id="rId979" w:history="1">
        <w:r>
          <w:rPr>
            <w:rFonts w:ascii="arial" w:eastAsia="arial" w:hAnsi="arial" w:cs="arial"/>
            <w:i/>
            <w:color w:val="0077CC"/>
            <w:sz w:val="20"/>
            <w:u w:val="single"/>
            <w:shd w:val="clear" w:color="auto" w:fill="FFFFFF"/>
            <w:lang w:val="en-US" w:eastAsia="en-US" w:bidi="ar-SA"/>
          </w:rPr>
          <w:t>[1976] 6 W.W.R. 362</w:t>
        </w:r>
      </w:hyperlink>
      <w:r>
        <w:rPr>
          <w:rFonts w:ascii="arial" w:eastAsia="arial" w:hAnsi="arial" w:cs="arial"/>
          <w:color w:val="000000"/>
          <w:sz w:val="20"/>
          <w:lang w:val="en-US" w:eastAsia="en-US" w:bidi="ar-SA"/>
        </w:rPr>
        <w:t xml:space="preserve"> (Aikins, J.), but that may not be the end of the matter. For example, in circumstances where an insurer claims subrogation rights in respect of settlement money received by the insured, the plaintiff may be permitted to deduct the legal fees incurred in obtaining the settlement: Confederation Life Insurance Company v. Causton </w:t>
      </w:r>
      <w:hyperlink r:id="rId980" w:history="1">
        <w:r>
          <w:rPr>
            <w:rFonts w:ascii="arial" w:eastAsia="arial" w:hAnsi="arial" w:cs="arial"/>
            <w:i/>
            <w:color w:val="0077CC"/>
            <w:sz w:val="20"/>
            <w:u w:val="single"/>
            <w:shd w:val="clear" w:color="auto" w:fill="FFFFFF"/>
            <w:lang w:val="en-US" w:eastAsia="en-US" w:bidi="ar-SA"/>
          </w:rPr>
          <w:t>(1989) 38 B.C.L.R. (2d) 69</w:t>
        </w:r>
      </w:hyperlink>
      <w:r>
        <w:rPr>
          <w:rFonts w:ascii="arial" w:eastAsia="arial" w:hAnsi="arial" w:cs="arial"/>
          <w:color w:val="000000"/>
          <w:sz w:val="20"/>
          <w:lang w:val="en-US" w:eastAsia="en-US" w:bidi="ar-SA"/>
        </w:rPr>
        <w:t xml:space="preserve"> (C.A.). If Mr. Jordan wishes to pursue this point, I will entertain further written submissions from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meantime, I direct that the relevant settlement documents be produced, and copies provided to Mr. Yule. It may turn out that counsel will be able to agree on the amount that should be deducted from the plaintiff's judgement for damages against the trial defendants. If so, counsel should so inform me through the District Registrar, and the final order may be entered without the necessity of further proceedings. If not, further submissions should be made promptly.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order to be consistent with these reasons, my earlier reasons for judgement should be read as if the following changes were made: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sentence of paragraph 2 should read as follows: "The plaintiff has recently settled his claim against three other persons who were formerly defendants."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sentence of paragraph 31 should read as follows: "I therefore find that the defendants Jubenville and Hanna are jointly and severally liable to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64 should be deleted, and the following inserted: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"[64] The plaintiff will have judgment for $809,425, against the defendants Hanna and Jubenville, subject to any deduction that is determined to be proper in respect of the settlement money received by the plaintiff from the three former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Before concluding these reasons, I wish to comment on the procedure followed at the trial. It appeared from Mr. Jordan's submissions that he expected the issue of deduction of the settlement money to be raised at the trial. With the benefit of hindsight, I think what should have happened, was this. After informing me generally of the settlement, the dismissal of the third party proceedings relating to the settling defendants, and the amendments to the pleadings that resulted, Mr. Jordan should have told me that the issue of whether the settlement money should be deducted, had been pleaded, and was in dispute. He was right not to disclose the amount of the settlement at that point, but he should have asked that consideration of the deduction issue be deferred, until after liability had been apportioned, and damages had been assessed. (In my view, that is the proper time to resolve this issue.) However, I do not fault Mr. Jordan for handling the matter in the way he did. Had I been more familiar with "B.C. Ferries type" settlements, I would have made further inquiries of counsel, to be sure I understood the effect of the settlement, and I would then have made sure I dealt with and decided the issue, before ordering judgment for a certain sum in damages. Unfortunately, I was not as familiar with this kind of settlement, as I should have been, and my initial error as to the effect of the settlement led me to mistakenly assume that there was no issue of deduction to be dealt with. The fault was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would not impose any of the obligations on the defendant Jubenville that were proposed by Mr. Jordan, as a condition of reopening the trial. However, although counsel have not yet addressed the issue, I think costs of the present application should be paid by the defendant Jubenville.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Hunt v. Ugre, [2012] B.C.J. No. 2410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30-31, February 1-3, 6-7 and April 30,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S095976, M063844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2410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George Hunt, Plaintiff, and Jasbir Sing Ugre, Sultant Sweet Shop &amp; Restaurant and DaimlerChrysler Financial Services Canada Inc., Defendants And between George Hunt, Plaintiff, and Aung Tin and Mar Lar Win,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0" w:name="Keywords_45"/>
      <w:bookmarkEnd w:id="320"/>
      <w:r>
        <w:rPr>
          <w:rFonts w:ascii="arial" w:eastAsia="arial" w:hAnsi="arial" w:cs="arial"/>
          <w:b/>
          <w:color w:val="000000"/>
          <w:sz w:val="20"/>
          <w:lang w:val="en-US" w:eastAsia="en-US" w:bidi="ar-SA"/>
        </w:rPr>
        <w:t>Damages — Physical and psychological injuries — Physical injuries — Body injuries — Back — Soft tissue — Action by Hunt for damages for personal injuries sustained in two motor vehicle accidents in 2004 and 2007 allowed in part — Hunt was seeking $100,000 in non-pecuniary damages in addition to other damages — Hunt suffered soft tissue injuries to his back in the accidents — However, the primary source of Hunt's psychiatric condition was his marital separation and his termination from his employment — Damages were therefore assessed only in relation to his soft tissue injuries, which had mostly resolved by 2008 — Hunt was awarded $52,800 in damages, which included $40,000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Retroactive loss of income — Special damages — Expenses and expenditures — Non-pecuniary loss — Pain and suffering — Action by Hunt for damages for personal injuries sustained in two motor vehicle accidents in 2004 and 2007 allowed in part — Hunt was seeking $100,000 in non-pecuniary damages in addition to other damages — Hunt suffered soft tissue injuries to his back in the accidents — However, the primary source of Hunt's psychiatric condition was his marital separation and his termination from his employment — Damages were therefore assessed only in relation to his soft tissue injuries, which had mostly resolved by 2008 — Hunt was awarded $52,800 in damages, which included $40,000 in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1" w:name="Case Summary_43"/>
            <w:bookmarkEnd w:id="3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Hunt for damages for personal injuries sustained in two motor vehicle accidents. In October 2004, Hunt's vehicle was stationary when it was struck by a Jeep. In November 2007, Hunt was a passenger in a taxi that was rear-ended. The defendants admitted liability for the accidents. While it was uncontroversial that Hunt suffered soft tissue injuries to his back in the accidents, the defendants took the position that Hunt failed to prove that he suffered from a disabling somatoform disorder caused by the accidents. Hunt was seeking $100,000 in non-pecuniary damages, $3000 in special damages and damages for past income loss as well as loss of future earning capacity. The Defence took the position that non-pecuniary damages should be assessed in the range of $25,000 to $40,000.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2" w:name="Holdings of Court_41"/>
            <w:bookmarkEnd w:id="32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Hunt suffered from a psychiatric condition and was not feigning his symptoms. However, the primary source of Hunt's emotional distress was his marital separation and his termination from his employment. He therefore failed to establish a causal connection between the accidents and his psychiatric problems. His damages were assessed only in relation to his soft tissue injuries. Those injuries caused him pain and suffering but had mostly resolved by 2008. Hunt was awarded $52,800 in damages, which included $40,000 in non-pecuniary damages, $10,800 for past wage loss and $2000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3" w:name="Counsel_46"/>
      <w:bookmarkEnd w:id="3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2"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W. Knutson,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Jones and A. Kim.</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4" w:name="Judgment_46"/>
      <w:bookmarkEnd w:id="324"/>
      <w:r>
        <w:pict>
          <v:line id="_x0000_s1253" style="position:absolute;z-index:2518087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5" w:name="D.J. DARDI J._1"/>
            <w:bookmarkEnd w:id="325"/>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58-year old plaintiff, George Hunt, was involved in two motor vehicle accidents, one on October 28, 2004 (the "2004 Accident"), and the other on November 28, 2007 (the "2007 Accident"). In these reasons, I will refer to these two accidents collectively as the "Accidents". The defendants admit liability for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issue in this action is the assessment of Mr. Hunt's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uncontroversial that Mr. Hunt suffered injuries in the Accidents but the defendants vigorously dispute the quantum of damages he claims. The principal controversy is whether Mr. Hunt currently suffers from a disabling somatoform disorder and, if so, whether the Accidents caused that condition. The primary contention of the defence on this point is that Mr. Hunt has failed to prove his case. The defendants also assert that Mr. Hunt has failed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unfortunate constellation of Mr. Hunt's various medical afflictions compounds the complexity of the assessment of damages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It is common ground that the injuries sustained by Mr. Hunt in the two Accidents are indivisible and that for purposes of this trial the Court need not consider an apportionment of damages between the defendants: see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Before addressing the damages analysis, I turn to the facts established on the evidence. I will address the facts in the following order:</w:t>
      </w:r>
      <w:r>
        <w:rPr>
          <w:rFonts w:ascii="arial" w:eastAsia="arial" w:hAnsi="arial" w:cs="arial"/>
          <w:sz w:val="20"/>
          <w:lang w:val="en-US" w:eastAsia="en-US" w:bidi="ar-SA"/>
        </w:rPr>
        <w:cr/>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background;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Hunt's medical condition pre-2004 Accident;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2004 Accident;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2007 Accident to date of trial;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Hunt's current circumstances;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Hunt, his wife and six-year old son emigrated from Russia to Canada in October 1996, primarily for political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Russia, Mr. Hunt attended university and acquired the credentials to become a geologist. Thereafter, until his immigration to Canada, he worked in various positions which generally related to geology.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Hunt's English skills were modest and after arriving in Vancouver, both he and his wife enrolled in ESL courses. His wife obtained employment as a library assistant and she eventually became a teacher. From approximately 1998 through 2001, Mr. Hunt was the primary caregiver for his son. From 1997 to 2002, Mr. Hunt enrolled in a number of courses to upgrade his education and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Hunt was unable to find work as a geologist and in 2002 he began working as a security patrol officer with Paladin Security Group Ltd. ("Paladin").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Hunt's Medical Condition Pre-2004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late 1990s, Mr. Hunt developed symptoms related to loss of balance, dizziness and ringing in his ears. He was diagnosed with Ménière's disease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December 2002, Dr. Vorobeychik became Mr. Hunt's family doctor and he has continued to see her on a regular basis since that time. The evidence shows that from December 2002 up until the date of the 2004 Accident, Mr. Hunt saw Dr. Vorobeychik 35 times. In the same period, Dr. Vorobeychik made 7-8 specialist referrals for Mr.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Hunt was involved in a prior motor vehicle accident on January 3, 2003 ("the 2003 Accident"). Although Mr. Hunt did not miss any work following this accident, he did attend physiotherapy treatments for the injuries he sustained. In Mr. Hunt's written report dated March 30, 2003, to Dr. Vorobeychik regarding the 2003 Accident, he described his symptoms as numbness/tingling in his left arm, mid-back pain, difficulties sleeping, memory loss and groin pain. In cross-examination, Dr. Vorobeychik agreed that most of these symptoms pre-existed the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February 3, 2003, during his bike patrol at Paladin, Mr. Hunt fell off his bike. He reported complaints of left arm numbness.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January 11, 2004, he reported to Dr. Vorobeychik that he had fallen and suffered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Hunt sustained another work-related injury when he fell off his bike on July 1, 2004. His complaints included headaches and abrasions.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shows that prior to the 2004 Accident, Mr. Hunt sought medical treatment for:</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and back pain;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leg and groin pain;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arm numbness;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shin splints;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wrist problems;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his feet;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and anxiety problems for which he was periodically prescribed medication, including Clonazepam;</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 and memory issues;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tenderness throughout his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Hunt acknowledged in cross-examination that prior to the 2004 Accident he had always been concerned with managing his own health. He contacted his doctor regarding "any disturbance" to his body and sought consultations with various specialists "just in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Hunt and his wife were travelling on East 22 Avenue - near the intersection of East 22 Avenue and Rupert Street - in Vancouver, B.C., when their vehicle which was stationary, was hit by a Jeep which emerged from an alley on their left. Mr. Hunt was wearing a seatbelt. The defendant's vehicle collided with the left front corner of Mr. Hunt's vehicle, and his vehicle sustained approximately $5,000 in damage. Mr. Hunt exchanged information with the driver and drove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Hunt suffered soft tissue injuries primarily to his mid-back. In addition, Mr. Hunt initially complained of chest pain, dizziness, shortness of breath, nausea and weakness and numbness in his legs, but those symptoms resolved after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Within a few days of the 2004 Accident, Mr. Hunt returned to work as a site supervisor at Paladin, however, his attempted return to work was unsuccessful. He continued to report back pain, headache symptoms and problems with insomnia to Dr. Vorobeychik. She prescribed anti-inflammatory and sleeping medication. Mr. Hunt attended physiotherapy, massage therapy, chiropractic treatments and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Hunt returned to his job at Paladin on or about January 25, 2005. After a few days of work, he was asked to meet with his superiors. At the meeting, which Mr. Hunt described as "an interrogation", he was dismissed. As a result of the incident on January 25, 2005, the evidence shows that Mr. Hunt experienced an acute anxiety attack and was taken to the hospital by ambulance. His termination clearly was a very significant and stressful event for Mr.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 letter dated January 31, 2005 ('the Letter"), Mr. Hunt informed Dr. Vorobeychik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two years, I have had acquired health problems with my Company's Labour Conditions. </w:t>
      </w:r>
      <w:r>
        <w:rPr>
          <w:rFonts w:ascii="arial" w:eastAsia="arial" w:hAnsi="arial" w:cs="arial"/>
          <w:color w:val="000000"/>
          <w:sz w:val="20"/>
          <w:u w:val="single"/>
          <w:lang w:val="en-US" w:eastAsia="en-US" w:bidi="ar-SA"/>
        </w:rPr>
        <w:t>This has made me an invalid now</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Letter, Mr. Hunt describes the various conditions that he acquired while working with Paladin, including "neuroses", digestive system problems due to lack of lavatory facilities and shin-split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concludes his Letter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above and my health problems, I have acquired working with Paladin Security Group ... That has made me not only able to any job now but also living with pains on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Hunt remained off work for three months. In March 2005, Dr. Vorobeychik found Mr. Hunt to be fit to return to work. Mr. Hunt conceded in cross-examination that by April 2005 his back pain had improved and that he was sleeping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Although Dr. Vorobeychik does not recall this incident, Mr. Hunt says that he injured his back in 2005 when he was disembarking from a bus. In his testimony, Mr. Hunt described "very strong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According to Mr. Hunt, in April 2005, he had missed the seasonal opportunity to apply for positions as a geologist. He therefore applied for security guard jobs but without any success. Mr. Hunt received unemployment insurance benefits and in late 2005, he was referred to the Neil Squire Society, an organization which assists unemployed persons to return to the workplace. They assisted Mr. Hunt in pursuing employment with geological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March 2006, Mr. Hunt obtained a geology-related position with Gibraltar Mines Ltd. ("Gibraltar"). He was employed at a mine site from March 12, 2006, to June 1, 2006. He was not asked to return for reasons that were not established on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early fall of 2006, Mr. Hunt was in the process of securing further employment as a geologist and he had received expressions of interest from various recruiting firms and exploration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Unfortunately, in September 2006, Mr. Hunt's wife and son left him. This resulted in an incident in which police officers attended his home. The reasons for his marital separation were not established on the evidence. It is common ground that this was a very devastating and traumatic experience for Mr. Hunt. Mr. Hunt became very depressed and he recounted an incident in September 2006 when he broke down crying in a job interview. The evidence supports a finding that Mr. Hunt became socially isolated after the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October 2006, Dr. Vorobeychik referred Mr. Hunt to a psychiatrist, Dr. Levin, who treated Mr. Hunt from October 2006 until April 1, 2008. I will discuss Dr. Levin's diagnosis later in these reasons, in the section on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Hunt was unemployed from June 2006 until May 16, 2007, when he secured work as a geologist with Coast Mountain Geological Ltd ("Coast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October 2007, Mr. Hunt's home was robbed, which he found stressful.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2007 Accident to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evening of November 28, 2007, Mr. Hunt was returning from the airport from his flight home from a northern work camp. The taxi in which he was a passenger was rear-ended on Marine Drive, in Vancouver, B.C. Mr. Hunt conceded that the accident involved minimal impact. No emergency vehicles attended the scene and Mr. Hunt did not seek any immediate medical treatment. Mr. Hunt reported the accident to Dr. Vorobeychik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trial, Mr. Hunt maintained that his primary symptom following the 2007 Accident was inflammation of his whole body. He described "excruciating pain." He also described sleeplessness, headaches, memory loss and increased sensory sensitivity to noise, light and smell.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Vorobeychik's December 15, 2007, report makes no mention of the 2007 Accident. By the time Mr. Hunt reported this accident to Dr. Levin on December 24, 2007, his energy and motivation had improved and he had discontinued all medication except for the pre-accident prescription for Clonazepam.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Hunt returned to work at Coast Mountain on February 28, 2008. He continued to work there until he was laid off on October 3, 2008, because of economic conditions. He has not worked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October 2008, Mr. Hunt was diagnosed with a hearing loss. In late 2008 Mr. Hunt was diagnosed with Type 2 diabetes. In February 2009, a consulting general practitioner, Dr. Venter, diagnosed Mr. Hunt with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September 2010, Dr. Vorobeychik again referred Mr. Hunt to Dr. Levin for treatment of his psychological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Although he was able to walk normally without a cane, Mr. Hunt, for some period of time, persisted in using a cane for support. He initially used a cane on an occasional basis but for some period after April 2009, until at least January 2012, he used it on a more frequent basis. According to Mr. Hunt, after Dr. Vorobeychik advised him that the cane would aggravate his wrist, he eventually ceased using the cane.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will return to Mr. Hunt's overall health condition later in these reasons in the section on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Hunt's Current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Hunt currently lives alone in a rented apartment in Burnaby. He is unemployed and he receives social assistance disability benefits because of his Ménière's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Hunt's existence is primarily devoted to chronicling and seeking treatment of his various symptoms. He takes prescription and non-prescription medication. He periodically updates a lengthy document for his treating doctors, in order that they can adjust his treatments to the "proper level." In this document, he records his condition, his daily schedule and a list of his prescription and non-prescription medication. Mr. Hunt takes his vital signs daily and records the results in a database. The photographs of his self-help devices and equipment were tendered in evidence. He has even set up a system of fans in his bathroom where he can blow warm air on himself when he is taking a bath. His array of self-help devices was aptly described by Mr. Hunt's counsel as "prodigious".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relied on the expert evidence of Dr. Vorobeychik, Dr. Levin and Dr. Venter. Each of the doctors attended for cross-examination at trial. The key portions of their reports are summarized below.</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Vorobeychik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Vorobeychik, Mr. Hunt's family doctor prepared three reports dated December 15, 2007, July 6, 2010 and November 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her first report dated December 15, 2007, she addresses the physical injuries that Mr. Hunt sustained in the 2004 Accident. On physical examination following the 2004 Accident, Mr. Hunt was tender in the paracervical and paravertebral muscles. The range of motion in his cervical and lumbar spine was reduced. As I mentioned earlier, she recommended that Mr. Hunt take anti-inflammatory medication and attend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Although Dr. Vorobeychik acknowledged in cross-examination that Mr. Hunt was injured in the 2003 Accident, she stated that he did not complain of back pain immediately prior to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I mentioned earlier, Dr. Vorobeychik makes no mention of the 2007 Accident in her first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of December 2007, Mr. Hunt reported only marginal improvement in his condition and he continued to complain about chronic back pain, weakness in his legs, depression and headaches. According to Dr. Vorobeychik, he developed psychological symptoms, such as sleep and mood disorders, irritability and loss of confidence and motivation.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of December 15, 2007, Dr. Vorobeychik was of the opinion that despite his medical problems, Mr. Hunt was 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Dr. Vorobeychik stated that Mr. Hunt experienced subsequent secondary losses relating to his marital and employment problems, she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he had no pre-existing psychiatric disorders, his depression is most likely related to the MVA and is compounded by the lack of visible improvement in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July 6, 2010, Dr. Vorobeychik updated her December 15, 2007, report. In her second report, she stated that Mr. Hunt's complaints of chronic neck and back pain and stiffness, memory problems, headaches, disturbed sleep, fatigue, emotional distress, depression, anxiety, diabetes, hypertension, multiple chemical skin sensitivities and Ménière's disease with episodic vertigo attacks, were triggered by the physical trauma incurred as a result of the 2004 and 2007 Accidents and "subsequent psychological stressors." However, in cross-examination, she acknowledged that his diabetes, hypertension, skin sensitivities and Ménière's disease were not related to the Accidents. She also conceded that the chronic neck and back pain stiffness (worse with exertion or sustained static postures), memory problems, headaches, disturbed sleep, fatigue, emotional distress, depression and anxiety, all "generally" pre-existed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her final report dated November 6, 2011, Dr. Vorobeychik opined that Mr. Hunt's condition has not improved, and that he continued to suffer from multiple health and related social problems which she described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fibromyalgia; chronic neck and back pain;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fatigue; sleep disturbance; depression; emotionability; anxiety; decreased concentration;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diabetes;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hypertension;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balance; dizziness;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disability managing daily affairs;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with returning to work resulting in social problems and interpersonal issues (2010-2011).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her final report, Dr. Vorobeychik stated that her general assessment of Mr. Hunt's health issues had not changed; she concluded that his health issues are "intertwined with adverse social and psychological factors and litigation."</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Venter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Venter is a family practice physician, with a special interest in fibromyalgia. He assessed Mr. Hunt on February 20, 2009. He prepared a report dated March 25,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 to Dr. Venter, fibromyalgia syndrome is not clearly understood; he described it as a chronic pain illness in which the central nervous system is hypersensitive or overactive.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Venter diagnosed Mr. Hunt with fibromyalgia syndrome because he found 11 out of 18 tender points "as per the 1990 American College of Rheumatology Criteria." He opined that there is a high probability that Mr. Hunt's fibromyalgia syndrome was "triggered or flared-up" by the two Accidents. Dr. Venter's opinion was founded upon Mr. Hunt's self-report that prior to the Accidents he was a "very active geologist" and had not experienced any chronic wide-spread pain.</w:t>
      </w:r>
      <w:r>
        <w:rPr>
          <w:rFonts w:ascii="arial" w:eastAsia="arial" w:hAnsi="arial" w:cs="arial"/>
          <w:sz w:val="20"/>
          <w:lang w:val="en-US" w:eastAsia="en-US" w:bidi="ar-SA"/>
        </w:rPr>
        <w:cr/>
      </w:r>
    </w:p>
    <w:p>
      <w:pPr>
        <w:numPr>
          <w:numId w:val="2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Levin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Levin is Mr. Hunt's treating psychiatrist. As I mentioned earlier, Dr. Vorobeychik initially referred Mr. Hunt for psychiatric assessment and treatment in October 2006, after his marital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initial psychiatric assessment with Dr. Levin on October 27, 2006, Mr. Hunt attributed his psychological and emotional problems to his marital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Levin prescribed Seroquel and Celexa and reduced Mr. Hunt's dosage of Clonazepam which he had been taking prior to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Levin saw Mr. Hunt on December 18 and December 27, 2006, and then on a monthly basis from February through June, on August 7, 2007, and October 26, 2007. They had a follow-up appointment on April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his first report dated March 2, 2010, Dr. Levin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Overall, it seems that Mr. Hunt's physical injuries and chronic perception of pain caused him the development of adjustment disorder. His stressors accumulated and he most likely at some point developed a major depressive episode complicated by chronic pain. </w:t>
      </w:r>
      <w:r>
        <w:rPr>
          <w:rFonts w:ascii="arial" w:eastAsia="arial" w:hAnsi="arial" w:cs="arial"/>
          <w:color w:val="000000"/>
          <w:sz w:val="20"/>
          <w:u w:val="single"/>
          <w:lang w:val="en-US" w:eastAsia="en-US" w:bidi="ar-SA"/>
        </w:rPr>
        <w:t>It is evident that Mr. Hunt's psychiatric condition was mainly caused by the pain related to the injuries that he sustained in these motor vehicle accidents (October 28, 2004 and November 28, 2007</w:t>
      </w:r>
      <w:r>
        <w:rPr>
          <w:rFonts w:ascii="arial" w:eastAsia="arial" w:hAnsi="arial" w:cs="arial"/>
          <w:color w:val="000000"/>
          <w:sz w:val="20"/>
          <w:lang w:val="en-US" w:eastAsia="en-US" w:bidi="ar-SA"/>
        </w:rPr>
        <w:t>). Mr. Hunt's underlying situational stressors and family dynamics probably also played a significant role in his somatization phenomena and in the development of pain disorder as a psychiatric condition. However, with treatment he was able to return to gainful employment. Given Mr. Hunt's tendencies for somatization, his prognosis for recovery, however, remains guarded.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I mentioned earlier, in September 2010, Dr. Vorobeychik referred Mr. Hunt to Dr. Levin for a continuation of his psychiatric treatment. Since September 2010, Dr. Levin has seen Mr. Hunt regularly, on approximately a monthly basis. Dr. Levin prepared a second report dated October 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September 2010, Dr. Levin's diagnostic impression was that Mr. Hunt's major depressive disorder was complicated by a psychiatric diagnosis of pain disorder. At that time, he suggested that Mr. Hunt start treatment with Cymbalta; he also prescribed Clonazepam.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2010, Mr. Hunt presented with complaints of depression, anxiety, significant fatigue and with what Dr. Levin described as a "significant preoccupation with pain". Dr. Levin was also of the view that Mr. Hunt, who is overweight, presented with features of metabolic syndrome. Dr. Levin attributed the change in Mr. Hunt's metabolism to his depression. Mr. Hunt also presented with underlying obsessive-compulsive and perfectionist personality traits which complicated his clinical presentation. Mr. Hunt reported to Dr. Levin that he was spending the majority of his time managing his pain with different mechanical devices, self-massage with needles, and other unusual therapeutic methods. In his second report, Dr. Levin observed that "Mr. Hunt's conviction of having an incurable medical condition which, in his opinion, doctors cannot adequately diagnose but call 'fibromyalgia' seems to have delusional intensity." Dr. Levin remarked that Mr. Hunt appeared to completely devote his life to activities directed at managing his pain and perceived disabilities, was socially withdrawn and did not appear to have any interest other than researching new methods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Dr. Levin's opinion, from a psychiatric perspective, Mr. Hunt presented with a somatization disorder not otherwise specified, the clinical features of which he explained by referring to the following definition from </w:t>
      </w:r>
      <w:r>
        <w:rPr>
          <w:rFonts w:ascii="arial" w:eastAsia="arial" w:hAnsi="arial" w:cs="arial"/>
          <w:i/>
          <w:color w:val="000000"/>
          <w:sz w:val="20"/>
          <w:lang w:val="en-US" w:eastAsia="en-US" w:bidi="ar-SA"/>
        </w:rPr>
        <w:t>The Comprehensive Textbook of Psychiatry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Characteristics of somatoform disorders are two enduring clinical features: 1. Somatic complaints that suggest major medical maladies yet have no associated serious, demonstrable, peripheral organ disorder; and 2. Psychological factors and conflicts that seem important in initiating, exacerbating, and maintaining the disturbance ... Because of their intense bodily perceptions, restricted level of physical functioning and morbid beliefs, the patients have become convinced they harbor serious physical problems. Moreover, the symptoms are not wilfully controlled. Whatever their faults and problems, the patients are not malingerers. Yet their physicians' physical and laboratory examinations persistently fail to evince significant substantiating data about physical infirmity save for the patient's vigorous and sincere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Levin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Therefore, from a diagnostic perspective, Mr. Hunt presents with a complicated clinical presentation characterized by a combination of chronic depression, somatization disorder NOS</w:t>
      </w:r>
      <w:r>
        <w:rPr>
          <w:rFonts w:ascii="arial" w:eastAsia="arial" w:hAnsi="arial" w:cs="arial"/>
          <w:color w:val="000000"/>
          <w:sz w:val="20"/>
          <w:lang w:val="en-US" w:eastAsia="en-US" w:bidi="ar-SA"/>
        </w:rPr>
        <w:t xml:space="preserve"> [not otherwise specified] </w:t>
      </w:r>
      <w:r>
        <w:rPr>
          <w:rFonts w:ascii="arial" w:eastAsia="arial" w:hAnsi="arial" w:cs="arial"/>
          <w:color w:val="000000"/>
          <w:sz w:val="20"/>
          <w:u w:val="single"/>
          <w:lang w:val="en-US" w:eastAsia="en-US" w:bidi="ar-SA"/>
        </w:rPr>
        <w:t>and metabolic syndrome resulting in ongoing social/occupational dysfunction.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clinical opinion, </w:t>
      </w:r>
      <w:r>
        <w:rPr>
          <w:rFonts w:ascii="arial" w:eastAsia="arial" w:hAnsi="arial" w:cs="arial"/>
          <w:color w:val="000000"/>
          <w:sz w:val="20"/>
          <w:u w:val="single"/>
          <w:lang w:val="en-US" w:eastAsia="en-US" w:bidi="ar-SA"/>
        </w:rPr>
        <w:t>Mr. Hunt's motor vehicle accidents of October 28, 2004 and November 28, 2007 and related physical injuries triggered the onset of his somatic preoccupations and most likely resulted in the development of a somatization disorder NOS complicated by chronic depression and anxiety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Hunt seems to have underlying obsessive-compulsive personality traits, which predisposed him to the development of maladaptive coping strategies and a propensity to dwell/obsess on somatic complaints, expressing his emotional disturbances through physical pain. With time he seems to have become pervasively preoccupied with numerous somatic complaints and physical pain to the extent that he stopped socializing, became socially withdrawn, spending the majority of his time trying to manage his subjectively-perceived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Hunt seems to have co-existent situational stressors (complicated family dynamics, being abandoned by his family), unemployment or loss of employment, etc.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most likely that the motor vehicle accidents in question played a most prominent role in initiating or triggering the onset of his psychiatric disorder and related disabilities.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Hunt's depressive disorder seems to have diminished in its severity but represents chronic depression with underlying anxiety. It seems, however, that the combination of so-called existential depression (with underlying pervasive negativism), tendencies for somatization and maladaptive coping strategies related to his obsessive-compulsive personality disorder makes his prognosis guarded. In my clinical opinion, Mr. Hunt remains disabled from his own occupation or any other occupation for which he is suited by his education and experience.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Dr. Levin's opinion, Mr. Hunt's belief that he has a severe physical disability is of "an unconscious derivation."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Levin expressed the view that Mr. Hunt is reluctant to assume an aggressive psychopharmacological treatment for his underlying chronic depression, as he is convinced that his physical problems are real and would not respond to treatment with any psycho-active agents. Additionally, from a psychotherapeutic perspective, Dr. Levin observed that Mr. Hunt appears to be resistant to any attempts of cognitive restructuring.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Finally, Dr. Levin opined that Mr. Hunt's prognosis for recovery and/or return to a more productive lifestyle remains guarded. As referenced above he is of the view that Mr. Hunt is disabled from working as a geologist or from any other occupation for which he is suited by his education and experience.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Consultation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parties agreed that the consultation reports of the various specialists that Mr. Hunt saw on the recommendation of his family physician would serve as opinion evidence at trial. None of these doctors were required to attend for cross-examination. Their respective reports may be summarized as follows: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O'Connor,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his consultation report dated March 22, 2005, Dr. O'Connor stated that Mr. Hunt presented with low and mid back pain with sub-occipital headaches that were improving. On physical examination, Dr. O'Connor noted some reduced range of motion in Mr. Hunt's back. He also noted tenderness over the lumbosacral junction and the left side of his paraspinal musculature as well as mild tenderness over the thoracolumbar junction. Dr. O'Connor recommended an exercise program and weight loss program for Mr.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 subsequent report dated November 3, 2008, Dr. O'Connor diagnosed chronic and mechanical low back pain and observed that Mr. Hunt's symptoms "seem unchanged." His recommendation was that Mr. Hunt participate in a strength and conditioning program and that, given his "risk factors of morbid obesity and hypertension," he be referred to the rehabilitation program at Burnaby General Hospital. Dr. O'Connor opined that Mr. Hunt did not meet the qualifications for fibromyalgia. He made no arrangements to follow up with Mr. Hunt.</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Luongo, Rheumatologist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Luongo examined Mr. Hunt on April 2, 2008, and noted that Mr. Hunt had multiple chronic pain symptoms and positive tender points. Dr. Luongo concluded that there was no clinical or radiographic evidence of objective rheumatologic pathology to explain Mr. Hunt's ongoing symptoms. He observed evidence of abnormal pain behaviour and exaggerated pain response and that Mr. Hunt was not cooperative with the range of motion testing of his spine. Dr. Luongo made no arrangements for any further follow-up.</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Samad, Otolaryngologist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Hunt was referred to Dr. Samad in relation to his Ménière's disease. He noted that Mr. Hunt was experiencing episodes of imbalance, associated with nausea and vomiting. On May 28, 2008, Dr. Samad notes that his hearing impairment had become progressively worse and that on audiometric testing Mr. Hunt had a "rather severe profound hearing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 Dr. Blokmanis, Otolaryngologist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October 20, 2008, Dr. Blokmanis diagnosed a significant sensorineural hearing loss in Mr. Hunt.</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Masé, Endocrinologist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February 24, 2009, Mr. Hunt consulted Dr. Masé with respect to Mr. Hunt's recent diagnosis of diabetes.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April 10, 2010, Dr. Masé sent a letter to Mr. Hunt's lawyer confirming his opinion that Mr. Hunt's back pain was not related to his diabetes.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Prout,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September 15, 2009, Dr. Prout assessed Mr. Hunt regarding his complaints of memory difficulties arising from the 2007 Accident. He notes that Mr. Hunt provided an "unusual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He found Mr. Hunt's cognitive testing was within normal limits. Dr. Prout was of the view that Mr. Hunt presented with significant non-organic functional issues and a chronic pain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Dr. Prout's opinion, Mr. Hunt did not sustain a brain injury in the 2007 Accident, nor did he diagnose any neurological disorders.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Experts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Hill,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April 19, 2010, Dr. Hill conducted an independent medical examination of Mr. Hunt. He was not required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his report dated April 20, 2010, he opined that in the Accidents Mr. Hunt sustained soft tissue injuries to the cervicothoracic lumbar spine and that Mr. Hunt's "musculoligamentous complaints therefore resulted accordingly." Dr. Hill's diagnosis included "myofascial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was his opinion that Mr. Hunt's prognosis is very guarded. 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view that Mr. Hunt has had adequate treatment from a physical point of view. He has been reviewed by Dr. O'Connor on two occasions and recommendations made for addressing his physical symptoms. However, this is coloured by his mental status which has been described by Dr. Levin and therefore I think this is impacting on his recovery accordingly. He also demonstrated signs of illness behaviour during the course of my examination which only supports the unresolved psychological and emotional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Hill was of the view that other than counselling, there were no further therapeutic measures which would be helpful to Mr. Hunt.</w:t>
      </w:r>
      <w:r>
        <w:rPr>
          <w:rFonts w:ascii="arial" w:eastAsia="arial" w:hAnsi="arial" w:cs="arial"/>
          <w:sz w:val="20"/>
          <w:lang w:val="en-US" w:eastAsia="en-US" w:bidi="ar-SA"/>
        </w:rPr>
        <w:cr/>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Chernick,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Chernick conducted an assessment of Mr. Hunt on June 14, 2010, at the request of the defendants. His report is dated June 16, 2010. Dr. Chernick attended for cross-examination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Hunt refused to stay for a three-hour interview, and imposed a two-hour limit on Dr. Chernick's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Dr. Chernick's opinion, Mr. Hunt has several narcissistic and obsessive-compulsive personality traits which render him susceptible to stress and interpersonal difficulties. He concluded that Mr. Hunt demonstrated the use of somatization as a defence. Dr. Chernick was unable to diagnose a pain disorder within a reasonable degree of medical certainty because he could not opine whether Mr. Hunt's pain was intentionally produced or feigned. In any case, Dr. Chernick opined that neither the 2004 Accident nor the 2007 Accident were the cause of any pain disorder. Dr. Chernick was of the view that the primary psychological stressors for Mr. Hunt were his marital separation and the loss of his employment. 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Hunt's main disability now is his back pain, which may be representative of a Pain Disorder, however if it is, the psychological stressors are multiple, including his wife leaving him, and the fact that he has no contact with his son, and not directly due to the motor vehicle accidents, which were minor psychological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ON MR. HUNT'S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Comments on Mr. Hunt's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defence forcefully asserts that Mr. Hunt's description of his symptoms, both to the consulting specialists and to the Court, is "distorted, unreliable and not credible." A somewhat unique feature of this case is that Mr. Hunt's counsel does not dispute this assertion. He submits that, rather than being fatal to the claim, Mr. Hunt's lack of reliability is vital to the somatoform disorder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is key to observe that the medical experts who assessed Mr. Hunt relied on him, to varying degrees, to describe his history. Their respective medical opinions have been largely based on the constellation of symptoms reported by Mr. Hunt himself. The observations of the Court in </w:t>
      </w:r>
      <w:r>
        <w:rPr>
          <w:rFonts w:ascii="arial" w:eastAsia="arial" w:hAnsi="arial" w:cs="arial"/>
          <w:i/>
          <w:color w:val="000000"/>
          <w:sz w:val="20"/>
          <w:lang w:val="en-US" w:eastAsia="en-US" w:bidi="ar-SA"/>
        </w:rPr>
        <w:t>Fan v. Chana</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xml:space="preserve"> at para. 73 (var'd on other grounds, </w:t>
      </w:r>
      <w:hyperlink r:id="rId988" w:history="1">
        <w:r>
          <w:rPr>
            <w:rFonts w:ascii="arial" w:eastAsia="arial" w:hAnsi="arial" w:cs="arial"/>
            <w:i/>
            <w:color w:val="0077CC"/>
            <w:sz w:val="20"/>
            <w:u w:val="single"/>
            <w:shd w:val="clear" w:color="auto" w:fill="FFFFFF"/>
            <w:lang w:val="en-US" w:eastAsia="en-US" w:bidi="ar-SA"/>
          </w:rPr>
          <w:t>2011 BCCA 516</w:t>
        </w:r>
      </w:hyperlink>
      <w:r>
        <w:rPr>
          <w:rFonts w:ascii="arial" w:eastAsia="arial" w:hAnsi="arial" w:cs="arial"/>
          <w:color w:val="000000"/>
          <w:sz w:val="20"/>
          <w:lang w:val="en-US" w:eastAsia="en-US" w:bidi="ar-SA"/>
        </w:rPr>
        <w:t>), are apt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courts have observed on any number of occasions, the approach taken by medical professionals is not forensic: they assume that the patient is accurately reporting to them and then set about a diagnosis that plausibly fits the pattern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Court's assessment of the credibility and reliability of Mr. Hunt's account of his symptoms to the various professionals who assessed him is a pivotal issue because the conclusions of the experts are premised upon his subjective reporting and perception of his symptoms. The weight that can be given to those experts' opinions ultimately turns on the Court's assessment of Mr. Hunt's evidence at trial and the consistency of that evidence with the information that he previously communicated to the various professionals who treated and assessed him: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949"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21, aff'd </w:t>
      </w:r>
      <w:hyperlink r:id="rId950"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is trite to observe that truthfulness and reliability are not necessarily the same. I find that, for the most part, Mr. Hunt truthfully and accurately testified about matters unrelated to his medical condition. With respect to his medical condition and the various symptoms that he attributes to the Accidents, his evidence can only be described as unreliable. Mr. Hunt's reporting of his symptoms that arose from the Accidents to the various healthcare professionals he consulted was strikingly inconsistent. At trial, Mr. Hunt was unable to convey pertinent information relating to his medical condition and treatments in a coherent fashion. His testimony in this regard was on occasion unresponsive and replete with irrelevant details. On several occasions, Mr. Hunt was impeached on prior inconsistent statements from his examinations for discovery. For the most part, Mr. Hunt was unable to provide a satisfactory explanation for the inconsistencies and he attributed them to either a misunderstanding of the question, his faulty memory or his inability to maintain concentration through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By way of example, Mr. Hunt testified at his examination for discovery that the contents of the Letter that he sent Dr. Vorobeychik were true. However, he denied this at trial. Initially, he attributed this inconsistency to his "memory loss" at the examination for discovery. Later in his testimony, Mr. Hunt recanted his explanation on "memory loss" and instead asserted that he wrote the Letter while he was depressed and "in shock." He also contended that when he wrote the Letter, he had "misunderstood" the cause of his health problems; he maintained that the health problems he enumerates in the Letter were actually caused by the 2004 Accident. His explanation strains credulity and is demonstrably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following observations of the Court in </w:t>
      </w:r>
      <w:r>
        <w:rPr>
          <w:rFonts w:ascii="arial" w:eastAsia="arial" w:hAnsi="arial" w:cs="arial"/>
          <w:i/>
          <w:color w:val="000000"/>
          <w:sz w:val="20"/>
          <w:lang w:val="en-US" w:eastAsia="en-US" w:bidi="ar-SA"/>
        </w:rPr>
        <w:t>Hardychuk v. Johnston,</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10, are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witness' evidence is demonstrably inaccurate, the challenge from an assessment perspective is to identify the likely reason for the inaccuracy, in a cautious, balanced and contextually sensitive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the end, I approach Mr. Hunt's evidence with considerable caution. I found many aspects of Mr. Hunt's evidence regarding his health unreliable but I am not persuaded that Mr. Hunt was deliberately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will address whether Mr. Hunt's complaints of debilitating physical symptoms are genuine in the next section.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Does Mr. Hunt Have a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a starting point, I note that, as I understood his submissions, Mr. Hunt's counsel is not strenuously asserting that there is an organic basis for Mr. Hunt's current chronic pain complaints or that there is any medical pathology to support the notion that Mr. Hunt's symptoms from his soft tissue injuries have persisted. Rather, the primary contention of Mr. Hunt's counsel is that Mr. Hunt currently suffers from a disabling psychiatric condition which his counsel characterizes as either a pain disorder or somatization disorder. The overarching assertion of the defence is that Mr. Hunt has not proven that his complaints are genuine. At the heart of the matter is the question of whether Mr. Hunt currently suffers from a genuine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note parenthetically that I have not overlooked that Mr. Hunt suffers from a variety of medical maladies which have an organic cause, including hearing loss, Ménière's disease and diabetes. However, his counsel does not assert that those conditions are related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courts in this province have endorsed the notion that claims of debilitating pain that persist long past the actual recovery period are notoriously difficult for the Court to assess: </w:t>
      </w:r>
      <w:r>
        <w:rPr>
          <w:rFonts w:ascii="arial" w:eastAsia="arial" w:hAnsi="arial" w:cs="arial"/>
          <w:i/>
          <w:color w:val="000000"/>
          <w:sz w:val="20"/>
          <w:lang w:val="en-US" w:eastAsia="en-US" w:bidi="ar-SA"/>
        </w:rPr>
        <w:t>Sandegren v. Hardy</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(1999), 67 B.C.L.R. (3d) 123</w:t>
        </w:r>
      </w:hyperlink>
      <w:r>
        <w:rPr>
          <w:rFonts w:ascii="arial" w:eastAsia="arial" w:hAnsi="arial" w:cs="arial"/>
          <w:color w:val="000000"/>
          <w:sz w:val="20"/>
          <w:lang w:val="en-US" w:eastAsia="en-US" w:bidi="ar-SA"/>
        </w:rPr>
        <w:t xml:space="preserve"> at para. 1 (C.A.);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 131. The expert evidence of the psychiatrists in this case underscores the complexity of making such a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Initially, Dr. Levin diagnosed Mr. Hunt with an adjustment disorder. Dr. Levin explained that an adjustment disorder is a psychiatric condition which is characterized as the presence of depressive symptoms and anxiety which are caused by well-identifiable stressors. Adjustment disorder is a transient psychiatric condition. When the stressor disappears, it is also anticipated the adjustment disorder will disappear and will resolve spontaneously. In clinical practice, psychiatrists refer to this condition as a "normative reaction to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Levin went on to explain that once an individual has developed depressive and anxiety symptoms in the context of an accumulation of stressors, those symptoms can progress and develop into a more profound clinical depression or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 patient who presents with different symptoms or somatic complaints may be diagnosed with somatoform disorder. According to Dr. Levin, those patients express emotions through physical symptoms. The initiation or maintenance of symptoms - including pain - is related to emotional disturbances or underlying and unconscious psychological conflict. The correlation between emotional issues and the expression of physical symptoms is key to the diagnosis. A somatization disorder can develop in response to a particular event or it can develop gradually over time, in the absence of a specific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According to Dr. Levin, somatization comprises a continuum with non-volitional on one end of the spectrum and intentional malingering on the other end of the spectrum. A somatoform disorder diagnosis requires that a patient's symptoms not be intentionally produced or feigned. Individuals who intentionally exaggerate their symptoms for an external objective such as litigation are diagnosed as malingerers. Psychiatrists diagnose individuals who exaggerate or produce their symptoms with the goal of remaining in the sick or dependent role for internal gain such as sympathy as having a factitious disorder. Dr. Levin acknowledged that it is sometimes difficult to identify the conditions and that sometimes all three conditions can co-exist.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emerges from the expert evidence that psychological issues drive the presenting symptoms in a patient with somatoform disorder. The key criterion to the diagnosis of a genuine somatoform disorder is that the patient must have an unconscious and involuntary belief that they are experiencing the presenting symptoms. Somatization does not require an injury; it only requires that a patient perceive pain or somatic symptoms. If a patient presents with a variety of somatic complaints such as headaches or gastrointestinal problems, the proper diagnosis is somatization disorder. According to Dr. Chernick, a pain disorder is a subtype of somatoform disorder. A diagnosis of pain disorder usually requires some form of physical problems but the pain must be out of proportion to the objective medical evidence of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expert evidence establishes that a psychiatric diagnosis of somatoform disorder is fundamentally grounded in the psychiatrist's understanding of the patient's background and the identification of the emotional distress that has initiated a contribution to the worsening of his or her somatic complaints. As I mentioned earlier the key criterion for such a diagnosis is that the presentation not be volitional. Dr. Levin characterized this as a "tricky, tricky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Chernick emphasized in his testimony that he was unable to diagnose whether or not Mr. Hunt suffers from a pain disorder because he could not determine whether or not Mr. Hunt was feigning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contrast, Dr. Levin, although acknowledging that there may be volitional aspects to his presentation, opined that Mr. Hunt's belief in his physical disability is of an "unconscious derivation."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Ultimately, this is a question to be determined by the Court, taking into account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Levin observed that Mr. Hunt who has a tendency to underestimate most physicians' knowledge and experience and to question their competence. The Court's impression is that Mr. Hunt to a large extent has assumed responsibility for healing himself because he genuinely believes that he has not received proper treatment from the numerous physicians that have assessed him. He presented as being distrustful of many healthcare professionals and increasingly frustrated with their inability to make an accurate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complexity of assessing Mr. Hunt's preoccupation with his health is compounded by the fact that Mr. Hunt has medical conditions which demonstrably have organic causes. On my best assessment, however, Mr. Hunt currently experiences physical symptoms, for which there is no medical explanation or demonstrable organic cause; his perception of his symptoms does not accord with his physical condition. By way of illustration, in some assessments and consultations, Mr. Hunt insisted that he was experiencing difficulties with memory loss. This is not supported by any objective evidence. Notably, Mr. Hunt experiences numbness and weakness in his legs as a reaction to stress. In his March 2, 2010, report Dr. Levin notes a correlation between Mr. Hunt's emotional distress and his perception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Levin's opinion that Mr. Hunt expresses emotional disturbances through somatic complaints is consistent with the findings of many of the specialists to whom Mr. Hunt has been referred to over the years. Frequently, those specialists were unable to find a basis for Mr. Hunt's complaints within the context of their own discipline. As Dr. Levin pointed out, he would expect to see reports from consulting specialists which express skepticism regarding the physical basis of Mr. Hunt's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evidence overwhelmingly establishes that Mr. Hunt is preoccupied with his health. As I have previously referenced, he utilizes a vast array of self-help devices.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On the totality of the evidence and applying the principles established by the Court of Appeal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I have concluded that Mr. Hunt does have a genuine psychiatric condition. I find some of Mr. Hunt's somatic complaints are too outlandish to be feigned. I accept that Mr. Hunt genuinely experiences pain and other somatic symptoms for which there is no demonstrable organic cause. He has genuinely persuaded himself that he suffers from a debilitating physical condition which is very real to him and causes him significant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Chernick's view was that - if Mr. Hunt is found to be not feigning his symptoms - his complaints of back pain could be representative of a pain disorder. Dr. Levin diagnosed chronic depression and the type of somatization disorder which plagues Mr. Hunt as NOS, not otherwise specified. A careful review of the evidence shows that while Mr. Hunt complains of back pain, he also reports pain throughout his body. In his testimony at trial, he referred to his daily thigh pain. In cross-examination, Mr. Hunt described as suffering from pain and wide-spread tenderness throughout his body including his toes. Mr. Hunt continues to report a variety of somatic complaints - including numbness in his left arm, leg weakness and a shin-split problem - to both Dr. Levin and Dr. Vorobeychik.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On my best assessment, I find that Mr. Hunt suffers from a psychiatric condition and that he is not feigning his symptoms. I conclude that it is not necessary to determine whether Mr. Hunt suffers from a pain disorder, major depressive disorder, or somatoform disorder NOS, or for the Court to determine as a matter of medical diagnosis how Mr. Hunt's psychiatric condition is properly described: </w:t>
      </w:r>
      <w:r>
        <w:rPr>
          <w:rFonts w:ascii="arial" w:eastAsia="arial" w:hAnsi="arial" w:cs="arial"/>
          <w:i/>
          <w:color w:val="000000"/>
          <w:sz w:val="20"/>
          <w:lang w:val="en-US" w:eastAsia="en-US" w:bidi="ar-SA"/>
        </w:rPr>
        <w:t>Scott v. Erickson,</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2009 BCSC 1298</w:t>
        </w:r>
      </w:hyperlink>
      <w:r>
        <w:rPr>
          <w:rFonts w:ascii="arial" w:eastAsia="arial" w:hAnsi="arial" w:cs="arial"/>
          <w:color w:val="000000"/>
          <w:sz w:val="20"/>
          <w:lang w:val="en-US" w:eastAsia="en-US" w:bidi="ar-SA"/>
        </w:rPr>
        <w:t xml:space="preserve">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order to justify any compensation for his psychiatric condition, Mr. Hunt must establish a causal connection between the defendants' unlawful acts and his condition. This is a factual question;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Causation is very much at issue. Mr. Hunt submits that he has met the burden of proving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development of his current psychological problems. The defence forcefully submits that he has not discharged his burden.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It is crucial to keep in mind the analytical distinction between determining causation and assessing damages, since difference principles govern the two questions: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at para. 79;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993"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paras. 35-36. Whether a defendant is liable to a plaintiff for an injury is a matter of causation. I will return to the principles which govern the assessment of damages later in these reasons in the section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primary test to be applied in determining causation is commonly articulated as the "but for" test. The plaintiff bears the burden of showing that "but for" the negligent act or omission of the defendant, the plaintiff's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"but for" test need not be determined with scientific precision. Rather, causation is to be proven on a balance of probabilities: the plaintiff must show that it is more likely than not that, without the tort, that the injury or medical condition would not have occurred. The plaintiff need not establish that a defendant's tortious conduct is the sole cause of the injury. The defendant will be fully liable for the harm suffered by a plaintiff, even if other causal factors for which he is not responsible were at play, as long as the plaintiff establishes a substantial connection between the injuries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paras. 9 and 11;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95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Court must be cautious when inferring causation from a temporal sequence; that is, from a consideration of pre-accident versus post-accident condition. In cases where causation is asserted primarily on a temporal relationship between the negligent conduct and injury in question, the authorities mandate that a "close scrutiny of the evidence is required because the inference from a temporal sequence to a causal connection is not always reliable":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 130. See also: </w:t>
      </w:r>
      <w:r>
        <w:rPr>
          <w:rFonts w:ascii="arial" w:eastAsia="arial" w:hAnsi="arial" w:cs="arial"/>
          <w:i/>
          <w:color w:val="000000"/>
          <w:sz w:val="20"/>
          <w:lang w:val="en-US" w:eastAsia="en-US" w:bidi="ar-SA"/>
        </w:rPr>
        <w:t>Madill v. Sithivong,</w:t>
      </w:r>
      <w:r>
        <w:rPr>
          <w:rFonts w:ascii="arial" w:eastAsia="arial" w:hAnsi="arial" w:cs="arial"/>
          <w:color w:val="000000"/>
          <w:sz w:val="20"/>
          <w:lang w:val="en-US" w:eastAsia="en-US" w:bidi="ar-SA"/>
        </w:rPr>
        <w:t xml:space="preserve"> </w:t>
      </w:r>
      <w:hyperlink r:id="rId994" w:history="1">
        <w:r>
          <w:rPr>
            <w:rFonts w:ascii="arial" w:eastAsia="arial" w:hAnsi="arial" w:cs="arial"/>
            <w:i/>
            <w:color w:val="0077CC"/>
            <w:sz w:val="20"/>
            <w:u w:val="single"/>
            <w:shd w:val="clear" w:color="auto" w:fill="FFFFFF"/>
            <w:lang w:val="en-US" w:eastAsia="en-US" w:bidi="ar-SA"/>
          </w:rPr>
          <w:t>2012 BCCA 62</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995"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at paras. 74-75.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When assessing medical evidence how should the courts approach causation? The Court in </w:t>
      </w: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996"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at paras. 144-146 (var'd on other grounds, </w:t>
      </w:r>
      <w:hyperlink r:id="rId997"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provides the following helpful formulation of the principles which inform the Court's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the "but for" test is to be proved on a balance of probabilities, rather than a standard of scientific certainty, great care must be had in assessing medical evidence. The human condition is incredibly complex. The precise biological, biochemical or molecular mechanisms causing many medical conditions are often not known and may not be known for lifetimes to come, and for the same reason, prognosis and treatment is also often not certain. In cases where medical causation cannot by its very nature be proven with certainty, medical experts may not be comfortable stating a black-and-white opinion as to what "caused" a patient's condition. Often medical evidence refers to known "risk factors" for medical conditions, or a number of causes, precisely because of the expert's discomfort in assigning one "cause" to a complex medical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determining causation in the legal context, courts must be mindful to assess the import and substance of the expert opinion evidence, and to be cautious about the wording used by the experts so as to not unduly discount or over-weigh the expert's choice of language when describing medical causation. </w:t>
      </w:r>
      <w:r>
        <w:rPr>
          <w:rFonts w:ascii="arial" w:eastAsia="arial" w:hAnsi="arial" w:cs="arial"/>
          <w:color w:val="000000"/>
          <w:sz w:val="20"/>
          <w:u w:val="single"/>
          <w:lang w:val="en-US" w:eastAsia="en-US" w:bidi="ar-SA"/>
        </w:rPr>
        <w:t>Ultimately causation is a question for the court, taking into account the evidence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for the court to keep in mind that all that is required to determine these complex medical issues in the context of causation is for the plaintiff to prove what is more likely than not. This is what is meant by the "but for" test: it is more likely than not, that without the tort, the injury or medical condition would not have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xml:space="preserve">, at para. 13 affirmed that the principles which inform the analysis of causation of physical injury apply to causation of psychological injury. In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 xml:space="preserve"> Mr. Justice Lambert summarized the governing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What is meant when Mr. Justice Taylor and Mr. Justice Spencer say that the plaintiff's psychological problems must have their cause in the defendant's wrongful act? The answer to that question is twofold. First, it must be shown that the defendant's unlawful act was a "cause-in-fact" of the plaintiff's psychological symptoms. That means that the plaintiff must establish that "but for" the defendant's unlawful act the plaintiff's psychological symptoms would not have occurred or would not have occurred in the way they did. That is a factual question. Second, it must be shown that the defendant's unlawful act was a "proximate cause" that is, a legally relevant cause-in-fact, as a matter of law, of the plaintiff's psychological symptoms. That is a legal question. (See Hart and Honoré, Causation in the Law 2nd ed. c.VI, "The Law of Tort: Causing Harm"; Fleming, The Law of Torts 6th ed. c. 9, "Remoteness of Damage").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So if the psychological symptoms from which the plaintiff is suffering after the accident are symptoms from which the plaintiff would have been suffering in any event, even if the defendant's wrongful act had not occurred, then the plaintiff cannot meet the cause-in-fact test and the defendant is not liable for the loss represented by those symptoms.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But if the psychological symptoms from which the plaintiff is suffering after the accident would not have occurred if the defendant's wrongful act had not occurred, then the cause-in-fact test is met and consideration must be given to the question of "proximate cause" in law.</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 Questions of "proximate cause", sometimes called "remoteness of damage" are essentially questions of legal policy and not questions of strict logic.</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As a starting point in the analysis, I observe that the human psyche is very complex and somewhat enigmatic, which renders the Court's task in determining the causation of Mr. Hunt's psychiatric malady particularly challenging. The Court's observations in </w:t>
      </w:r>
      <w:r>
        <w:rPr>
          <w:rFonts w:ascii="arial" w:eastAsia="arial" w:hAnsi="arial" w:cs="arial"/>
          <w:i/>
          <w:color w:val="000000"/>
          <w:sz w:val="20"/>
          <w:lang w:val="en-US" w:eastAsia="en-US" w:bidi="ar-SA"/>
        </w:rPr>
        <w:t>K.T. v. A.S.,</w:t>
      </w:r>
      <w:r>
        <w:rPr>
          <w:rFonts w:ascii="arial" w:eastAsia="arial" w:hAnsi="arial" w:cs="arial"/>
          <w:color w:val="000000"/>
          <w:sz w:val="20"/>
          <w:lang w:val="en-US" w:eastAsia="en-US" w:bidi="ar-SA"/>
        </w:rPr>
        <w:t xml:space="preserve"> </w:t>
      </w:r>
      <w:hyperlink r:id="rId998" w:history="1">
        <w:r>
          <w:rPr>
            <w:rFonts w:ascii="arial" w:eastAsia="arial" w:hAnsi="arial" w:cs="arial"/>
            <w:i/>
            <w:color w:val="0077CC"/>
            <w:sz w:val="20"/>
            <w:u w:val="single"/>
            <w:shd w:val="clear" w:color="auto" w:fill="FFFFFF"/>
            <w:lang w:val="en-US" w:eastAsia="en-US" w:bidi="ar-SA"/>
          </w:rPr>
          <w:t>2009 BCSC 1653</w:t>
        </w:r>
      </w:hyperlink>
      <w:r>
        <w:rPr>
          <w:rFonts w:ascii="arial" w:eastAsia="arial" w:hAnsi="arial" w:cs="arial"/>
          <w:color w:val="000000"/>
          <w:sz w:val="20"/>
          <w:lang w:val="en-US" w:eastAsia="en-US" w:bidi="ar-SA"/>
        </w:rPr>
        <w:t xml:space="preserve"> at para. 232 are apposite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pinpoint with any degree of precision the impact of some factors over others in relation to the development or aggravation of psychiatric maladies is an elusive undertaking, even for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authorities establish that the Accidents need not be the only cause of Mr. Hunt's psychiatric condition, as long as his condition would not have developed but for the Accidents. Therefore, the essential question is this: but for the defendants' negligent acts, would Mr. Hunt have developed the psychiatric malady he now suffers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are opinions on causation from three physicians: Dr. Levin, Dr. Vorobeychik and Dr. Chernick. I will address each of their opinions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Hunt's submissions are anchored in Dr. Levin's opinion. .As I mentioned earlier, Dr. Levin opined that it is most likely that the Accidents "played a most prominent role in initiating or triggering the onset of his psychiatric disorder and the related disabilities."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key factual underpinning of Dr. Levin's opinion was that the Accidents triggered the onset of Mr. Hunt's somatic preoccupations. Dr. Levin clearly founded his opinion on the assumption that Mr. Hunt's physical complaints arose after the 2004 Accident. This assumption was based on Mr. Hunt's self-reports, in which he attributes all his symptoms to the Accidents. However, this is inaccurate and contrary to the weight of the evidence which shows that Mr. Hunt had a preoccupation with his health prior to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evidence of Mr. Hunt's condition before the 2004 Accident is found in Dr. Vorobeychik's records. Those records demonstrate the prolificacy of medical visits Mr. Hunt had with a plethora of health professionals. It emerged on her cross- examination that Mr. Hunt has always complained of a multitude of symptoms from at least December 2002 to the date of the 2004 Accident. The complaints of arm problems and weakness which Mr. Hunt reported to Dr. Levin pre-dated the 2004 Accident. Mr. Hunt had complained of memory problems in 2003. Mr. Hunt complained of back pain prior to the 2004 Accident. Mr. Hunt had seven to eight specialist referrals prior to the 2004 Accident. Prior to the 2004 accident, Dr. Vorobeychik had prescribed Mr. Hunt medication for anxiety and sleeping issues. Most significantly, in my view, Mr. Hunt in his 2005 Letter attributed a wide-range of physical symptoms and ailments as being attributable to the unsatisfactory work conditions at Paladin for the two preceding years. As I mentioned earlier, in this letter, Mr. Hunt indicated that he had acquired health problems at Paladin that "make me an invalid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emerged during the course of Dr. Levin's cross-examination, that in formulating his opinion on causation, he had relied heavily on the accuracy of Mr. Hunt's reports. Dr. Levin did not have all the relevant information about the events affecting Mr. Hunt's physical and mental health before the 2004 Accident which I have outlined above. In particular, when Dr. Levin prepared his report, he had not been aware of Mr. Hunt's 2005 Letter to Dr. Vorobeychik in which he enumerates all his health problems as the result of working in Paladin.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Levin conceded, once he was confronted with Mr. Hunt's records, that Mr. Hunt was someone who appeared to focus on pain and somatic complaints prior to the Accidents. He candidly acknowledged that psychiatry is not a "black and white" science and that he based his conclusions on his knowledge of Mr. Hunt and Mr. Hunt's attribution of his complaints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Levin's opinion on causation is seriously undermined by the incomplete disclosure made to him by Mr. Hunt and in part by him not having reviewed Mr. Hunt's medical records prior to the 2004 Accident. Earlier in these reasons, I have found that many aspects of Mr. Hunt's evidence were not reliable as it related to his health. Moreover, I find his reports to Dr. Levin as to his history and condition were not accurate. It follows that the hypothesis and factual underpinnings to Dr. Levin's opinion concerning the causation of Mr. Hunt's psychiatric disorder have not been proved at trial. This renders Dr. Levin's opinion on causation of little assistance to this Court. In the end, I accord it little, if any,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turn to consider the evidence of Dr. Vorobeychik. Dr. Vorobeychik has been Mr. Hunt's treating physician for over nine years. As I mentioned earlier, it clearly emerged on her cross-examination that prior to the 2004 Accident, Mr. Hunt had always complained of various somatic complaints and sought numerous specialists' assessments. Mr. Hunt had been reporting, on an intermittent basis, wide-spread tenderness throughout his body since she became his doctor in 2002. Dr. Vorobeychik also admitted at trial that she was not suggesting all the problems listed in her report of July 6, 2010, were caused by the Accidents and in fact her report is a recitation of the plaintiff's general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Although Dr. Vorobeychik does not mention it in her reports, she acknowledged in cross-examination that Mr. Hunt's significant psychiatric change did not come about until September 2006 when Mr. Hunt's family left him. It was at that time that she referred him for psychiatric treatment. I do not accept the accuracy of the statement in her report in which she describes Mr. Hunt's marital and work-related problems as "secondary issues." The evidence overwhelmingly established that his separation from his family and termination from Paladin were very significant life events for Mr. Hunt. Dr. Vorobeychik also agreed in cross-examination that his matrimonial litigation in 2009 and 2010 was a significant stressor for Mr.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was Dr. Vorobeychik's opinion that Mr. Hunt's "depression is most likely related to the MVA [2004] and is compounded by the lack of visible improvement in his symptoms". Given the significant concessions she made in cross-examination and the omission in her report that the referral to Dr. Levin was precipitated by his marital breakdown, I consider it unsafe to rely on her opinion on causation. Overall, the frailties in her report render it of little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prefer Dr. Chernick's opinion that neither of the Accidents were significant psychological stressors that caused Mr. Hunt's current psychiatric condition. Dr. Chernick opined that even if it were to be found that Mr. Hunt suffers from a pain disorder, it is his opinion that it was caused by multiple psychological stressors, including his wife leaving him, his only child refusing to speak to him and the loss of his job, and not the motor vehicle accidents which were, in Dr. Chernick's view, minor psychological stressors. His report demonstrates that he thoroughly reviewed Mr. Hunt's medical reports and records, including Dr. Vorobeychik's records which date back to December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Chernick presented as an objective witness who was careful and fair-minded in his testimony. I found his evidence compelling and his opinion was not weakened in cross-examination. In my view, his opinion on this point harmonizes with the preponderance of probabilities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Chernick acknowledged that a pre-existing injury could be a contributing factor to the development of a somatoform disorder. However, he also clarified that the pain that contributed to the development of a pain disorder could pre-exist the injury to which the patient attributes his pain. Moreover, according to Dr. Chernick, it would be possible for an individual with obsessive-compulsive and narcissistic traits, such as Mr. Hunt, in the face of significant psychological stressors to develop a pain disorder in the absence of an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Chernick acknowledged that if Mr. Hunt lost his job because of the pain from his 2004 Accident, then the 2004 Accident may have indirectly caused his psychiatric condition. However Mr. Hunt did not prove that he lost his job at Paladin because of his accident-related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While Mr. Hunt may have reported to Dr. Levin that his chronic pain from the 2004 Accident contributed to his marital breakdown Mr. Hunt did not testify on this point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any case, the evidence at trial falls short of establishing that either Mr. Hunt's termination from Paladin or his marital separation was caused directly or indirectly because of the injuries he sustained in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evidence shows that Mr. Hunt attributes his current symptoms to the injuries he sustained in the Accidents. This is illustrated by Mr. Hunt's referencing his ICBC claim numbers on all correspondence to his medical advisors. He acknowledged in cross-examination that he blames all his problems on the 2004 Accident. On my best assessment, he has genuinely convinced himself that this is the case. However, this is not sufficient to establish a connection in law between the injuries he sustained in the Accidents and his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Considering the totality of the evidence, I reach the following conclusions regarding Mr. Hunt's current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Hunt was initially referred to Dr. Levin in October 2006, following his marital separation. At the time, Mr. Hunt was impaired by his anxiety and depressive symptoms. Dr. Levin diagnosed Mr. Hunt "overall" with an adjustment disorder. In his first report, Dr. Levin also referred to Mr. Hunt's tendencies for somatization and the development of a pain disorder as a psychiatric condition. However, Mr. Hunt's condition improved under Dr. Levin's care and he was eventually able to return to employment in May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evidence shows that Mr. Hunt's psychiatric condition had deteriorated when he was re-referred to Dr. Levin in 2010. Mr. Hunt had not seen his son since September 2006 but had maintained some telephone communication with him. His son terminated all communications in October 2010. Mr. Hunt was also embroiled in matrimonial litigation with his wife in 2009 and 2010 which was extremely stressful for him. Mr. Hunt conceded in cross-examination that he resumed treatment with Dr. Levin in 2010 because of the distress associated with his matrimonial proceedings and the lack of contact with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It was in 2010 that Dr. Levin diagnosed Mr. Hunt with a debilitating somatization disorder. This was some six years after the 2004 Accident and three years after the 2007 Accident. While I recognize the dangers inherent in applying simple temporal reasoning when determining legal causation-particularly when assessing psychological injury- I am not persuaded on the balance of probabilities that it was the injuries Mr. Hunt sustained in the Accidents that have caused his current constellation of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On the preponderance of the evidence, including Mr. Hunt's circumstances prior to and after the Accidents, I find that the primary source of Mr. Hunt's emotional distress was his marital separation and the ensuing litigation in 2009 and 2010, the lack of contact with his son and his termination from Paladin employment which Mr. Hunt found so stressful that he had to be taken to the hospital. Dr. Levin conceded in cross-examination that these were major stressors for Mr. Hunt. Mr. Hunt would have had to contend with these devastating stressors absent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As I have outlined earlier in these reasons, the evidence clearly demonstrates that Mr. Hunt's preoccupation with somatic complaints pre-dated the 2004 Accident. In January 2005, Mr. Hunt maintained that it was his working conditions at Paladin for the preceding two years that had rendered him "an invalid."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 have concluded that, on the totality of the evidence, Mr. Hunt has not satisfied the "but for" test mandated by the authorities. On balance, I find that, in light of Mr. Hunt's significant stressors and preoccupation with somatic complaints, it is just as likely that, absent the Accidents, Mr. Hunt would have developed his somatization psychiatric problems. I cannot find that the Accidents contributed to the development of his psychiatric malady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Therefore, I cannot find the causal connection that the law requires between Mr. Hunt's psychiatric problems and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summary on this issue, I am not persuaded that Mr. Hunt has discharged his burden of proof. In reaching this conclusion, I have considered the entire body of evidence and in my view it best harmonizes with the preponderance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view of my findings, I need not consider the application of the principles of "proximate cause" which were articulated by the Court in </w:t>
      </w:r>
      <w:r>
        <w:rPr>
          <w:rFonts w:ascii="arial" w:eastAsia="arial" w:hAnsi="arial" w:cs="arial"/>
          <w:i/>
          <w:color w:val="000000"/>
          <w:sz w:val="20"/>
          <w:lang w:val="en-US" w:eastAsia="en-US" w:bidi="ar-SA"/>
        </w:rPr>
        <w:t>Yoshikawa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conclude, and indeed it is uncontroversial, that Mr. Hunt sustained soft tissue injuries in the 2004 and 2007 Accidents. I summarize below my findings as to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view of my findings on the reliability of Mr. Hunt's evidence, I have placed the most weight upon the medical evidence and upon Mr. Hunt's statements to his doctors wherein he reported some improvement in his condition. I find those statements accurately reflected his symptoms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the totality of the evidence, I conclude that Mr. Hunt sustained soft tissue injuries primarily to his mid-back in the 2004 Accident. Those injuries were severe enough that he was disabled from working for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After the 2004 Accident, Mr. Hunt underwent conventional treatment for his injuries. He attended chiropractic, massage and acupuncture treatments which he found beneficial. In April 2005, Mr. Hunt reported to Dr. Vorobeychik that his back pain was better. By June 2005, he was reporting occasional back pain to Dr. Vorobeychik and in July 2005, Dr. Vorobeychik sent him for massage treatments which he found helpful. In September 2005, he had chiropractic treatments for his mid-back.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By January 2006, Mr. Hunt's condition had improved. At his examination for discovery, he admitted that by January 2006 his condition was "much better." Mr. Hunt was able to work as a geologist from March to June 2006. While I am not persuaded that Mr. Hunt's back pain was the significant limitation he contends, I accept that he had episodic aggravations of his back pain, particularly when lifting the core boxes. In June 2006, he reported to Dr. Vorobeychik that the acupuncture treatments he underwent on her recommendation alleviated his back symptoms. In November 2006, he reported to Dr. Levin that his back pain had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summary, I find that Mr. Hunt gradually recovered from his soft tissue injuries and by March 2006 he was left with residual symptoms of occasional back discomfort and episodic flaring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evidence supports a finding that the 2007 Accident was relatively minor but resulted in some exacerbation of Mr. Hunt's soft tissue injuries, primarily in the mid-thoracic region of his back. On his own evidence, the 2004 Accident was the primary cause of his injuries and not the 2007 Accident. Mr. Hunt was able to resume employment at Coast Mountain in February 2008. In April 2008, he reported to Dr. Levin that he continued to experience occasional back pain but his mood and energy level had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the totality of the evidence, I find that any residual symptoms from the Accidents were largely resolved by February 2008, but that through 2008 Mr. Hunt continued to experience some episodic back discomfort and occasional flaring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short, Mr. Hunt's injuries are consonant with moderate soft tissue injuries to his back which had substantially resolved by 2008. On balance, the evidence supports a finding that Mr. Hunt would have experienced the manifestation of his soft tissue injuries with greater intensity because of his pre-existing personality traits and his pre-occupation with somatic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my view, the totality of the evidence falls short of establishing on a balance of probabilities that Mr. Hunt suffers from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O' Connor, a well-qualified physiatrist who saw Mr. Hunt in November 2008, opined that Mr. Hunt "does not meet the qualifications for fibromyalgia." Dr. O' Connor was not required to attend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Luongo noted that Mr. Hunt had tender points but he did not provide any elaboration on the significance, if any, of such a finding. He observed that Mr. Hunt displayed abnormal pain behaviour and an exaggerated pain response. Dr. Luongo's report is of little assistance to Mr. Hunt in proving his assertion that he suffers from fibromyalgia.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consider it unsafe to rely on Dr. Venter's opinion. I found him on occasion to be unresponsive in cross-examination and he displayed a somewhat compromised objectivity in his diagnosis of fibromyalgia. Most significantly, the Court was left with the impression that he did not conduct a thorough examination of Mr. Hunt and that he based his diagnosis on an inaccurate and incomplete medical history which was related to him by Mr. Hunt.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view of my findings on causation, I need only address mitigation as it relates to Mr. Hunt's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defence submits that Mr. Hunt's damages should be reduced because of his failure to mitigate his losses. In particular, they point to the fact that Mr. Hunt has not engaged in a weight loss or exercise program as recommended by the various physicians who have assessed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It is well settled on the authorities that a plaintiff in a personal injury action has a positive duty to mitigate by taking all reasonable measures to avoid all or a portion of his or her loss. In order to succeed, the defendant must prove that the plaintiff acted unreasonably in eschewing the recommended treatment for his or her injuries and the extent, if any, to which the plaintiff's damages would have been reduced, had he or she acted reasonably: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999"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the Court describes the mitigation test as a subjective/objective one; the defendant must establish that a reasonable patient in the shoes of the plaintiff, having all the information at hand that the plaintiff possessed, ought reasonably to have undergone the recommended treatment. The law requires that a plaintiff make "contextually reasonable and sincere efforts" to avoid all or a portion of his or her loss: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203. The Court's assessment of whether a particular plaintiff acted reasonably turns on all of the relevant circumstances. For example, in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the Court observed that a plaintiff who has struggled with life-long obesity may not be expected to lose weight even though weight loss would assist recovery. See also </w:t>
      </w:r>
      <w:r>
        <w:rPr>
          <w:rFonts w:ascii="arial" w:eastAsia="arial" w:hAnsi="arial" w:cs="arial"/>
          <w:i/>
          <w:color w:val="000000"/>
          <w:sz w:val="20"/>
          <w:lang w:val="en-US" w:eastAsia="en-US" w:bidi="ar-SA"/>
        </w:rPr>
        <w:t>Delgiglio v. British Columbia (Public Safety and Solicitor General)</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2012 BCSC 480</w:t>
        </w:r>
      </w:hyperlink>
      <w:r>
        <w:rPr>
          <w:rFonts w:ascii="arial" w:eastAsia="arial" w:hAnsi="arial" w:cs="arial"/>
          <w:color w:val="000000"/>
          <w:sz w:val="20"/>
          <w:lang w:val="en-US" w:eastAsia="en-US" w:bidi="ar-SA"/>
        </w:rPr>
        <w:t xml:space="preserve"> at paras. 87-89.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emphasized at para. 53 that the defendant must prove "the extent, if any, to which the plaintiff's damages would have been reduced" by the recommended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Having reviewed the legal principles, I now turn to the consideration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Firstly, Mr. Hunt, from his perspective, has diligently pursued medical treatment for the soft tissue injuries he sustained in the Accidents. He regularly sought assistance from Dr. Vorobeychik. On her recommendation, he attended physiotherapy, massage and acupuncture treatments. He took the medication she prescribed. He tried swimming but discontinued that activity because he found that it aggravated his symptoms. He maintains that he has followed a routine for exercising at home. His main form of exercise was and continues to be walking. While I cannot find that Mr. Hunt struggled with life-long obesity, the medical evidence shows that he was significantly overweight prior to the 2004 Accident. He believes his weight is a "complicated"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am not persuaded that a plaintiff in Mr. Hunt's shoes, with his particular psychological issues and perceptions and pre-accident history ought reasonably to be expected to have undertaken a structured weight loss and exercise program. Moreover, the evidence falls short of establishing that had Mr. Hunt undertaken such programs, the symptoms from his soft tissue injuries would have improved or resolved any sooner than I have found those injuries did in fact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cannot conclude, in the circumstances, that the defence has met the threshold mandated in the authorities for reducing Mr. Hunt's damage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next address Mr. Hunt's claim for damages under the following headings: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 and loss of future earning capacity;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Hunt seeks an award of $100,000 for non-pecuniary damages. The defence submits that non-pecuniary damages should be assessed in the range of $25,000 to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Non-pecuniary damages are intended to compensate a plaintiff's pain, suffering, and loss of enjoyment of life. The award should compensate a plaintiff for those damages he has suffered up to the date of the trial and for those he will suffer in the future. The essential principle derived from the authorities is that an award for non-pecuniary damages must be fair and reasonable to both parties and should be measured by the adverse impact of the particular injuries on the individual plaintiff: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While fairness is assessed by reference to awards made in comparable cases, it is impossible to develop a "tariff"; each case is decided on its own unique facts: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B.C.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enumerated the factors to be considered in awarding non-pecuniary damages. The non-exhaustive list includes: the age of the plaintiff; the nature of the injury; the severity and duration of pain; the degree of disability; emotional suffering; the impairment of family, marital, and social relationships; impairment of physical and mental abilities; loss of lifestyle and the plaintiff's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have concluded that the soft tissue injuries Mr. Hunt sustained in the Accidents have caused him pain, suffering and loss of enjoyment of life. Earlier in these reasons, I have set out my findings on the progression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accordance with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36, I must consider Mr. Hunt's pre-existing condition and whether there was a "measurable risk" that any pre-existing condition would have detrimentally affected him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pertinent because the defendants need not restore Mr. Hunt to a position better than his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There is no cogent evidence that Mr. Hunt would have experienced the symptoms I have described in the preceding section-with the same frequency and intensity-absent the soft tissue injuries he sustained in the Accidents. Accordingly, there are no grounds on which to reduce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the 2004 Accident, Mr. Hunt sustained moderate soft tissue injuries to his back, which were exacerbated by the 2007 Accident. Although his injuries from the Accidents had resolved for the most part by early 2008, Mr. Hunt continued to experience occasional discomfort and episodic flare-ups through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find that his injuries took a toll on Mr. Hunt and negatively affected the quality and enjoyment of his life. He suffered from symptoms which varied in frequency and intensity for some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 have reviewed all of the authorities provided by both counsel. Although the cases are instructive, I do not propose to review them in detail as they only provide general guidelines. In considering Mr. Hunt's unique circumstances, I conclude a fair and reasonable award for non-pecuniary damages is $40,000.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Earning Capacity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Counsel for Mr. Hunt submits that Mr. Hunt is unemployable. He seeks compensation of $131,709 net for loss of past earning capacity and $315,772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defence asserts that the plaintiff is entitled to compensation for the loss of three months' wages following the 2004 Accident and that there should be no award of past wage loss for the 2007 Accident. They argue that Mr. Hunt is not entitled to any compensation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view of my finding that Mr. Hunt's current psychiatric condition was not caused by the Accidents, my analysis of Mr. Hunt's claim for the loss of earning capacity is limited to any loss he sustained as a result of his soft tissue injuries.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An award for future loss of earning capacity represents compensation for a pecuniary loss: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 The legal principle that governs this assessment for loss of earning capacity is that, insofar as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Compensation must be made for the loss of earning capacity and not for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1006"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r>
        <w:rPr>
          <w:rFonts w:ascii="arial" w:eastAsia="arial" w:hAnsi="arial" w:cs="arial"/>
          <w:sz w:val="20"/>
          <w:lang w:val="en-US" w:eastAsia="en-US" w:bidi="ar-SA"/>
        </w:rPr>
        <w:cr/>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41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and not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a claim for the loss of value of the work that an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011"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Loss of Earning Capacity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evidence shows that after the 2004 Accident, the plaintiff was ready and able to return to work in January 2005. Within a few days, he was terminated by Paladin. He went on medical unemployment insurance after what he described as an "interrogation" at Paladin. On his own evidence, his subsequent medical leave was attributable to the stress reaction to his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On the totality of the evidence, I have concluded that Mr. Hunt has proved that the injuries he sustained in the 2004 Accident have impaired his earning capacity. He has proved that but for his injuries he would have continued to work at Paladin until his termination in January 2005. He is entitled to be compensated for those three months of wages he lost at Paladin. On my calculations, that equates to $5,200 in gross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Hunt acknowledged in cross- examination that if he had not been terminated, he would have been capable of continuing to work at Paladin after January 2005. When his medical and regular employment insurance terminated in 2005, Mr. Hunt continued his job search but he was unable to secure employment. On the evidence, Mr. Hunt's unemployment from January 2005 through to March 2006, when he obtained work at Gibraltar cannot be attributed to the 2004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March 2006, Mr. Hunt obtained geology-related employment with Gibraltar. The evidence falls short of establishing that the termination of his employment in June 2006 with Gibraltar was related to the injuries he sustained in the 2004 Accident. On his own admission, Mr. Hunt does not know why his contract with Gibraltar was not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According to Mr. Hunt, there were no geology-related jobs available in the summer of 2006 after his job with Gibraltar terminated. The evidence shows that in the period commencing in September 2006, Mr. Hunt had a number of potential job opportunities in the geology field. Mr. Hunt conceded on cross-examination that it was the distress from his marital situation that rendered him incapable of working in the period from September 2006 to May 2007. In May 2007, Mr. Hunt secured employment as a field geologist with Coast Mountain. He worked a four-week on and two-week off rotation.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After the November 2007 Accident, Mr. Hunt took three months off work and he resumed his employment with Coast Mountain on February 29, 2008. However, Dr. Vorobeychik's report dated December 15, 2007, indicates that Mr. Hunt was capable of working as of December 15, 2007. Moreover, in his consultation with Dr. Levin, one month after the 2007 Accident, he reported that his energy and motivation had improved and that he had discontinued all medication except for his Clonazepam, which he had taken since before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all the circumstances, I find that Mr. Hunt is entitled to compensation for the loss of two weeks' wages following the 2007 Accident. At $400 a day, I award him $5,600.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Hunt worked at Coast Mountain from February 28, 2008, until October 3, 2008. It is uncontroversial that he was laid off from Coast Mountain in October 2008 as a result of economic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Hunt went on disability benefits for his Ménière's disease in October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evidence falls short of establishing that there was a real and substantial possibility that from October 2008 to the date of trial Mr. Hunt would have been employed absent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summary on this issue, I conclude the Accidents have resulted in a total past loss of income to Mr. Hunt for the period from the date of the Accidents to trial of $10,800. As Mr. Hunt is only entitled to recover his net income losses, I direct counsel to carry out the necessary calculations in order to determine the appropriate net loss. Counsel have liberty to apply if they are unable to agree as to this amount.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The essential task of this Court is to compare the likely future of Mr. Hunt's working life if the Accidents had not happened with the plaintiff's likely future working life after the Accidents: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This claim raises two essential questions:</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Mr. Hunt's earning capacity been impaired by his injuries and, if so;</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starting point in the analysis is whether Mr. Hunt has demonstrated any impairment of his earning capacity because of the injuries he sustained in the Accidents. Mr. Hunt contends that he cannot work as a geologist because of his pain and physical limitations, in particular his low tolerance for prolonged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Given my findings that his soft tissue injuries had substantially resolved by 2008 I conclude that Mr. Hunt is not disabled from working on account of those injuries. In any case his return to work as a geologist after both Accidents negates any claim that his soft tissue injuries caused a permanent impairment of his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For completeness I address the expert evidence adduced by Mr. Hunt on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Hunt relies on the report dated November 3, 2011, of Mr. Nordin, a vocational rehabilitation consultant. Mr. Nordin opined that, currently, Mr. Hunt is competitively unemployable. Mr. Nordin concluded that the "sequelae of the October 2004 and November 2007 [A]ccidents have prevented Mr. Hunt from working as a field geologist, absent provision of the kinds of accommodations he describes for his time with Coast Mountain Geology." I note parenthetically that the evidence does not show the accommodation, if any, that was made for Mr. Hunt at Coast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Mr. Nordin did not conduct any vocational assessments and his report is primarily based upon Mr. Hunt's self-reports and Dr. Vorobeychik's and Dr. Levin's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so far as his reliance on Dr. Levin's opinion that Mr. Hunt is disabled from working because of his psychiatric illness I have found that any such disability was not caused by the Accidents. Moreover, the key factual underpinnings to Mr. Nordin's report were based on Mr. Hunt's self-reports regarding the sequelae of the Accidents and were not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the result, I have given no weight to Mr. Nordin's opinion, as I found it to have an insufficient evidentiary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Mr. Taunton, an economist, prepared a report on behalf of Mr. Hunt, calculating his past and future income loss. He factored in various negative contingencies, including non-participation in the labour force and premature death; he provided comparative illustrations in his report. The key assumptions in Mr. Taunton's report are that, absent the 2004 and 2007 Accidents, Mr. Hunt would have been employed as a security guard through 2005 and as a geological technologist doing field work in Canada from January 1, 2006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As with Mr. Nordin's report, the assumptions in Mr. Taunton's report have not been proven, which fundamentally undermines the hypothesis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It follows that neither his nor Mr. Nordin's report is of any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It is also crucial to observe the stubborn fact that, on his own evidence Mr. Hunt is currently on disability benefits because of his Ménière's disease. Dr. Levin has opined that Mr. Hunt is disabled from working because of his psychiatric condition which I have concluded was not caused by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Mr. Hunt is only entitled to be restored to his original pre-accident position. On the totality of the evidence, Mr. Hunt has not proved that,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given his unrelated medical conditions, there is a real and substantial possibility that, he would nonetheless have participated in the work force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summary on this issue, I am not persuaded that there is a real and substantial possibility that if Mr. Hunt had not been injured in the Accidents he would be working now or that his future earnings would have been higher than they now will be. I therefore cannot conclude that there is a real and substantial possibility that Mr. Hunt will suffer a future pecuniary loss because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the result, Mr. Hunt is not entitled to any compensation for future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submits he is entitled to special damages of $3,000. He has submitted invoices for various medication, chiropractic, physiotherapy and acupuncture treatments which invoices a total of $580.07. He has also submitted receipts for inversion tables and home treatment devices totalling $563.98. Mr. Hunt's uncontradicted evidence is that the equipment was approved by his doctors. He testified that he has misplaced other invoices for similar equipment which is shown in the photographs. He estimates his total expenditures are in the range of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It is well established that an injured person is entitled to recover the reasonable out-of-pocket expenses they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410"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at 78;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281.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find that the expenses Mr. Hunt incurred for medication and acupuncture, chiropractor and physiotherapy treatments are reasonable. He has produced receipts which support a claim of $1,144.05. There is no evidentiary foundation upon which I can grant anything more than a nominal increase over the amount supported by documentation. In all the circumstances, I award Mr. Hunt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Insofar as the injuries sustained in the Accidents, Mr. Hunt has not proved that there is a real and substantial possibility that he will incur any future costs that are medically justified and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plaintiff's damages are assessed at $52,800 consisting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987"/>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464"/>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 (less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$10,800</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 taxes to be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calculated by counsel):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882"/>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405"/>
        <w:gridCol w:w="2510"/>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$52,800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Mr. Hunt is entitled to his costs at Scale B unless there are any pertinent circumstances that should be brought to the Court's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4"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2"/>
          <w:headerReference w:type="default" r:id="rId1013"/>
          <w:footerReference w:type="even" r:id="rId1014"/>
          <w:footerReference w:type="default" r:id="rId1015"/>
          <w:headerReference w:type="first" r:id="rId1016"/>
          <w:footerReference w:type="first" r:id="rId10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8" w:history="1">
        <w:r>
          <w:rPr>
            <w:rFonts w:ascii="arial" w:eastAsia="arial" w:hAnsi="arial" w:cs="arial"/>
            <w:b/>
            <w:bCs/>
            <w:i/>
            <w:color w:val="0077CC"/>
            <w:kern w:val="32"/>
            <w:sz w:val="28"/>
            <w:szCs w:val="32"/>
            <w:u w:val="single"/>
            <w:shd w:val="clear" w:color="auto" w:fill="FFFFFF"/>
            <w:lang w:val="en-US" w:eastAsia="en-US" w:bidi="ar-SA"/>
          </w:rPr>
          <w:t>J.P. v. Eirikson, [2015] B.C.J. No. 1029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S. Harper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 and March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Amended: March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S142817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1029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847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J.P. and as Litigation Guardian for B.T.G., K.G., B.N.G. and P.G., Plaintiffs, and Dr. Paul Norman Eirikson,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5"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6" w:name="Keywords_46"/>
      <w:bookmarkEnd w:id="326"/>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Application by defendant to strike claim allowed — Adult plaintiff's children were apprehended due to protection concerns and defendant was retained to conduct parenting assessment — Defendant concluded that father was fit parent, but plaintiff was not, and testified on behalf of father in matrimonial proceedings — Defendant was protected by witness immunity — No material facts were pleaded to support claim of abuse of process — Claim of abuse of process derived from claim that defendant gave false evidence, but giving false evidence fell within protection of witness immunity — None of claims pleaded disclosed a reasonable cause of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Particular professions — Psychiatrists, psychologists and therapists — Practice and procedure — Pleadings — Application by defendant to strike claim allowed — Adult plaintiff's children were apprehended due to protection concerns and defendant was retained to conduct parenting assessment — Defendant concluded that father was fit parent, but plaintiff was not, and testified on behalf of father in matrimonial proceedings — Defendant was protected by witness immunity — No material facts were pleaded to support claim of abuse of process — Claim of abuse of process derived from claim that defendant gave false evidence, but giving false evidence fell within protection of witness immunity — None of claims pleaded disclosed a reasonable cause of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Liability — Immunity — Professions — Health care — Psychiatrists, psychologists and therapists — Application by defendant to strike claim allowed — Adult plaintiff's children were apprehended due to protection concerns and defendant was retained to conduct parenting assessment — Defendant concluded that father was fit parent, but plaintiff was not, and testified on behalf of father in matrimonial proceedings — Defendant was protected by witness immunity — No material facts were pleaded to support claim of abuse of process — Claim of abuse of process derived from claim that defendant gave false evidence, but giving false evidence fell within protection of witness immunity — None of claims pleaded disclosed a reasonable cause of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7" w:name="Case Summary_44"/>
            <w:bookmarkEnd w:id="32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to strike out the statement of claim and dismissed the action. The plaintiff JP was the mother of the four infant plaintiffs. JP claimed that in 2009 the children had disclosed that their father had sexually abused one of them. The father denied the allegations and allegedly made false reports to JP to social workers. As a result, the children were taken into care. The defendant was a psychologist who was retained by the Director of Child, Family and Community Services to conduct a parenting capacity assessment and prepare a report. He concluded that the father was not at risk of sexually abusing the children and was a fit parent, but that JP was not. The protection application was withdrawn by the director. The defendant also testified on behalf of the children's father in family proceedings between him and JP. JP, on behalf of herself and her children, commenced a claim against the defendant on various grounds arising out of the conduct of the parenting capacity assessment, the preparation of his report and his testimony in the family law proceeding. JP claimed that the defendant was reckless and negligent in his investigation and that he fraudulently produced handwritten notes, lied under oath in the matrimonial proceedings, was biased towards to father and conspired with him. The defendant sought to strike out the claims and dismiss the action, on the basis that the claim disclosed no reasonable cause of action because he was protected by witness immunity.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8" w:name="Holdings of Court_42"/>
            <w:bookmarkEnd w:id="328"/>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Witness immunity was a full defence to all of the plaintiffs' claims. The defendant was retained by the Director to provide a report in child protection proceedings and was protected by witness immunity from any claims arising out of the use of his report. Throughout his dealings with the plaintiffs, the defendant was performing his duties as an expert witness. Even if the defendant's conduct was egregious and malicious, it was protected by witness immunity. With respect to the claim for abuse of process, there were no material facts pleaded to support such a claim. Even if the shortcomings of the pleadings were overlooked, the facts did not support a claim in tort for abuse of process. The claim of abuse of process derived from the claim that the defendant gave false evidence, but giving false evidence fell within the protection of witness immunity. As a result, none of the claims pleaded disclosed a reasonable cause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9" w:name="Legislation Cited_34"/>
      <w:bookmarkEnd w:id="3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6"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Child Family and Community Service Act, </w:t>
      </w:r>
      <w:r>
        <w:rPr>
          <w:rFonts w:ascii="arial" w:eastAsia="arial" w:hAnsi="arial" w:cs="arial"/>
          <w:i/>
          <w:color w:val="000000"/>
          <w:sz w:val="20"/>
          <w:lang w:val="en-US" w:eastAsia="en-US" w:bidi="ar-SA"/>
        </w:rPr>
        <w:t>RSBC 1996, CHAPTER 46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Coroners Act, </w:t>
      </w:r>
      <w:r>
        <w:rPr>
          <w:rFonts w:ascii="arial" w:eastAsia="arial" w:hAnsi="arial" w:cs="arial"/>
          <w:i/>
          <w:color w:val="000000"/>
          <w:sz w:val="20"/>
          <w:lang w:val="en-US" w:eastAsia="en-US" w:bidi="ar-SA"/>
        </w:rPr>
        <w:t>SBC 2007, CHAPTER 15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Relations Act, </w:t>
      </w:r>
      <w:hyperlink r:id="rId1019" w:history="1">
        <w:r>
          <w:rPr>
            <w:rFonts w:ascii="arial" w:eastAsia="arial" w:hAnsi="arial" w:cs="arial"/>
            <w:i/>
            <w:color w:val="0077CC"/>
            <w:sz w:val="20"/>
            <w:u w:val="single"/>
            <w:shd w:val="clear" w:color="auto" w:fill="FFFFFF"/>
            <w:lang w:val="en-US" w:eastAsia="en-US" w:bidi="ar-SA"/>
          </w:rPr>
          <w:t>RSBC 1996, CHAPTER 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3-1(2)(a), Rule 3-7(9), Rule 9-5(1)(a)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0" w:name="Counsel_47"/>
      <w:bookmarkEnd w:id="33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7"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J.J. Hittrich, C.R. Heslinga.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J.A. Morris.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1" w:name="Judgment_47"/>
      <w:bookmarkEnd w:id="331"/>
      <w:r>
        <w:pict>
          <v:line id="_x0000_s1258" style="position:absolute;z-index:25185996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May 26, 2015;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2" w:name="MASTER S. HARPER"/>
            <w:bookmarkEnd w:id="332"/>
            <w:r>
              <w:rPr>
                <w:rFonts w:ascii="arial" w:eastAsia="arial" w:hAnsi="arial" w:cs="arial"/>
                <w:b/>
                <w:color w:val="000000"/>
                <w:sz w:val="30"/>
                <w:lang w:val="en-US" w:eastAsia="en-US" w:bidi="ar-SA"/>
              </w:rPr>
              <w:t>MASTER S. HARPER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[1] The defendant ("Dr. Eirikson") applies for orders that the plaintiffs' claims be struck out and the action dismissed pursuant to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basis for the application is that the claims disclose no reasonable cause of action because Dr. Eirikson is protected from suit by operation of the doctrine of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No evidence is admissible on an application to strike out a claim as disclosing no reasonable cause of action. The facts as pleaded are assumed to be true. The facts referred to in these reasons are taken from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The plaintiff J.P. is the mother of the four infant plaintiffs, who are now age 6, 8, 10, and 12. In 2009, the children were taken into care by the Director of Child, Family and Community Services (the "Director") due to child protection concerns. In January, 2010, the Director commenced child protection proceedings in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Dr. Eirikson is a registered psychologist who was retained by the Director to conduct a parenting capacity assessment and prepare a report. At issue were the fitness of each parent and allegations that the children's father, B.G., had sexually abused one or more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J.P. and B.G. engaged in family law proceedings in the Supreme Court. At the trial of those proceedings, the defendant testified on behalf of B.G.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J.P., on behalf of herself and the children, sues Dr. Eirikson on various grounds arising out of the conduct of the parenting capacity assessment, the preparation of his report and his testimony at the trial of the family law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Dr. Eirikson argues that witness immunity protects him from suit and that the claims should be struck out at this stage of the litigation. He says that the narrow exception related to the tort of abuse of process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The plaintiffs argue that the law of witness immunity is not settled in British Columbia and that any doubt as to whether there is a reasonable cause of action should be resolved in favour of the action being allowed to continue. They argue that the preparation and the writing of the parenting capacity assessment report occurred before Dr. Eirikson took on the role of expert witness, therefore, those actions fall outside the scope of witness immunity. Further, they argue that the acts committed by Dr. Eirikson are so egregious that witness immunity should not be extended so far as to shield him from liability. They argue that Dr. Eirikson forged a document and falsified evidence so the abuse of process exception to witness immunity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For the reasons that follow, I conclude that witness immunity is a full defence to all of the plaintiffs' claims. As a result, none of the claims discloses a reasonable cause of action. All of the claims should be struck out and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APPLICATION TO STRIKE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[10] The principles the Court should apply in considering an application to strike have been recently restated by the Supreme Court of Canada in a case that emanated from British Columbia: </w:t>
      </w:r>
      <w:r>
        <w:rPr>
          <w:rFonts w:ascii="arial" w:eastAsia="arial" w:hAnsi="arial" w:cs="arial"/>
          <w:i/>
          <w:color w:val="000000"/>
          <w:sz w:val="20"/>
          <w:lang w:val="en-US" w:eastAsia="en-US" w:bidi="ar-SA"/>
        </w:rPr>
        <w:t>R. v. Imperial Tobacco</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[2011] 3 S.C.R. 45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the parties agreed on the test, but disagreed on how it should be applied. The Court reviewed the purpose of the test and its application. The framework set out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has guided me in my consideration of this application and I quote from the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power to strike out claims that have no reasonable prospect of success is a valuable housekeeping measure essential to effective and fair litigation. It unclutters the proceedings, weeding out the hopeless claims and ensuring that those that have some chance of success go on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This promotes two goods - efficiency in the conduct of the litigation and correct results. Striking out claims that have no reasonable prospect of success promotes litigation efficiency, reducing time and cost. The litigants can focus on serious claims, without devoting days and sometimes weeks of evidence and argument to claims that are in any event hopeless. The same applies to judges and juries, whose attention is focused where it should be - on claims that have a reasonable chance of success. The efficiency gained by weeding out unmeritorious claims in turn contributes to better justice. The more the evidence and arguments are trained on the real issues, the more likely it is that the trial process will successfully come to grips with the parties' respective positions on those issues and the merits of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Valuable as it is, the motion to strike is a tool that must be used with care. The law is not static and unchanging. Actions that yesterday were deemed hopeless may tomorrow succeed. Before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introduced a general duty of care to one's neighbour premised on foreseeability, few would have predicted that, absent a contractual relationship, a bottling company could be held liable for physical injury and emotional trauma resulting from a snail in a bottle of ginger beer. Before </w:t>
      </w:r>
      <w:r>
        <w:rPr>
          <w:rFonts w:ascii="arial" w:eastAsia="arial" w:hAnsi="arial" w:cs="arial"/>
          <w:i/>
          <w:color w:val="000000"/>
          <w:sz w:val="20"/>
          <w:lang w:val="en-US" w:eastAsia="en-US" w:bidi="ar-SA"/>
        </w:rPr>
        <w:t>Hedley Byrne &amp; Co. v. Heller &amp; Partners, Ltd.</w:t>
      </w:r>
      <w:r>
        <w:rPr>
          <w:rFonts w:ascii="arial" w:eastAsia="arial" w:hAnsi="arial" w:cs="arial"/>
          <w:color w:val="000000"/>
          <w:sz w:val="20"/>
          <w:lang w:val="en-US" w:eastAsia="en-US" w:bidi="ar-SA"/>
        </w:rPr>
        <w:t xml:space="preserve">, [1963] 2 All E.R. 575 (H.L.), a tort action for negligent misstatement would have been regarded as incapable of success. The history of our law reveals that often new developments in the law first surface on motions to strike or similar preliminary motions, like the one at issue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Therefore, on a motion to strike, it is not determinative that the law has not yet recognized the particular claim. The court must rather ask whether, assuming the facts pleaded are true, there is a reasonable prospect that the claim will succeed. The approach must be generous and err on the side of permitting a novel but arguable claim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unless they are manifestly incapable of being proven: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No evidence is admissible on such a motion: r. 19(27)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(now r. 9-5(2)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It is incumbent on the claimant to clearly plead the facts upon which it relies in making its claim. A claimant is not entitled to rely on the possibility that new facts may turn up as the case progresses. The claimant may not be in a position to prove the facts pleaded at the time of the motion. It may only hope to be able to prove them. But plead them it must. The facts pleaded are the firm basis upon which the possibility of success of the claim must be evaluated. If they are not pleaded, the exercise cannot be properly conducted.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Before us, Imperial and the other tobacco companies argued that the motion to strike should take into account, not only the facts pleaded, but the possibility that as the case progressed, the evidence would reveal more about Canada's conduct and role in promoting the use of low-tar cigarettes. This fundamentally misunderstands what a motion to strike is about. It is not about evidence, but the pleadings. The facts pleaded are taken as true. Whether the evidence substantiates the pleaded facts, now or at some future date, is irrelevant to the motion to strike. The judge on the motion to strike cannot consider what evidence adduced in the future might or might not show. To require the judge to do so would be to gut the motion to strike of its logic and ultimately render it useless.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This is not unfair to the claimant. The presumption that the facts pleaded are true operates in the claimant's favour. The claimant chooses what facts to plead, with a view to the cause of action it is asserting. If new developments raise new possibilities - as they sometimes do - the remedy is to amend the pleadings to plead new facts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Related to the issue of whether the motion should be refused because of the possibility of unknown evidence appearing at a future date is the issue of speculation. The judge on a motion to strike asks if the claim has any reasonable prospect of success. In the world of abstract speculation, there is a mathematical chance that any number of things might happen. That is not what the test on a motion to strike seeks to determine. Rather, it operates on the assumption that the claim will proceed through the court system in the usual way - in an adversarial system where judges are under a duty to apply the law as set out in (and as it may develop from) statutes and precedent. The question is whether, considered in </w:t>
      </w:r>
      <w:r>
        <w:rPr>
          <w:rFonts w:ascii="arial" w:eastAsia="arial" w:hAnsi="arial" w:cs="arial"/>
          <w:i/>
          <w:color w:val="000000"/>
          <w:sz w:val="20"/>
          <w:lang w:val="en-US" w:eastAsia="en-US" w:bidi="ar-SA"/>
        </w:rPr>
        <w:t>the context of the law and the litigation process</w:t>
      </w:r>
      <w:r>
        <w:rPr>
          <w:rFonts w:ascii="arial" w:eastAsia="arial" w:hAnsi="arial" w:cs="arial"/>
          <w:color w:val="000000"/>
          <w:sz w:val="20"/>
          <w:lang w:val="en-US" w:eastAsia="en-US" w:bidi="ar-SA"/>
        </w:rPr>
        <w:t>, the claim has no reasonable chance of succeeding.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[8] I emphasize the following points:</w:t>
      </w:r>
      <w:r>
        <w:rPr>
          <w:rFonts w:ascii="arial" w:eastAsia="arial" w:hAnsi="arial" w:cs="arial"/>
          <w:sz w:val="20"/>
          <w:lang w:val="en-US" w:eastAsia="en-US" w:bidi="ar-SA"/>
        </w:rPr>
        <w:cr/>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in support of the claim must be clearly pleaded;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should not be struck out just because it is novel;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nipping a claim in the bud that is bound to fail, or is so speculative that is has no reasonable chance of succeeding, benefits the civil justice system as a whole and the parties in particular who are saved the time, money and energy they would otherwise expend on fruitless litigation;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no reasonable cause of action, the action should be dismissed at the pleadings stage. There is no good reason to wait and see what new facts may materialize as the case develops.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FACTS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[9] As previously mentioned, no evidence is admissible on this application. The facts as pleaded are assumed to be true. As stated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this rule favours the plaintiffs. Whether this application succeeds or fails rests on an analysis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[10] The hearing of this application occurred in two sessions, about seven weeks apart. During the first session, the plaintiffs, through their counsel, had the opportunity to hear and consider the submissions of counsel for Dr. Eirikson. They filed an amended notice of civil claim during the interval (attached as Schedule "A"), presumably with a view to curing any defects and putting their best case forward. I therefore approach this application on the basis that, as far as the plaintiffs are concerned, the amended notice of civil claim represents the most favourable set of facts and their best possible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[11] A notice of civil claim must set out a concise statement of the material facts giving rise to the claim: Rule 3-1(2)(a). In this case, the facts are not set out as concisely as they should be. Counsel for the plaintiffs says that the claims arise from a "complex factual matrix". It is the function of pleadings, however, to simplify facts so that a clear pathway toward the desired legal conclusion is set out for the reader to follow. In the section on relief sought, the plaintiffs plead various "findings". Findings are not relief. For the purposes of my reasons, it is not necessary for me to address the deficiency of the claim for relief since it has no bearing on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[12] In his written submissions, counsel for the defendant accurately summarized the facts and I adapt that summary here: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Eirikson is a registered psychologist with a Ph.D. in psychology and has extensive experience in conducting forensic investigations into the welfare of children and assessing their parents for the Ministry of Children and Family Development and for private parties involved in family law proceedings.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2009, the infant plaintiffs B.T.G, K.G., and B.N.G. disclosed to J.P. and others that the infant plaintiff P.G. had been repeatedly sexually abused by B.G.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B.G. denied the sexual abuse allegations. B.G. and his supporters made false reports about J.P.to social workers. The children were taken into care on December 30, 2009.</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January 2010, the Director commenced child protection proceedings against J.P. and B.G in the Provincial Court under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of B.C.</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retained Dr. Eirikson to conduct a parenting capacity assessment on J.P. and B.G.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Eirikson conducted interviews and carried out investigations. He professed to be acting in the best interests of the children and to be fair and impartial to both J.P. and B.G.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2010, Dr. Eirikson completed his report. He concluded that B.G. was not at risk of sexually abusing the infant plaintiffs, that J.P. was not a fit parent but that B.G. was.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Eirikson was reckless and negligent in his investigation.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relied on the report for investigative purposes and parenting decisions regarding the children without any court hearings or judicial involvement.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any court involvement, the Director allowed B.G. to have unsupervised access to the children with the result that P.G. was sexually abused by B.G. during the access visits.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withdrew her child protection concerns regarding both parents by the time Dr. Eirikson testified in the family law proceedings in the Supreme Court.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course of testifying at the family law trial, the defendant: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fraudulently produced certain handwritten notes;</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lied under oath and perjured himself with the intent to harm J.P. and the children;</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deliberately misled, lied under oath, and perjured himself regarding statements he attributed to J.P.;</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showed a clear bias to try to cover up the predatory sexual nature of B.G.;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acted fraudulently and deceitfully toward J.P., the children and the Court in lying under oath and producing documents with the intent to mislead and cover up his own defamatory and malicious conduct toward J.P.</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Eirikson and B.G. conspired together to make a false report, lead false evidence and cover up sexual abuse.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Eirikson, in falsifying his report and manufacturing evidence with a view to suppressing the sexual abuse, breached his fiduciary duties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[13] There are no facts pleaded to explain how the report prepared for the child protection proceedings was converted to an expert report that was admissible in the family law proceedings, but obviously the report and the defendant's expert evidence were admissible either by agreement of the parties or a ruling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[14] The facts make it clear that the involvement of Dr. Eirikson with the plaintiffs arose when he was retained by the Director in the child protection proceedings and continued through to his testimony at the trial of the family law proceedings. I must assess the context of that relationship over its duration and the tasks Dr. Eirikson undertook as disclosed by the facts as pleaded to test whether the defendant is protected by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[15] Our Court of Appeal in </w:t>
      </w:r>
      <w:r>
        <w:rPr>
          <w:rFonts w:ascii="arial" w:eastAsia="arial" w:hAnsi="arial" w:cs="arial"/>
          <w:i/>
          <w:color w:val="000000"/>
          <w:sz w:val="20"/>
          <w:lang w:val="en-US" w:eastAsia="en-US" w:bidi="ar-SA"/>
        </w:rPr>
        <w:t>McDaniel v. McDaniel</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2009 BCCA 53</w:t>
        </w:r>
      </w:hyperlink>
      <w:r>
        <w:rPr>
          <w:rFonts w:ascii="arial" w:eastAsia="arial" w:hAnsi="arial" w:cs="arial"/>
          <w:color w:val="000000"/>
          <w:sz w:val="20"/>
          <w:lang w:val="en-US" w:eastAsia="en-US" w:bidi="ar-SA"/>
        </w:rPr>
        <w:t>, quoting the decision of Mr. Justice Groberman in the Supreme Court, explained the doctrine of witness immunity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 Witnesses are absolutely immune from civil liability for anything that they say in court, even if what is said is false and even if they harboured malicious motives for giving evidence. The immunity is expansive. It applies to evidence given before quasi-judicial administrative tribunals as well as courts. It also applies to out-of-court statements made in the course of preparing to give testimony and even to discussions with counsel for the purpose of determining whether or not the witness has relevant evidence to give. Where litigation is in contemplation, statements made by a potential witness on the subject matter of the litigation will fall within the immunity: </w:t>
      </w:r>
      <w:r>
        <w:rPr>
          <w:rFonts w:ascii="arial" w:eastAsia="arial" w:hAnsi="arial" w:cs="arial"/>
          <w:i/>
          <w:color w:val="000000"/>
          <w:sz w:val="20"/>
          <w:lang w:val="en-US" w:eastAsia="en-US" w:bidi="ar-SA"/>
        </w:rPr>
        <w:t>Monje-Alvarez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Monje-Alvarez</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(1992), 69 B.C.L.R. (2d) 99</w:t>
        </w:r>
      </w:hyperlink>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93 D.L.R. (4th) 659</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immunity is essential to the administration of justice. In order to foster an atmosphere in which witnesses and counsel are unfettered in their preparations for judicial proceedings, neither should face the possibility of a civil suit over their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[16] The rationale underlying witness immunity has been expressed in various ways, but the essence is that the protection of witnesses from the risk of suit is more important than righting a wrong in a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[17] The protection extends to an expert witness. The policy reasons behind protecting an expert witness from suit are that the fear of being sued might dissuade an expert from testifying, thereby depriving the court from the assistance it needs and, more importantly, that the court's process be protected: </w:t>
      </w:r>
      <w:r>
        <w:rPr>
          <w:rFonts w:ascii="arial" w:eastAsia="arial" w:hAnsi="arial" w:cs="arial"/>
          <w:i/>
          <w:color w:val="000000"/>
          <w:sz w:val="20"/>
          <w:lang w:val="en-US" w:eastAsia="en-US" w:bidi="ar-SA"/>
        </w:rPr>
        <w:t>Carnahan v. Coates</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(1990), 47 B.C.L.R. (2d) 127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[18] The context of the relationship between the expert and the person seeking to sue is key. If the only relationship between the expert and the person seeking to sue him derives from the judicial proceeding, the expert is immune from suit: </w:t>
      </w:r>
      <w:r>
        <w:rPr>
          <w:rFonts w:ascii="arial" w:eastAsia="arial" w:hAnsi="arial" w:cs="arial"/>
          <w:i/>
          <w:color w:val="000000"/>
          <w:sz w:val="20"/>
          <w:lang w:val="en-US" w:eastAsia="en-US" w:bidi="ar-SA"/>
        </w:rPr>
        <w:t>Lower v. Stasiuk,</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2013 BCCA 389</w:t>
        </w:r>
      </w:hyperlink>
      <w:r>
        <w:rPr>
          <w:rFonts w:ascii="arial" w:eastAsia="arial" w:hAnsi="arial" w:cs="arial"/>
          <w:color w:val="000000"/>
          <w:sz w:val="20"/>
          <w:lang w:val="en-US" w:eastAsia="en-US" w:bidi="ar-SA"/>
        </w:rPr>
        <w:t>, para. 54. In the present case, the relationship between the plaintiffs and the defendant was derived from two different judicial proceedings: the child protection proceedings and the family law proceedings, but that fact makes no difference to how the relationship is analyzed in the context of whether witness immunity applies over the course of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[19] Witness immunity casts a wide net, but does have limits. The plaintiffs argue that Dr. Eirikson's report was used by the Director to make parenting decisions outside court proceedings, therefore, the report is outside the scope of witness immunity. The plaintiffs cite </w:t>
      </w:r>
      <w:r>
        <w:rPr>
          <w:rFonts w:ascii="arial" w:eastAsia="arial" w:hAnsi="arial" w:cs="arial"/>
          <w:i/>
          <w:color w:val="000000"/>
          <w:sz w:val="20"/>
          <w:lang w:val="en-US" w:eastAsia="en-US" w:bidi="ar-SA"/>
        </w:rPr>
        <w:t>Elliott v. Insurance Crime Prevention Bureau</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2005 NSCA 115</w:t>
        </w:r>
      </w:hyperlink>
      <w:r>
        <w:rPr>
          <w:rFonts w:ascii="arial" w:eastAsia="arial" w:hAnsi="arial" w:cs="arial"/>
          <w:color w:val="000000"/>
          <w:sz w:val="20"/>
          <w:lang w:val="en-US" w:eastAsia="en-US" w:bidi="ar-SA"/>
        </w:rPr>
        <w:t xml:space="preserve"> as support for this argument. </w:t>
      </w:r>
      <w:r>
        <w:rPr>
          <w:rFonts w:ascii="arial" w:eastAsia="arial" w:hAnsi="arial" w:cs="arial"/>
          <w:i/>
          <w:color w:val="000000"/>
          <w:sz w:val="20"/>
          <w:lang w:val="en-US" w:eastAsia="en-US" w:bidi="ar-SA"/>
        </w:rPr>
        <w:t>Elliott</w:t>
      </w:r>
      <w:r>
        <w:rPr>
          <w:rFonts w:ascii="arial" w:eastAsia="arial" w:hAnsi="arial" w:cs="arial"/>
          <w:color w:val="000000"/>
          <w:sz w:val="20"/>
          <w:lang w:val="en-US" w:eastAsia="en-US" w:bidi="ar-SA"/>
        </w:rPr>
        <w:t xml:space="preserve"> was about claims against various defendants who investigated the cause of a fire and reported to the plaintiffs' insurer. The Nova Scotia Court of Appeal held that immunity does not apply to everyone who investigates anything which may result in litigation in which they may be possible witnesses: para. 106. The immunity claims of some investigators were upheld because they conducted their investigation in their role as witnesses, whereas the immunity claims of others were rejected because their role was solely that of investigator.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[20] In order for the rationale of </w:t>
      </w:r>
      <w:r>
        <w:rPr>
          <w:rFonts w:ascii="arial" w:eastAsia="arial" w:hAnsi="arial" w:cs="arial"/>
          <w:i/>
          <w:color w:val="000000"/>
          <w:sz w:val="20"/>
          <w:lang w:val="en-US" w:eastAsia="en-US" w:bidi="ar-SA"/>
        </w:rPr>
        <w:t>Elliott</w:t>
      </w:r>
      <w:r>
        <w:rPr>
          <w:rFonts w:ascii="arial" w:eastAsia="arial" w:hAnsi="arial" w:cs="arial"/>
          <w:color w:val="000000"/>
          <w:sz w:val="20"/>
          <w:lang w:val="en-US" w:eastAsia="en-US" w:bidi="ar-SA"/>
        </w:rPr>
        <w:t xml:space="preserve"> to apply here, the plaintiffs would have to plead that Dr. Eirikson's role before trial was solely that of investigator. The facts as pleaded make it clear that Dr. Eirikson was retained by the Director in the context of the child protection proceedings. The "investigation" he conducted was in the nature of gathering evidence to prepare his expert report. His expert report was evidence intended to be used in the child protection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[21] Every court case follows a timeline. Where expert evidence is contemplated and that evidence is to be adduced by way of a written opinion, the expert is retained, instructions are given, the expert conducts an inquiry or assessment, then writes his or her report. Finally, the expert gives evidence in court if the case gets that far. It is important to note that even if a case never gets to trial (as many cases are settled or discontinued), witness immunity applies to the pre-trial activities and statements of the witness: </w:t>
      </w:r>
      <w:r>
        <w:rPr>
          <w:rFonts w:ascii="arial" w:eastAsia="arial" w:hAnsi="arial" w:cs="arial"/>
          <w:i/>
          <w:color w:val="000000"/>
          <w:sz w:val="20"/>
          <w:lang w:val="en-US" w:eastAsia="en-US" w:bidi="ar-SA"/>
        </w:rPr>
        <w:t>Haeck v. Attorney General of British Columbia et al,</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2005 BCSC 139</w:t>
        </w:r>
      </w:hyperlink>
      <w:r>
        <w:rPr>
          <w:rFonts w:ascii="arial" w:eastAsia="arial" w:hAnsi="arial" w:cs="arial"/>
          <w:color w:val="000000"/>
          <w:sz w:val="20"/>
          <w:lang w:val="en-US" w:eastAsia="en-US" w:bidi="ar-SA"/>
        </w:rPr>
        <w:t xml:space="preserve"> at paras. 118-121. The witness has no control over whether the parties settle out of court or whether his attendance at trial is required or not. It would make no logical sense to deprive a witness of immunity just because he or she does not testify in court. The nature and purpose of the tasks undertaken and the expert's role provide the context within which the witness's statements are protected. In the present case, there was an investigation, a report and oral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[22] Having produced his report and provided it to the Director in the context of the child protection proceedings, Dr. Eirikson would have had no control over how the report was used by the parties before trial. Even if the Director used the report to allow B.G. unsupervised access before the child protection proceedings went to trial, the report does not lose its character as expert evidence and therefore the immunity still applies. Dr. Eirikson is protected from any claims arising out of the pre-trial use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[23] The plaintiffs cite </w:t>
      </w:r>
      <w:r>
        <w:rPr>
          <w:rFonts w:ascii="arial" w:eastAsia="arial" w:hAnsi="arial" w:cs="arial"/>
          <w:i/>
          <w:color w:val="000000"/>
          <w:sz w:val="20"/>
          <w:lang w:val="en-US" w:eastAsia="en-US" w:bidi="ar-SA"/>
        </w:rPr>
        <w:t>Reynolds v. Kingston (City) Police Services Board</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2007 ONCA 166</w:t>
        </w:r>
      </w:hyperlink>
      <w:r>
        <w:rPr>
          <w:rFonts w:ascii="arial" w:eastAsia="arial" w:hAnsi="arial" w:cs="arial"/>
          <w:color w:val="000000"/>
          <w:sz w:val="20"/>
          <w:lang w:val="en-US" w:eastAsia="en-US" w:bidi="ar-SA"/>
        </w:rPr>
        <w:t xml:space="preserve"> as support for the argument that the claims raise complex issues about the scope of witness immunity and should be allowed to go to trial to allow a full exploration of the factual matrix in which the claims arise. In </w:t>
      </w:r>
      <w:r>
        <w:rPr>
          <w:rFonts w:ascii="arial" w:eastAsia="arial" w:hAnsi="arial" w:cs="arial"/>
          <w:i/>
          <w:color w:val="000000"/>
          <w:sz w:val="20"/>
          <w:lang w:val="en-US" w:eastAsia="en-US" w:bidi="ar-SA"/>
        </w:rPr>
        <w:t>Reynolds</w:t>
      </w:r>
      <w:r>
        <w:rPr>
          <w:rFonts w:ascii="arial" w:eastAsia="arial" w:hAnsi="arial" w:cs="arial"/>
          <w:color w:val="000000"/>
          <w:sz w:val="20"/>
          <w:lang w:val="en-US" w:eastAsia="en-US" w:bidi="ar-SA"/>
        </w:rPr>
        <w:t xml:space="preserve">, the plaintiff sued, among others, the notorious Dr. Charles Smith for conducting an autopsy negligently, recklessly and in bad faith, with a view to securing a conviction. The plaintiff relied on the emerging tort of misfeasance in a public office, alleging unlawful conduct of Dr. Smith in the exercise of his public functions under the </w:t>
      </w:r>
      <w:r>
        <w:rPr>
          <w:rFonts w:ascii="arial" w:eastAsia="arial" w:hAnsi="arial" w:cs="arial"/>
          <w:i/>
          <w:color w:val="000000"/>
          <w:sz w:val="20"/>
          <w:lang w:val="en-US" w:eastAsia="en-US" w:bidi="ar-SA"/>
        </w:rPr>
        <w:t>Coroners Act</w:t>
      </w:r>
      <w:r>
        <w:rPr>
          <w:rFonts w:ascii="arial" w:eastAsia="arial" w:hAnsi="arial" w:cs="arial"/>
          <w:color w:val="000000"/>
          <w:sz w:val="20"/>
          <w:lang w:val="en-US" w:eastAsia="en-US" w:bidi="ar-SA"/>
        </w:rPr>
        <w:t>. Dr. Smith claimed the protection of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[24] The Ontario Court of Appeal held that it was not plain and obvious that the claim would fail due to the operation of witness immunity. This is because the essence of the plaintiff's claims against Dr. Smith was in respect of his role as a public official investigating a suspicious death under the </w:t>
      </w:r>
      <w:r>
        <w:rPr>
          <w:rFonts w:ascii="arial" w:eastAsia="arial" w:hAnsi="arial" w:cs="arial"/>
          <w:i/>
          <w:color w:val="000000"/>
          <w:sz w:val="20"/>
          <w:lang w:val="en-US" w:eastAsia="en-US" w:bidi="ar-SA"/>
        </w:rPr>
        <w:t>Coroners Act</w:t>
      </w:r>
      <w:r>
        <w:rPr>
          <w:rFonts w:ascii="arial" w:eastAsia="arial" w:hAnsi="arial" w:cs="arial"/>
          <w:color w:val="000000"/>
          <w:sz w:val="20"/>
          <w:lang w:val="en-US" w:eastAsia="en-US" w:bidi="ar-SA"/>
        </w:rPr>
        <w:t xml:space="preserve">, and not in his role in testifying in her criminal prosecution. The facts of the present case are different. Throughout his relationship with the plaintiffs, Dr. Eirikson was performing his duties (whether competently or incompetently, honestly or dishonestly) as an expert witness. The plaintiffs plead no facts that go to establishing an analogy with Dr. Smith's situation, that is, that Dr. Eirikson was a public official performing statutory duties. Further, I reject the argument that the claims are sufficiently complex to justify a full airing at a trial. I return to the principles set out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The facts as pleaded are the facts most favourable to the plaintiffs. The plaintiffs cannot hope that the facts in support of their claims will improve as the litigation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[25] The plaintiffs argue that the conduct of the defendant in this case is so egregious and the facts so extreme, that the doctrine of witness immunity must not be intended to protect him. Witness immunity, however, does protect conduct which is malicious and statements that are lies. It protects claims of conspiracy: </w:t>
      </w:r>
      <w:r>
        <w:rPr>
          <w:rFonts w:ascii="arial" w:eastAsia="arial" w:hAnsi="arial" w:cs="arial"/>
          <w:i/>
          <w:color w:val="000000"/>
          <w:sz w:val="20"/>
          <w:lang w:val="en-US" w:eastAsia="en-US" w:bidi="ar-SA"/>
        </w:rPr>
        <w:t>Workum v. Olnick</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2006 BCCA 528</w:t>
        </w:r>
      </w:hyperlink>
      <w:r>
        <w:rPr>
          <w:rFonts w:ascii="arial" w:eastAsia="arial" w:hAnsi="arial" w:cs="arial"/>
          <w:color w:val="000000"/>
          <w:sz w:val="20"/>
          <w:lang w:val="en-US" w:eastAsia="en-US" w:bidi="ar-SA"/>
        </w:rPr>
        <w:t>. There is no sliding scale of egregiousness contemplated in the doctrine such that some witnesses are protected from suit, but others are not. Counsel for the plaintiffs submitted that if the claims are struck, it is a signal to people in Dr. Eirikson's position that they can commit wrongdoing with impunity, with no accountability for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[26] I understand that the dismissal of the action may be a bitter pill for J.P. to swallow. However, witness immunity is intended to protect the person in the defendant's position, therefore, it may sometimes protect a witness who has committed a wrong which might be actionable without the immunity. It is, indeed, a blunt instrument. As for accountability for wrongs committed by an expert witness, that may lie in a complaint to the expert's governing body or a prosecution for perjury.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[27] Finally, as to whether the doctrine of witness immunity is settled law in British Columbia, </w:t>
      </w:r>
      <w:r>
        <w:rPr>
          <w:rFonts w:ascii="arial" w:eastAsia="arial" w:hAnsi="arial" w:cs="arial"/>
          <w:i/>
          <w:color w:val="000000"/>
          <w:sz w:val="20"/>
          <w:lang w:val="en-US" w:eastAsia="en-US" w:bidi="ar-SA"/>
        </w:rPr>
        <w:t>Haeck a</w:t>
      </w:r>
      <w:r>
        <w:rPr>
          <w:rFonts w:ascii="arial" w:eastAsia="arial" w:hAnsi="arial" w:cs="arial"/>
          <w:color w:val="000000"/>
          <w:sz w:val="20"/>
          <w:lang w:val="en-US" w:eastAsia="en-US" w:bidi="ar-SA"/>
        </w:rPr>
        <w:t xml:space="preserve">nd </w:t>
      </w:r>
      <w:r>
        <w:rPr>
          <w:rFonts w:ascii="arial" w:eastAsia="arial" w:hAnsi="arial" w:cs="arial"/>
          <w:i/>
          <w:color w:val="000000"/>
          <w:sz w:val="20"/>
          <w:lang w:val="en-US" w:eastAsia="en-US" w:bidi="ar-SA"/>
        </w:rPr>
        <w:t>Lower</w:t>
      </w:r>
      <w:r>
        <w:rPr>
          <w:rFonts w:ascii="arial" w:eastAsia="arial" w:hAnsi="arial" w:cs="arial"/>
          <w:color w:val="000000"/>
          <w:sz w:val="20"/>
          <w:lang w:val="en-US" w:eastAsia="en-US" w:bidi="ar-SA"/>
        </w:rPr>
        <w:t xml:space="preserve"> both refer to there being strong authority in favour of the doctrine. </w:t>
      </w:r>
      <w:r>
        <w:rPr>
          <w:rFonts w:ascii="arial" w:eastAsia="arial" w:hAnsi="arial" w:cs="arial"/>
          <w:i/>
          <w:color w:val="000000"/>
          <w:sz w:val="20"/>
          <w:lang w:val="en-US" w:eastAsia="en-US" w:bidi="ar-SA"/>
        </w:rPr>
        <w:t>Lower</w:t>
      </w:r>
      <w:r>
        <w:rPr>
          <w:rFonts w:ascii="arial" w:eastAsia="arial" w:hAnsi="arial" w:cs="arial"/>
          <w:color w:val="000000"/>
          <w:sz w:val="20"/>
          <w:lang w:val="en-US" w:eastAsia="en-US" w:bidi="ar-SA"/>
        </w:rPr>
        <w:t xml:space="preserve"> cites </w:t>
      </w:r>
      <w:r>
        <w:rPr>
          <w:rFonts w:ascii="arial" w:eastAsia="arial" w:hAnsi="arial" w:cs="arial"/>
          <w:i/>
          <w:color w:val="000000"/>
          <w:sz w:val="20"/>
          <w:lang w:val="en-US" w:eastAsia="en-US" w:bidi="ar-SA"/>
        </w:rPr>
        <w:t>Carnahan</w:t>
      </w:r>
      <w:r>
        <w:rPr>
          <w:rFonts w:ascii="arial" w:eastAsia="arial" w:hAnsi="arial" w:cs="arial"/>
          <w:color w:val="000000"/>
          <w:sz w:val="20"/>
          <w:lang w:val="en-US" w:eastAsia="en-US" w:bidi="ar-SA"/>
        </w:rPr>
        <w:t xml:space="preserve"> with approval. </w:t>
      </w:r>
      <w:r>
        <w:rPr>
          <w:rFonts w:ascii="arial" w:eastAsia="arial" w:hAnsi="arial" w:cs="arial"/>
          <w:i/>
          <w:color w:val="000000"/>
          <w:sz w:val="20"/>
          <w:lang w:val="en-US" w:eastAsia="en-US" w:bidi="ar-SA"/>
        </w:rPr>
        <w:t>McDaniel</w:t>
      </w:r>
      <w:r>
        <w:rPr>
          <w:rFonts w:ascii="arial" w:eastAsia="arial" w:hAnsi="arial" w:cs="arial"/>
          <w:color w:val="000000"/>
          <w:sz w:val="20"/>
          <w:lang w:val="en-US" w:eastAsia="en-US" w:bidi="ar-SA"/>
        </w:rPr>
        <w:t xml:space="preserve"> provides further support. Although there might theoretically be a case whose facts fall within an exception to the doctrine, this is not that case. In this case, the facts as pleaded fall squarely within the scope of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[28] The only claim left to consider is for the tort of abuse of process, which I will turn to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THE TORT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[29] The plaintiffs argue that the action should be allowed to continue because the plaintiffs claim in tort for abuse of process. This is a narrow exception to witness immunity and applies in rare cases. In order to establish an abuse of process, the plaintiffs must plead the material facts in support of the essential elements of the tort: (1) wilful misuse or perversion of the court's process by Dr. Eirikson for a purpose extraneous or ulterior to that the process was designed to serve, and (2) some damage flowing therefrom: </w:t>
      </w:r>
      <w:r>
        <w:rPr>
          <w:rFonts w:ascii="arial" w:eastAsia="arial" w:hAnsi="arial" w:cs="arial"/>
          <w:i/>
          <w:color w:val="000000"/>
          <w:sz w:val="20"/>
          <w:lang w:val="en-US" w:eastAsia="en-US" w:bidi="ar-SA"/>
        </w:rPr>
        <w:t>Carnahan</w:t>
      </w:r>
      <w:r>
        <w:rPr>
          <w:rFonts w:ascii="arial" w:eastAsia="arial" w:hAnsi="arial" w:cs="arial"/>
          <w:color w:val="000000"/>
          <w:sz w:val="20"/>
          <w:lang w:val="en-US" w:eastAsia="en-US" w:bidi="ar-SA"/>
        </w:rPr>
        <w:t xml:space="preserve"> at paras. 142-143; </w:t>
      </w:r>
      <w:r>
        <w:rPr>
          <w:rFonts w:ascii="arial" w:eastAsia="arial" w:hAnsi="arial" w:cs="arial"/>
          <w:i/>
          <w:color w:val="000000"/>
          <w:sz w:val="20"/>
          <w:lang w:val="en-US" w:eastAsia="en-US" w:bidi="ar-SA"/>
        </w:rPr>
        <w:t>Lower</w:t>
      </w:r>
      <w:r>
        <w:rPr>
          <w:rFonts w:ascii="arial" w:eastAsia="arial" w:hAnsi="arial" w:cs="arial"/>
          <w:color w:val="000000"/>
          <w:sz w:val="20"/>
          <w:lang w:val="en-US" w:eastAsia="en-US" w:bidi="ar-SA"/>
        </w:rPr>
        <w:t xml:space="preserve"> at para. 55, citing </w:t>
      </w:r>
      <w:r>
        <w:rPr>
          <w:rFonts w:ascii="arial" w:eastAsia="arial" w:hAnsi="arial" w:cs="arial"/>
          <w:i/>
          <w:color w:val="000000"/>
          <w:sz w:val="20"/>
          <w:lang w:val="en-US" w:eastAsia="en-US" w:bidi="ar-SA"/>
        </w:rPr>
        <w:t>Carnahan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[30] Counsel for Dr. Eirikson argues that there are no material facts pleaded to support a claim for abuse of process because the claim is without merit. In other words, no facts exist which could reasonably support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[31] The plaintiffs plead the following with respect to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reprehensible conduct in the preparation of his report and in his testimony regarding [J.P.] and ultimately the safety and well-being of the children constitutes an abuse of process and a wilful misuse or perversion of the Court's process for purposes extraneous or ulterior to what the defendant was hired for and what he was called to testify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[32] Conclusions of law must not be pleaded unless the material facts supporting them are pleaded: Rule 3-7(9). "Abuse of process" is a conclusion of law which must be supported by pleading material facts. The material facts in support of the claim of abuse of process are not clearly set out as required. Also, any damage or injury sustained by each of the plaintiffs flowing from the alleged abuse of process is not clearly pleaded. Counsel for the plaintiffs argues that damage is claimed because the notice of civil claim at para. 51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actions and omissions of the Defendant caused the Plaintiff and the Children to suffer significant damages, pecuniary and non pecuniary, physical, psychological and emotional injuries, financial losses, costs and other damages and losses to be detailed upon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catch-all pleading is too vague and general to meet the requirement that a claim for abuse of process must specifically set out the damage caused by the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[33] It is not clear what facts are meant by "reprehensible conduct". Are they all the facts pleaded elsewhere in the notice of civil claim? It is impossible to tell from this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[34] Counsel for the plaintiffs argues that the fact that Dr. Eirikson falsified his notes is an abuse of process and cites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Workum</w:t>
      </w:r>
      <w:r>
        <w:rPr>
          <w:rFonts w:ascii="arial" w:eastAsia="arial" w:hAnsi="arial" w:cs="arial"/>
          <w:color w:val="000000"/>
          <w:sz w:val="20"/>
          <w:lang w:val="en-US" w:eastAsia="en-US" w:bidi="ar-SA"/>
        </w:rPr>
        <w:t xml:space="preserve"> as support for that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 [The witness immunity rule] does not preclude an action for planting evidence which is subsequently put before the court, or manufacturing documents, whether those documents are or are not adduced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[35] In my view, the "manufactured documents" concept does not apply in this case and the cases cited by the Court of Appeal in </w:t>
      </w:r>
      <w:r>
        <w:rPr>
          <w:rFonts w:ascii="arial" w:eastAsia="arial" w:hAnsi="arial" w:cs="arial"/>
          <w:i/>
          <w:color w:val="000000"/>
          <w:sz w:val="20"/>
          <w:lang w:val="en-US" w:eastAsia="en-US" w:bidi="ar-SA"/>
        </w:rPr>
        <w:t>Workum</w:t>
      </w:r>
      <w:r>
        <w:rPr>
          <w:rFonts w:ascii="arial" w:eastAsia="arial" w:hAnsi="arial" w:cs="arial"/>
          <w:color w:val="000000"/>
          <w:sz w:val="20"/>
          <w:lang w:val="en-US" w:eastAsia="en-US" w:bidi="ar-SA"/>
        </w:rPr>
        <w:t xml:space="preserve"> are distinguishable on their facts. If the so-called "manufactured document" is Dr. Eirikson's falsified notes, those notes were made while gathering information in order to prepare his report. The report is the expert evidence, therefore the notes made to assist in preparing the report are caught in the net of witness immunity. Further, there are no facts pleaded that Dr. Eirikson "planted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[36] In considering the issue of extraneous or ulterior purpose, the court should look to the predominant purpose of the person who uses the process: </w:t>
      </w:r>
      <w:r>
        <w:rPr>
          <w:rFonts w:ascii="arial" w:eastAsia="arial" w:hAnsi="arial" w:cs="arial"/>
          <w:i/>
          <w:color w:val="000000"/>
          <w:sz w:val="20"/>
          <w:lang w:val="en-US" w:eastAsia="en-US" w:bidi="ar-SA"/>
        </w:rPr>
        <w:t>Moore-Stewart v. Segarty</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[1989] B.C.J. No. 768</w:t>
        </w:r>
      </w:hyperlink>
      <w:r>
        <w:rPr>
          <w:rFonts w:ascii="arial" w:eastAsia="arial" w:hAnsi="arial" w:cs="arial"/>
          <w:color w:val="000000"/>
          <w:sz w:val="20"/>
          <w:lang w:val="en-US" w:eastAsia="en-US" w:bidi="ar-SA"/>
        </w:rPr>
        <w:t xml:space="preserve">, May 4, 1989, Victoria Registry 870617 (B.C.S.C.) cited in </w:t>
      </w:r>
      <w:r>
        <w:rPr>
          <w:rFonts w:ascii="arial" w:eastAsia="arial" w:hAnsi="arial" w:cs="arial"/>
          <w:i/>
          <w:color w:val="000000"/>
          <w:sz w:val="20"/>
          <w:lang w:val="en-US" w:eastAsia="en-US" w:bidi="ar-SA"/>
        </w:rPr>
        <w:t>Carnahan</w:t>
      </w:r>
      <w:r>
        <w:rPr>
          <w:rFonts w:ascii="arial" w:eastAsia="arial" w:hAnsi="arial" w:cs="arial"/>
          <w:color w:val="000000"/>
          <w:sz w:val="20"/>
          <w:lang w:val="en-US" w:eastAsia="en-US" w:bidi="ar-SA"/>
        </w:rPr>
        <w:t xml:space="preserve"> at pp. 143-144. In the present case, "the person who uses the process" is the Director in the child protection proceedings and B.G. in the family law proceeding. The predominant purpose of the Director and of B.G. was to address custody and guardianship of the children which involved issues of parenting capacity and alleged sexual abuse. That was not an extraneous or ulterior purpose - that was the central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[37] Even if I overlook the shortcomings of the specific pleading on abuse of process and read in all the facts pleaded elsewhere in the notice of civil claim, the facts do not support a claim in tort for abuse of process. The claim of abuse of process derives from the claim that Dr. Eirikson gave false evidence. Giving false evidence and preparing to give false evidence, falls within the protection of witness immunity. Labelling the giving of false evidence an abuse of process does not make it so. I find therefore that claim for abuse of process has no reasonable chance of succeeding.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[38] None of the claims pleaded discloses a reasonable cause of action. The plaintiffs' claims are struck and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[39] Dr. Eirikson seeks special costs on the basis that the plaintiffs were put on notice early on that Dr. Eirikson took the position that the claims were bound to fail. In my view, the circumstances do not warrant such a harsh result. I order that the plaintiffs pay to the defendant his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S. HARPER</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Schedule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Amended on March 24, 2015</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Court File No. S142S17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Court Registry: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&lt;CENTRE&gt;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SUPREME COURT OF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J.P. and as LITIGATION GUARDIAN for BTG, K,G. BNG, and PG.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Plaintiffs</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PAUL NORMAN EIRIKSON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AMENDED</w:t>
      </w:r>
      <w:r>
        <w:rPr>
          <w:rFonts w:ascii="arial" w:eastAsia="arial" w:hAnsi="arial" w:cs="arial"/>
          <w:b/>
          <w:color w:val="000000"/>
          <w:sz w:val="20"/>
          <w:lang w:val="en-US" w:eastAsia="en-US" w:bidi="ar-SA"/>
        </w:rPr>
        <w:t xml:space="preserve"> NOTICE OF CIVIL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Original Notice of Civil Claim Filed April 10,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action has been storied by the Plaintiff for the relief set out in Part 2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intend to respond to this action, you or your lawyer must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 described below, and</w:t>
      </w:r>
    </w:p>
    <w:p>
      <w:pPr>
        <w:numPr>
          <w:numId w:val="2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intend to make a counterclaim, you or your lawyer must</w:t>
      </w:r>
    </w:p>
    <w:p>
      <w:pPr>
        <w:numPr>
          <w:numId w:val="2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above-named registry of this court within the time for response to civil claim described below, and</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parties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MAY BE PRONOUNCED AGAINST YOU IF YOU FAIL to file the response to civil claim within the time far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Time for response to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response to civil claim must be filed and served on the Plaintiff,</w:t>
      </w:r>
    </w:p>
    <w:p>
      <w:pPr>
        <w:numPr>
          <w:numId w:val="2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anywhere in Canada, within 21 days after the date on which a copy of the filed notice of civil claim was served on you,</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in the United States of America, within 35 days after the date on which a copy of the filed notice of civil claim was served on you.</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elsewhere, within 49 days after the date on which a copy of the filed notice of civil claim was served on your, or</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STATEMENT OF FACTS</w:t>
      </w:r>
      <w:r>
        <w:rPr>
          <w:rFonts w:ascii="arial" w:eastAsia="arial" w:hAnsi="arial" w:cs="arial"/>
          <w:sz w:val="20"/>
          <w:lang w:val="en-US" w:eastAsia="en-US" w:bidi="ar-SA"/>
        </w:rPr>
        <w:cr/>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currently a Court ordered publication ban on the names of the Plaintiffs, </w:t>
      </w:r>
      <w:r>
        <w:rPr>
          <w:rFonts w:ascii="arial" w:eastAsia="arial" w:hAnsi="arial" w:cs="arial"/>
          <w:color w:val="000000"/>
          <w:sz w:val="20"/>
          <w:u w:val="single"/>
          <w:lang w:val="en-US" w:eastAsia="en-US" w:bidi="ar-SA"/>
        </w:rPr>
        <w:t>the infant Plaintiffs</w:t>
      </w:r>
      <w:r>
        <w:rPr>
          <w:rFonts w:ascii="arial" w:eastAsia="arial" w:hAnsi="arial" w:cs="arial"/>
          <w:color w:val="000000"/>
          <w:sz w:val="20"/>
          <w:lang w:val="en-US" w:eastAsia="en-US" w:bidi="ar-SA"/>
        </w:rPr>
        <w:t>, and B.G., the former husband of the adult Plaintiff and the biological father of the infant Plaintiffs, in a family law proceeding in the Supreme Court of B.C., Vancouver Registry E093361 ("the family law proceeding") and since this action relates to matters in the family law proceeding, the full names of these parties are not mentioned here. The adult Plaintiff mentioned in the style of cause as J.P. ("the Plaintiff") is the mother of four children, namely B.T.G, born July 21, 2002, K.G., bom August 11, 2004, BNG, born August 24, 2006, and PG, born September 4, 2008 (collectively "the Children").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29, 2012, the Plaintiff was granted sole guardianship and sole custody of the Children pursuant to the Order of Mr. Justice Walker after a 92 day trial in, the family law proceeding. The Plaintiff is the only authorized party to act as a litigation guardian for the Children, all of whom are infants and under the age of 19.</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Justice Walker in the family law proceeding found on a balance of probabilities that B.G. had sexually and physically abused at least 3 of the 4 Children and ordered that he not have any access, with a permanent restraining order preventing him from having any contact either direct or indirect with either the Children or the Plaintiff.</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a registered psychologist with a Ph. D. in psychology, and has an office at #401-625 Fifth Ave., New Westminster, B.C. The Defendant has extensive experience in conducting forensic investigations and reports into the welfare of children and the assessment of parents, both for the Ministry of Children and Family Development ("MCFD") in carrying out parenting capacity assessments and under s. 15 of the </w:t>
      </w:r>
      <w:r>
        <w:rPr>
          <w:rFonts w:ascii="arial" w:eastAsia="arial" w:hAnsi="arial" w:cs="arial"/>
          <w:i/>
          <w:color w:val="000000"/>
          <w:sz w:val="20"/>
          <w:lang w:val="en-US" w:eastAsia="en-US" w:bidi="ar-SA"/>
        </w:rPr>
        <w:t>Family Relations Act</w:t>
      </w:r>
      <w:r>
        <w:rPr>
          <w:rFonts w:ascii="arial" w:eastAsia="arial" w:hAnsi="arial" w:cs="arial"/>
          <w:color w:val="000000"/>
          <w:sz w:val="20"/>
          <w:lang w:val="en-US" w:eastAsia="en-US" w:bidi="ar-SA"/>
        </w:rPr>
        <w:t xml:space="preserve"> ("FRA") for private parties involved in family law proceedings.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B.G. separated on October 5, 2009, after B.G. was arrested by the police for assaulting the Plaintiff and KG.</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22, 2009, the Plaintiff and on that date obtained Ex Parte Restraining Orders against B.G. Subsequently on December 17 and December 21, 2009, Mr. Justice Walker ordered that B.G could have, on an interim basis, supervised access to the Children,</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16, 2009, BTG, KG and BNG disclosed to the Plaintiff that they and their youngest sibling PG had been repeatedly sexually abused by B.G. Between December 16 and December 20, 2009, there were significant sexual abuse disclosures by the Children to not only the Plaintiff but also to a Dr. Edamura and other people.</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B.G denied the sexual abuse allegations and claimed that the Plaintiff was mentally unstable. B.G, friends of his, his mother, and his step father made various false and misleading reports to social workers with the MCFD and on December 30, 2009 the Children were apprehended and placed in foster care,</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January 2010, the Director of Child, Family and Community Services ("the Director") commenced child protection proceedings against the Plaintiff and B.G in the Provinces Court under the </w:t>
      </w:r>
      <w:r>
        <w:rPr>
          <w:rFonts w:ascii="arial" w:eastAsia="arial" w:hAnsi="arial" w:cs="arial"/>
          <w:i/>
          <w:color w:val="000000"/>
          <w:sz w:val="20"/>
          <w:lang w:val="en-US" w:eastAsia="en-US" w:bidi="ar-SA"/>
        </w:rPr>
        <w:t>Child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Family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Community Services Act</w:t>
      </w:r>
      <w:r>
        <w:rPr>
          <w:rFonts w:ascii="arial" w:eastAsia="arial" w:hAnsi="arial" w:cs="arial"/>
          <w:color w:val="000000"/>
          <w:sz w:val="20"/>
          <w:lang w:val="en-US" w:eastAsia="en-US" w:bidi="ar-SA"/>
        </w:rPr>
        <w:t xml:space="preserve"> of B.C.</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 chose to conduct a </w:t>
      </w:r>
      <w:r>
        <w:rPr>
          <w:rFonts w:ascii="arial" w:eastAsia="arial" w:hAnsi="arial" w:cs="arial"/>
          <w:color w:val="000000"/>
          <w:sz w:val="20"/>
          <w:u w:val="single"/>
          <w:lang w:val="en-US" w:eastAsia="en-US" w:bidi="ar-SA"/>
        </w:rPr>
        <w:t>P</w:t>
      </w:r>
      <w:r>
        <w:rPr>
          <w:rFonts w:ascii="arial" w:eastAsia="arial" w:hAnsi="arial" w:cs="arial"/>
          <w:color w:val="000000"/>
          <w:sz w:val="20"/>
          <w:lang w:val="en-US" w:eastAsia="en-US" w:bidi="ar-SA"/>
        </w:rPr>
        <w:t xml:space="preserve">arenting </w:t>
      </w:r>
      <w:r>
        <w:rPr>
          <w:rFonts w:ascii="arial" w:eastAsia="arial" w:hAnsi="arial" w:cs="arial"/>
          <w:color w:val="000000"/>
          <w:sz w:val="20"/>
          <w:u w:val="single"/>
          <w:lang w:val="en-US" w:eastAsia="en-US" w:bidi="ar-SA"/>
        </w:rPr>
        <w:t>C</w:t>
      </w:r>
      <w:r>
        <w:rPr>
          <w:rFonts w:ascii="arial" w:eastAsia="arial" w:hAnsi="arial" w:cs="arial"/>
          <w:color w:val="000000"/>
          <w:sz w:val="20"/>
          <w:lang w:val="en-US" w:eastAsia="en-US" w:bidi="ar-SA"/>
        </w:rPr>
        <w:t xml:space="preserve">apacity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ssessment ("</w:t>
      </w:r>
      <w:r>
        <w:rPr>
          <w:rFonts w:ascii="arial" w:eastAsia="arial" w:hAnsi="arial" w:cs="arial"/>
          <w:color w:val="000000"/>
          <w:sz w:val="20"/>
          <w:u w:val="single"/>
          <w:lang w:val="en-US" w:eastAsia="en-US" w:bidi="ar-SA"/>
        </w:rPr>
        <w:t>PCA</w:t>
      </w:r>
      <w:r>
        <w:rPr>
          <w:rFonts w:ascii="arial" w:eastAsia="arial" w:hAnsi="arial" w:cs="arial"/>
          <w:color w:val="000000"/>
          <w:sz w:val="20"/>
          <w:lang w:val="en-US" w:eastAsia="en-US" w:bidi="ar-SA"/>
        </w:rPr>
        <w:t xml:space="preserve">") on the Plaintiff and </w:t>
      </w:r>
      <w:r>
        <w:rPr>
          <w:rFonts w:ascii="arial" w:eastAsia="arial" w:hAnsi="arial" w:cs="arial"/>
          <w:color w:val="000000"/>
          <w:sz w:val="20"/>
          <w:u w:val="single"/>
          <w:lang w:val="en-US" w:eastAsia="en-US" w:bidi="ar-SA"/>
        </w:rPr>
        <w:t>B.G</w:t>
      </w:r>
      <w:r>
        <w:rPr>
          <w:rFonts w:ascii="arial" w:eastAsia="arial" w:hAnsi="arial" w:cs="arial"/>
          <w:color w:val="000000"/>
          <w:sz w:val="20"/>
          <w:lang w:val="en-US" w:eastAsia="en-US" w:bidi="ar-SA"/>
        </w:rPr>
        <w:t>. and retained the services of the Defendant to carry out a full investigation and report.</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conducted various interviews and carried out whatever investigations he deemed appropriate. At all times, the Defendant professed to be acting in the best interests of the Children and further professed to be fair and impartial to both the Plaintiff and B.G. The Plaintiff relied on the Defendant to act professionally and in an unbiased manner. The Defendant owed a duty of care to the Children to act professionally and in a competent and unbiased manner.</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B.G, and the Plaintiff, all provided information they deemed necessary to the Defendant.</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11, 2010, the Defendant completed a 70 page report and concluded that B.G was not at risk of sexually abusing the Children and that the Plaintiff was manipulative and would benefit from further referral to a mental health practitioner for psychiatric assessment, which may involve medication. The Defendant concluded that the Plaintiff was not a fit parent but that B.G was.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viewed video clips of BTG and KG making explicit sexual abuse disclosures regarding their father, read Dr. Edamura's December 18, 2009 letter describing sexual abuse disclosures from BTG and KG and heard L.P (Plaintiffs sister) describe direct sexual abuse disclosures from the Children to her and yet the Defendant deliberately, falsely and recklessly stated that B.G "does not have undue sexual interest in children other than the allegations made by [the Plaintiff]. No other source of allegations or observations regarding undue sexual interest in children were made other than by J.P or via people she told about B.G".</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reckless and negligent in ignoring key evidence about sexualized behaviour of the Children and evidence from collaterals provided by the Plaintiff which indicated that the sexual abuse of the Children by B.G did in fact occur.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concludes in several places in his report that the Plaintiff was not faithful and manipulative specifically because she misled him about a Lisa Ball who told the Plaintiff that B.G had not raped her in high school. Reading the report It appears that the Plaintiff had lied to the Defendant about Ms. Ball.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17. The PCA was used by the Director far investigative purposes and parenting decisions regarding the Children without any Court hearings or judicial involvement.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18. From the time of apprehension on December 30, 2005 until around the middle of May 2010, the Director only permitted BG to have supervised access to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19. Around the middle of May 2010, specifically based on the PCA and the Defendant's conclusions that JP was at mentally unstable, manipulative, and untruthful, and b) that BG did not cose a risk of sexually abusing his children, the Director decided, without any Court involvement, to allow BG to have unsupervised access his Children, with the result that the youngest child P.G. was sexually abused by B.G. during unsupervised access visits.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20. But for the PCA and the Defendant's conclusions, the Director would not have provided unsupervised access to BG. would not have supported BG for sole custody, it is unlikely that the Children would have remained in care until May/June 2012, and P.G. would not have been sexually abused.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21. The reliance of the Director on the PCA and the Defendant did not involve any judicial involvement.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22. By the time the Defendant testified in the family law proceeding, the Director had withdrawn her child protection concerns vis a vis both parents and it was BG who called the Defendant to testify as part of 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23. The Defendant did not testify in any child protection proceeding and was not called by the Director.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24. The Defendant was not hired by BG and the PCA was not commissioned for the family law proceeding between JP and BG, During the time that the Defendant carried out his investigation and wrote his report he was not involved in any way in the family law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25.</w:t>
      </w:r>
      <w:r>
        <w:rPr>
          <w:rFonts w:ascii="arial" w:eastAsia="arial" w:hAnsi="arial" w:cs="arial"/>
          <w:color w:val="000000"/>
          <w:sz w:val="20"/>
          <w:lang w:val="en-US" w:eastAsia="en-US" w:bidi="ar-SA"/>
        </w:rPr>
        <w:t xml:space="preserve"> On April 13, 2012, during the above noted trial, the Defendant fraudulently and with the intent to try to buttress his false and defamatory statements about what the Plaintiff said about Ms. Ball, produced handwritten notes which he claimed were written contemporaneously by him, and not added later, stating that while interviewing the Plaintiff, she had told him that Ms. Bali confirmed the rape to her. A portion of the hand written note states: "I call Lisa, myself, looked her up, she confirmed to me . raped". The Plaintiff never said to the Defendant that Ms. Ball confirmed this to her, and in fact the Plaintiff was told by Ms. Ball that it was not her who was raped by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26.</w:t>
      </w:r>
      <w:r>
        <w:rPr>
          <w:rFonts w:ascii="arial" w:eastAsia="arial" w:hAnsi="arial" w:cs="arial"/>
          <w:color w:val="000000"/>
          <w:sz w:val="20"/>
          <w:lang w:val="en-US" w:eastAsia="en-US" w:bidi="ar-SA"/>
        </w:rPr>
        <w:t xml:space="preserve"> On April 13, 2013, during the above noted trial, the Defendant deliberately lied under oath and perjured himself with the intent to harm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by falsely stating that his impugned notes were made contemporaneously as the interview progressed and dented that there was any delay in making the impugned notes.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27.</w:t>
      </w:r>
      <w:r>
        <w:rPr>
          <w:rFonts w:ascii="arial" w:eastAsia="arial" w:hAnsi="arial" w:cs="arial"/>
          <w:color w:val="000000"/>
          <w:sz w:val="20"/>
          <w:lang w:val="en-US" w:eastAsia="en-US" w:bidi="ar-SA"/>
        </w:rPr>
        <w:t xml:space="preserve"> During the above noted trial, on April 17, 2012, a forensic document examiner Daniel Purdy prepared an expert report on the impugned notes and testified on April 19, 2012, about the impugned notes of the Defendant concluding that the impugned notation could not have been written with the same pen at the same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28.</w:t>
      </w:r>
      <w:r>
        <w:rPr>
          <w:rFonts w:ascii="arial" w:eastAsia="arial" w:hAnsi="arial" w:cs="arial"/>
          <w:color w:val="000000"/>
          <w:sz w:val="20"/>
          <w:lang w:val="en-US" w:eastAsia="en-US" w:bidi="ar-SA"/>
        </w:rPr>
        <w:t xml:space="preserve"> On April 12, 2012, during the above noted trial, the Defendant deliberately misled, lied under oath, and perjured himself by stating that he was toil by the Plaintiff prior to the conclusion of his report that Robert Colby was going to be conducting a s. 15 FRA report and that his report was not to be shown to Mr. Colby. Prior to the conclusion of the Defendant's report the Plaintiff had no idea what its conclusion was going to be, she had never heard of Robert Colby, she had not even heard of s. 15 reports, and it was not until later on June 2, 2010 that Mr. Justice Walker made an order appointing Mr. Colby to conduct a s. 15 investigation and report and stipulated that Mr, Colby was not to see the Defendant's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29. The Defendant and B.G. conspired together to unlawfully and fraudufently make a false and misleading report and then further conspired to lead false evidence to buttress the false report in the above noted trial, B.G, maintained that J.P had mental health issues and was untruthful, and that he had not sexually abused his children, all of which was supported by the Defendant in the PCA.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30. The Defendant and B.G. conspired with the predominant purpose of suppressing the sexual abuse and exposing the Children to further sexual abuse and injuries. The Defendant and B.G. knew that by labelling J.P. as mentally unstable, manipulative, and untruthful, it was likely that B.G.'s sexual abuse of the Children would not be discovered and that this would result in all likelihood in further sexual abuse and injury to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31. The Defendant had the scope to exercise power over J.P and the Children, in that he had the ability to make negative findings against the Plaintiff, which would have a severe negative impact on the Children and expose them to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32. The Defendant as an expert retained bv the Director to assess all issues relating to parenting, and specifically the mental health of JP and the sexual abuse of the Children by BG. had the ability to exercise unique discretionary power over the Plaintiff and the Children, who were Peculiarly vulnerable to him and were at his mercy. The Defendant knew that the PCA would play a critical role in determing not only the Plaintiffs future but the Children's welfare and safety from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33. The actions of the Defendant in falsifying his report and manufacturing evidence to buttress, aid, and abet his false conclusions all aimed at suppressing the sexual abuse, were in direct conflict with his fiduciary duties to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34.</w:t>
      </w:r>
      <w:r>
        <w:rPr>
          <w:rFonts w:ascii="arial" w:eastAsia="arial" w:hAnsi="arial" w:cs="arial"/>
          <w:color w:val="000000"/>
          <w:sz w:val="20"/>
          <w:lang w:val="en-US" w:eastAsia="en-US" w:bidi="ar-SA"/>
        </w:rPr>
        <w:t xml:space="preserve"> On April 13, 2012 during the above noted trial the Defendant was shown pictures of naked pre pubescent girls taken from B.G's computer hard drive and when asked to guess their ages, the Defendant guessed 15 to 19 years old, showing a clear bias to try to cover up the predatory sexual nature of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35.</w:t>
      </w:r>
      <w:r>
        <w:rPr>
          <w:rFonts w:ascii="arial" w:eastAsia="arial" w:hAnsi="arial" w:cs="arial"/>
          <w:color w:val="000000"/>
          <w:sz w:val="20"/>
          <w:lang w:val="en-US" w:eastAsia="en-US" w:bidi="ar-SA"/>
        </w:rPr>
        <w:t xml:space="preserve"> Subsequent to the release of the Defendant's report the Director chose to rely on it in providing extensive unsupervised access to B.G, which resulted in PG being sexually abused by B.G.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36.</w:t>
      </w:r>
      <w:r>
        <w:rPr>
          <w:rFonts w:ascii="arial" w:eastAsia="arial" w:hAnsi="arial" w:cs="arial"/>
          <w:color w:val="000000"/>
          <w:sz w:val="20"/>
          <w:lang w:val="en-US" w:eastAsia="en-US" w:bidi="ar-SA"/>
        </w:rPr>
        <w:t xml:space="preserve"> The Director relied on the Defendant's report in supporting B.G for sole custody and rejected all attempts by the Plaintiff to try to show that B.G posed at least a risk of harm for sexually abusing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38.</w:t>
      </w:r>
      <w:r>
        <w:rPr>
          <w:rFonts w:ascii="arial" w:eastAsia="arial" w:hAnsi="arial" w:cs="arial"/>
          <w:color w:val="000000"/>
          <w:sz w:val="20"/>
          <w:lang w:val="en-US" w:eastAsia="en-US" w:bidi="ar-SA"/>
        </w:rPr>
        <w:t xml:space="preserve"> But for the Defendant's report and opinions it is likely that the Director would not have supported B.G for sole custody against the Plaintiff in the above noted trial which began in October 2011 and concluded in May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39.</w:t>
      </w:r>
      <w:r>
        <w:rPr>
          <w:rFonts w:ascii="arial" w:eastAsia="arial" w:hAnsi="arial" w:cs="arial"/>
          <w:color w:val="000000"/>
          <w:sz w:val="20"/>
          <w:lang w:val="en-US" w:eastAsia="en-US" w:bidi="ar-SA"/>
        </w:rPr>
        <w:t xml:space="preserve"> Mr. Justice Walker in his 534 paragraph, 137 page Reasons for Judgment released on June 25, 2012, concluded that there was no basis for any of the mental health allegations against the Plaintiff. In paragraphs 381 to 404, pages 101 to 109, Mr. Justice Walker made a number of findings of fact about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40.</w:t>
      </w:r>
      <w:r>
        <w:rPr>
          <w:rFonts w:ascii="arial" w:eastAsia="arial" w:hAnsi="arial" w:cs="arial"/>
          <w:color w:val="000000"/>
          <w:sz w:val="20"/>
          <w:lang w:val="en-US" w:eastAsia="en-US" w:bidi="ar-SA"/>
        </w:rPr>
        <w:t xml:space="preserve"> Mr. Justice Walker found that the Defendant had engaged in a "persistent and dogged determination... to support the opinions he expressed in his report regardless of evidence put to him that was either inconsistent with important factual foundations for his opinions or called into question the accuracy of the VPD determination and his opinions concerning [the Plaintiffs] purported manipulation and mixed personality issues" (at para 382).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41.</w:t>
      </w:r>
      <w:r>
        <w:rPr>
          <w:rFonts w:ascii="arial" w:eastAsia="arial" w:hAnsi="arial" w:cs="arial"/>
          <w:color w:val="000000"/>
          <w:sz w:val="20"/>
          <w:lang w:val="en-US" w:eastAsia="en-US" w:bidi="ar-SA"/>
        </w:rPr>
        <w:t xml:space="preserve"> Mr. Justice Walker also found that the Defendant was "pre-disposed against [the Plaintiff]" (para. 383) and that he was, "prepared to place the worst possible characterization on all of [the Plaintiffs] conduct and motivations" (para. 384).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42.</w:t>
      </w:r>
      <w:r>
        <w:rPr>
          <w:rFonts w:ascii="arial" w:eastAsia="arial" w:hAnsi="arial" w:cs="arial"/>
          <w:color w:val="000000"/>
          <w:sz w:val="20"/>
          <w:lang w:val="en-US" w:eastAsia="en-US" w:bidi="ar-SA"/>
        </w:rPr>
        <w:t xml:space="preserve"> Mr. Justice Walker found that it was essential for professionals, such as the Defendant to build rapport with Children who are alleged to have suffered sexual abuse, but that the Defendant failed to develop a rapport with the Children in this case because of the short duration of his interviews with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43.</w:t>
      </w:r>
      <w:r>
        <w:rPr>
          <w:rFonts w:ascii="arial" w:eastAsia="arial" w:hAnsi="arial" w:cs="arial"/>
          <w:color w:val="000000"/>
          <w:sz w:val="20"/>
          <w:lang w:val="en-US" w:eastAsia="en-US" w:bidi="ar-SA"/>
        </w:rPr>
        <w:t xml:space="preserve"> At all times the Defendant owed a duty of care to act in the best interests of the Children and to act in a professional and prudent manner in carrying out his investigation and report in a fair and unbiased fashion.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44.</w:t>
      </w:r>
      <w:r>
        <w:rPr>
          <w:rFonts w:ascii="arial" w:eastAsia="arial" w:hAnsi="arial" w:cs="arial"/>
          <w:color w:val="000000"/>
          <w:sz w:val="20"/>
          <w:lang w:val="en-US" w:eastAsia="en-US" w:bidi="ar-SA"/>
        </w:rPr>
        <w:t xml:space="preserve"> The Defendant acted fraudulently and deceitfully towards the Plaintiff, the </w:t>
      </w:r>
      <w:r>
        <w:rPr>
          <w:rFonts w:ascii="arial" w:eastAsia="arial" w:hAnsi="arial" w:cs="arial"/>
          <w:color w:val="000000"/>
          <w:sz w:val="20"/>
          <w:u w:val="single"/>
          <w:lang w:val="en-US" w:eastAsia="en-US" w:bidi="ar-SA"/>
        </w:rPr>
        <w:t>Children</w:t>
      </w:r>
      <w:r>
        <w:rPr>
          <w:rFonts w:ascii="arial" w:eastAsia="arial" w:hAnsi="arial" w:cs="arial"/>
          <w:color w:val="000000"/>
          <w:sz w:val="20"/>
          <w:lang w:val="en-US" w:eastAsia="en-US" w:bidi="ar-SA"/>
        </w:rPr>
        <w:t>, and the Court in lying under oath and producing documents with the intent to mislead and cover up the Defendant's own defamatory and malicious conduct towards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45. Although the legal proceedings were not commenced by the Defendant, he conspired with B.G. and acted in concert with him, and in a collateral capacity, to continue legal proceedings for an illegal purpose, specifically covering up and suppressing the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46. The Defendant made overt and illegal acts in furtherance of B.G.'s collateral or improper purpose bv minimizing and suppressing the risks B.G. posed to the Children and exaggerating and artificially increasing the risks J.P. posed to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47.</w:t>
      </w:r>
      <w:r>
        <w:rPr>
          <w:rFonts w:ascii="arial" w:eastAsia="arial" w:hAnsi="arial" w:cs="arial"/>
          <w:color w:val="000000"/>
          <w:sz w:val="20"/>
          <w:lang w:val="en-US" w:eastAsia="en-US" w:bidi="ar-SA"/>
        </w:rPr>
        <w:t xml:space="preserve"> The Defendant's reprehensible conduct in the preparation of his report and in his testimony regarding the Plaintiff and ultimately the safety and well-being of the Children constitutes an abuse of process and a wilful misuse or perversion of the Court's process for purposes extraneous or ulterior to what the Defendant was hired for and what he was called to testify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48.</w:t>
      </w:r>
      <w:r>
        <w:rPr>
          <w:rFonts w:ascii="arial" w:eastAsia="arial" w:hAnsi="arial" w:cs="arial"/>
          <w:color w:val="000000"/>
          <w:sz w:val="20"/>
          <w:lang w:val="en-US" w:eastAsia="en-US" w:bidi="ar-SA"/>
        </w:rPr>
        <w:t xml:space="preserve"> The Defendant, in lying under oath and falsifying his notes, showed malice and contempt for the Court process </w:t>
      </w:r>
      <w:r>
        <w:rPr>
          <w:rFonts w:ascii="arial" w:eastAsia="arial" w:hAnsi="arial" w:cs="arial"/>
          <w:color w:val="000000"/>
          <w:sz w:val="20"/>
          <w:u w:val="single"/>
          <w:lang w:val="en-US" w:eastAsia="en-US" w:bidi="ar-SA"/>
        </w:rPr>
        <w:t>and towards the Plaintiffs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49.</w:t>
      </w:r>
      <w:r>
        <w:rPr>
          <w:rFonts w:ascii="arial" w:eastAsia="arial" w:hAnsi="arial" w:cs="arial"/>
          <w:color w:val="000000"/>
          <w:sz w:val="20"/>
          <w:lang w:val="en-US" w:eastAsia="en-US" w:bidi="ar-SA"/>
        </w:rPr>
        <w:t xml:space="preserve"> The Defendant breached his fiduciary duties to the Children.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50.</w:t>
      </w:r>
      <w:r>
        <w:rPr>
          <w:rFonts w:ascii="arial" w:eastAsia="arial" w:hAnsi="arial" w:cs="arial"/>
          <w:color w:val="000000"/>
          <w:sz w:val="20"/>
          <w:lang w:val="en-US" w:eastAsia="en-US" w:bidi="ar-SA"/>
        </w:rPr>
        <w:t xml:space="preserve"> The Defendant defamed the Plaintiff in not only his report but in his testimony in the above noted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51.</w:t>
      </w:r>
      <w:r>
        <w:rPr>
          <w:rFonts w:ascii="arial" w:eastAsia="arial" w:hAnsi="arial" w:cs="arial"/>
          <w:color w:val="000000"/>
          <w:sz w:val="20"/>
          <w:lang w:val="en-US" w:eastAsia="en-US" w:bidi="ar-SA"/>
        </w:rPr>
        <w:t xml:space="preserve"> The actions and omissions of the Defendant caused the Plaintiff and the Children to suffer significant damages, pecuniary and non pecuniary, physical, psychological and emotional injuries, financial tosses, costs and other damages and losses to be detailed upon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2:</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RELIEF SOUGHT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that the Defendant is guilty of fraud.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that file Defendant lied under oath and perjured himself.</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that the Defendant committed abuse of process and acted with malice towards the Plaintiffs and the Court.</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that the Defendant was in contempt of the Court.</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Declaration that the Defendant defamed the Plaintiff.</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that the Defendant was negligent and breached his fiduciary duties to the Children.</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Injunction restraining the Defendant from making any further defamatory statements about the Plaintiff</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or making any statements or comments adverse in interest to the Plaintiff</w:t>
      </w:r>
      <w:r>
        <w:rPr>
          <w:rFonts w:ascii="arial" w:eastAsia="arial" w:hAnsi="arial" w:cs="arial"/>
          <w:color w:val="000000"/>
          <w:sz w:val="20"/>
          <w:u w:val="single"/>
          <w:lang w:val="en-US" w:eastAsia="en-US" w:bidi="ar-SA"/>
        </w:rPr>
        <w:t>s</w:t>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pecuniary and non pecuniary.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numPr>
          <w:numId w:val="6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Interest pursuant to the Court Order Interest Act;</w:t>
      </w:r>
    </w:p>
    <w:p>
      <w:pPr>
        <w:numPr>
          <w:numId w:val="6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including special costs; and</w:t>
      </w:r>
    </w:p>
    <w:p>
      <w:pPr>
        <w:numPr>
          <w:numId w:val="6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Court deems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3:</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LEGAL BASIS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 on fraud.</w:t>
      </w:r>
    </w:p>
    <w:p>
      <w:pPr>
        <w:numPr>
          <w:numId w:val="6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 on abuse of process.</w:t>
      </w:r>
    </w:p>
    <w:p>
      <w:pPr>
        <w:numPr>
          <w:numId w:val="6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 on contempt of court.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 on defamation,</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common law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7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 on breach of fiduciary duties.</w:t>
      </w:r>
    </w:p>
    <w:p>
      <w:pPr>
        <w:numPr>
          <w:numId w:val="7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law on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address for service;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Hittrich Law Group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307-5577-153 A Street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Surrey, BC V3S 5K7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Ph: 604-575-2274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Fax: 004-575-2357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E-mail: jhittrich@hittrichlaw.com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Place of trial:</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Vancouver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address of the Registry is: 800 Smithe St.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Date: </w:t>
      </w:r>
      <w:r>
        <w:rPr>
          <w:rFonts w:ascii="arial" w:eastAsia="arial" w:hAnsi="arial" w:cs="arial"/>
          <w:color w:val="000000"/>
          <w:sz w:val="20"/>
          <w:u w:val="single"/>
          <w:lang w:val="en-US" w:eastAsia="en-US" w:bidi="ar-SA"/>
        </w:rPr>
        <w:t>March 24, 2015</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Jack Hittrich</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Lawyer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7-1(1) of the Supreme Court Civil Rules states: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ail parties of record consent or the court otherwise orders, each party of record to an action must, within 35 days after the end of the pleading period,</w:t>
      </w:r>
    </w:p>
    <w:p>
      <w:pPr>
        <w:numPr>
          <w:numId w:val="7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list of documents in Form 22 that lists</w:t>
      </w:r>
    </w:p>
    <w:p>
      <w:pPr>
        <w:numPr>
          <w:numId w:val="7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that are or have been in the party's possession or control and that could, if available, be used by any party at trial to prove or disprove a material fact, and</w:t>
      </w:r>
    </w:p>
    <w:p>
      <w:pPr>
        <w:numPr>
          <w:numId w:val="7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 to which the party intends to refer at trial, and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list on all parties of record.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[The following information is provided for data collection purposes only and is of no legal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1:</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CONCISE SUMMARY OF NATURE OF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2:</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THIS CLAIM ARISES FROM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[Select an item below for the case type that best describes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3:</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THIS CLAIM INVOLVES: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[Check all items below that apply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4:</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THIS CLAIM INVOLVES: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[Check all items below that apply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Select: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Select: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Select: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Select: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Select: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OR Type: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26,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Master Harper dated May 21, 2015 has been amended as follows: In the first sentence of paragraph 27, the word "their" has been changed to "there".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9"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29"/>
          <w:headerReference w:type="default" r:id="rId1030"/>
          <w:footerReference w:type="even" r:id="rId1031"/>
          <w:footerReference w:type="default" r:id="rId1032"/>
          <w:headerReference w:type="first" r:id="rId1033"/>
          <w:footerReference w:type="first" r:id="rId10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35" w:history="1">
        <w:r>
          <w:rPr>
            <w:rFonts w:ascii="arial" w:eastAsia="arial" w:hAnsi="arial" w:cs="arial"/>
            <w:b/>
            <w:bCs/>
            <w:i/>
            <w:color w:val="0077CC"/>
            <w:kern w:val="32"/>
            <w:sz w:val="28"/>
            <w:szCs w:val="32"/>
            <w:u w:val="single"/>
            <w:shd w:val="clear" w:color="auto" w:fill="FFFFFF"/>
            <w:lang w:val="en-US" w:eastAsia="en-US" w:bidi="ar-SA"/>
          </w:rPr>
          <w:t>Litton v. Braithwaite, [2006] B.C.J. No. 2633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S46098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2633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1481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61 B.C.L.R. (4th) 146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1027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2455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Marlean Litton, Plaintiff, and David Braithwaite, D.G. Braithwaite Inc., and Park &amp; Braithwaite, a partnership,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0"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3" w:name="Keywords_47"/>
      <w:bookmarkEnd w:id="333"/>
      <w:r>
        <w:rPr>
          <w:rFonts w:ascii="arial" w:eastAsia="arial" w:hAnsi="arial" w:cs="arial"/>
          <w:b/>
          <w:color w:val="000000"/>
          <w:sz w:val="20"/>
          <w:lang w:val="en-US" w:eastAsia="en-US" w:bidi="ar-SA"/>
        </w:rPr>
        <w:t>Civil evidence — Documentary evidence — Admissibility — The plaintiff was not permitted to use documents she obtained through discovery in an action against the defendant accountants in the upcoming appeal of her divorce action, as she admitted that the action against the solicitors had been commenced in part for an improper purpose and the documents were obtained by an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Discovery — Production and inspection of documents — Evidence in other proceedings — The plaintiff was not permitted to use documents she obtained through discovery in an action against the defendant accountants in the upcoming appeal of her divorce action, as she admitted that the action against the solicitors had been commenced in part for an improper purpose and the documents were obtained by an abuse of process.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Other — Accountants — The plaintiff was not permitted to use documents she obtained through discovery in an action against the defendant accountants in the upcoming appeal of her divorce action, as she admitted that the action against the solicitors had been commenced in part for an improper purpose and the documents were obtained by an abuse of process.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4" w:name="Case Summary_45"/>
            <w:bookmarkEnd w:id="3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action the plaintiff claimed damages from her accountant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and breach of fiduciary duty -- The plaintiff alleged that it was in the course of her divorce action that she learned through the discovery process of the conduct of the accountants, who also acted for her husband and his firm -- The plaintiff presently applied for an order permitting her to use the documents obtained in this present action in the husband's upcoming appeal of the divorce action -- HELD: The plaintiff was not permitted to use certain documents -- The implied undertaking of confidentiality did not apply to the documents that were introduced in evidence at the trial of the divorce action -- Accordingly, the plaintiff could use any of those documents in her action against the accountants, subject to relevance and admissibility -- Similarly, she was entitled to use any documents prepared for her own use -- However, she was not permitted to use documents she obtained through discovery in this action which did not fall into those two categories -- The action had been commenced in part for an improper purpose, and any documents thus obtained were obtained by abuse of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5" w:name="Counsel_48"/>
      <w:bookmarkEnd w:id="3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1"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W.A.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D.B. Wende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Guy Litton: J. Anthony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6" w:name="Judgment_48"/>
      <w:bookmarkEnd w:id="336"/>
      <w:r>
        <w:pict>
          <v:line id="_x0000_s1262" style="position:absolute;z-index:2518108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7" w:name="HALFYARD J._0"/>
            <w:bookmarkEnd w:id="337"/>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before me, one brought by the plaintiff and the other by the defendants. Before I describe these applications, I find it necessary to set out enough background facts to provide context for consideration of the issues raised. The applications raised questions as to whether the plaintiff should be permitted to make use of evidence obtained by her through the discovery process in one action, for the purposes of another action, and vice 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this action, the plaintiff Marlean Litton, claims for damages against the defendants David Braithwaite et al.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owed to her as her accountant. In her statement of claim, the plaintiff alleges that Mr. Braithwaite was a chartered account who did the accounting for the plaintiff, her husband and her husband's company, M.G.L. Realty Services Ltd., from January 1991, until March 2004, when the plaintiff retained another accountant to do her accounting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statement of claim the plaintiff alleges the following wrong doing by Mr. Braithwaite (my paraphrasing):</w:t>
      </w:r>
      <w:r>
        <w:rPr>
          <w:rFonts w:ascii="arial" w:eastAsia="arial" w:hAnsi="arial" w:cs="arial"/>
          <w:sz w:val="20"/>
          <w:lang w:val="en-US" w:eastAsia="en-US" w:bidi="ar-SA"/>
        </w:rPr>
        <w:cr/>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Braithwaite knew that the plaintiff was the subject of an investigation and audit by Revenue Canada beginning in April 2001, but failed to inform the plaintiff of the existence of that investigation and audit.</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Braithwaite filed amended income tax returns for the plaintiff for the four years 1999 to 2002, without the plaintiff's knowledge and consent, which tax returns stated that the plaintiff was an equal partner of a business that was unknown to her and that was operated solely by her then husband, and in which tax returns the defendant Braithwaite attributed to the plaintiff, 50 percent of the business income of that business.</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Braithwaite continued to provide accounting services to the plaintiff's husband following their separation in late February 2004, in the face of a conflict of interest.</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Braithwaite refused to disclose to the plaintiff, financial information concerning the plaintiff's husband, during the course of the plaintiff's family law proceeding against her husband ("the divorce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statement of defence, the defendants admit that they were retained by M.G.L. and Guy Litton, the plaintiff's husband, to provide accounting services for them and for the plaintiff, but deny that they had any contractual or fiduciary relationship with the plaintiff. The defendants allege that they had no professional dealings with the plaintiff before she separated from her husband. The defendants further deny the substance of all allegations of wrong doing, and deny that the plaintiff sustained any loss as a result of Mr. Braithwaite's conduct. The plaintiff admits in her affidavit evidence that she had little or no contact of any kind with Mr. Braithwaite before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had been married to Guy Litton for some 26 or so years when, in late February 2004, they separated. She commenced a divorce action on March 11, 2004. In the statement of claim, in this action, the plaintiff alleges that it was during the course of the divorce action when she learned, through the discovery process, about what is alleged to be wrongful conduct by Mr. Braithwaite. The plaintiff has also presented affidavit evidence deposing to her discovery of this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divorce action went to trial, and judgment was given on August 22, 2005, by Mr. Justice R.D. Wilson. The plaintiff's husband appealed the judgment to the Court of Appeal. Then on January 4, 2006, the plaintiff commenced this action. The statement of claim was filed on February 6, 2006, and the statement of defence was filed on February 22, 2006. Discovery of documents and examinations for discovery have been conducted. The trial is presently set for October 23, 2006. Unfortunately, the present applications were not heard until September 26, 2006. Guy Litton's appeal has not yet been heard, and was recently adjourned by the Court of Appeal pending the outcome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events giving rise to the applications are the following. In May and June 2006, the plaintiff disclosed to the defendant, documents which she had obtained by discovery from her former husband in the divorce action. This disclosure was made without the consent of Guy Litton and without a court order permitting such disclosure or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letter of July 13, 2006, counsel for the plaintiff sought the consent of the defendants, so as to permit the plaintiff to use the documents produced to her by the defendants in this action, ("the Braithwaite action"), in her former husband's appeal from the judgment in the divorce action. Plaintiff's counsel said in his letter that he would be making an application for a court order, if the defendants' consent was not forthcoming. The defendants did not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or about July 12, 2006, Mr. Kirkhope, the plaintiff's lawyer in the divorce action (and the appeal), had informed the plaintiff's counsel in the Braithwaite action that he could not look at, or use these documents in defending the appeal, without violating the implied undertaking of confidentiality.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Soon after this, counsel for the defendants informed the plaintiff's counsel that he had already violated the implied undertaking of confidentiality, by using the divorce action documents in the Braithwaite action, without Mr. Litton's consent and without an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late July, Mr. Litton had learned of the use and intended use of documents he had given to the plaintiff through discovery in the divorce action. In a letter dated August 11, 2006, Mr. Litton told the plaintiff's counsel that he objected to any of the documents he produced on discovery in the divorce action being used in the Braithwaite action. Mr. Litton later filed an affidavit (sworn August 23, 2006) in which he denied the allegation that he had failed to make disclosure in the divorce action, and added his further objection to any documents produced by the defendants in the Braithwaite action being used in the divorce action (including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By notice of motion dated August 14, 2006, and filed August 15, 2006, the plaintiff sought the following relief:</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which would permit the plaintiff to use the documents obtained by discovery in the Braithwaite action, the evidence in the divorce action and the appeal from the judgment in the divorce action (subject to the decision of the Court of Appeal);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would permit the plaintiff to use the documents obtained by discovery in the divorce action, as evidence in the Braithwaite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letter dated August 15, 2006, counsel for the plaintiff delivered to counsel for the defendants numerous documents that had been obtained through the discovery process in the divorce action, which included parts of Mr. Litton's discovery evidence, and his answers to interrogatories. Plaintiff's counsel said that he was delivering these documents to fulfill undertakings given on examination for discovery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her supporting affidavit sworn August 3, 2006, the plaintiff deposed (in paragraph 6) that she and her lawyer realized during the divorce litigation that her husband was not making full disclosure concerning his income and financial affairs and (in paragraph 8)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of the reasons for this law suit [i.e. the Braithwaite action] is to obtain financial information respecting my former husband that is within the control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notice of motion dated August 25, 2006, and filed September 15, 2006, the defendants claimed the following relief:</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striking out the writ of summons and statement of claim and dismissing the action, (for breach of the implied undertaking of confidentiality and for abuse of process);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for an order that paragraphs 6 and 11 of the statement of claim be struck out;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that the plaintiff be prohibited from making further use of the evidence obtained from Mr. Litton in the divorce action, as evidence in the Braithwaite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alleges that certain documents she has obtained through discovery in the Braithwaite action should have been disclosed by her former husband in the divorce action, but were not. The plaintiff says that, if she could use these documents in her defence of Mr. Litton's appeal, they would show that he had failed to make full disclosure in the divorce action. She also asserts that some of the documents and evidence that she obtained from Mr. Litton through discovery in the divorce action would assist her in proving her allegations in the Braithwaite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second affidavit sworn September 12, 2006, the plaintiff gives opinion evidence (which I think is inadmissible) in which she states her suspicion that there has been and continues to be a "conspiracy" between her former husband and Mr. Braithwaite. There is no allegation of a conspiracy, or fraud,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plaintiff argues that the plaintiff will be prejudiced in her defence of the appeal by her former husband, if she cannot use some of the Braithwaite action documents in the appeal. It is further argued that the plaintiff will be prejudiced in her action against Mr. Braithwaite, if she cannot use some of the documents obtained from her husband in the divorce action, to prosecute her claim in the Braithwaite action. Counsel says that an injustice will be done if the plaintiff cannot use the documents in the manner requested, and submits that it has not been shown that Mr. Litton or Mr. Braithwaite would be prejudiced by the proposed use of these documents by the plaintiff. At the same time, counsel acknowledges that there may have been some violation of the implied undertaking of confidentiality, and that he should have realized it, before doing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plaintiff also submitted that the delivery to Mr. Braithwaite's counsel of documents and evidence obtained from Mr. Litton in the divorce action did not constitute a serious breach of the implied undertaking of confidentiality, because most of that evidence had already been used in open court at the trial of the divorce action. It was further submitted, in effect, that the documents produced by Mr. Braithwaite through discovery in the Braithwaite action had the potential to show that Mr. Litton deceived the court in the divorce action, by concealing important documents. The implication here was that the plaintiff would be denied the opportunity to prove that Mr. Litton wrongfully concealed income and assets, if she cannot use these documents in her former husband's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Plaintiff's counsel relied on the definition of the implied undertaking of confidentiality as set out by the Court of Appeal in </w:t>
      </w:r>
      <w:r>
        <w:rPr>
          <w:rFonts w:ascii="arial" w:eastAsia="arial" w:hAnsi="arial" w:cs="arial"/>
          <w:b/>
          <w:i/>
          <w:color w:val="000000"/>
          <w:sz w:val="20"/>
          <w:lang w:val="en-US" w:eastAsia="en-US" w:bidi="ar-SA"/>
        </w:rPr>
        <w:t>Doucette (litigation guardian of) v. Wee Watch Day Care Systems Inc.,</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[2006] B.C.J. No. 1176</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2006 BCCA 262</w:t>
        </w:r>
      </w:hyperlink>
      <w:r>
        <w:rPr>
          <w:rFonts w:ascii="arial" w:eastAsia="arial" w:hAnsi="arial" w:cs="arial"/>
          <w:color w:val="000000"/>
          <w:sz w:val="20"/>
          <w:lang w:val="en-US" w:eastAsia="en-US" w:bidi="ar-SA"/>
        </w:rPr>
        <w:t>. Madam Justice Kirkpatrick delivered the judgment of the court and at paragraph 56 she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my opinion, the scope of the undertaking must be fashioned in a manner that accommodates these and other eventualities. I conclude that the implied undertaking of confidentiality rule is as stated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w:t>
      </w:r>
      <w:hyperlink r:id="rId1037" w:history="1">
        <w:r>
          <w:rPr>
            <w:rFonts w:ascii="arial" w:eastAsia="arial" w:hAnsi="arial" w:cs="arial"/>
            <w:i/>
            <w:color w:val="0077CC"/>
            <w:sz w:val="20"/>
            <w:u w:val="single"/>
            <w:shd w:val="clear" w:color="auto" w:fill="FFFFFF"/>
            <w:lang w:val="en-US" w:eastAsia="en-US" w:bidi="ar-SA"/>
          </w:rPr>
          <w:t>[1995] B.C.J. No. 758</w:t>
        </w:r>
      </w:hyperlink>
      <w:r>
        <w:rPr>
          <w:rFonts w:ascii="arial" w:eastAsia="arial" w:hAnsi="arial" w:cs="arial"/>
          <w:color w:val="000000"/>
          <w:sz w:val="20"/>
          <w:lang w:val="en-US" w:eastAsia="en-US" w:bidi="ar-SA"/>
        </w:rPr>
        <w:t xml:space="preserve">: a party obtaining production of documents or transcriptions of oral examination of discovery is under a general obligation, in most cases, to keep such document confidential. A party seeking to use the discovery evidence other than in the proceedings in which it is produced must obtain the permission of the disclosing party or leave of the court. However, the obligation of confidentiality does not extend to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disclosure of criminal conduct. On the other had, non-</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disclosure of alleged criminal conduct would attract serious civil sanctions for contempt.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the plaintiff also relied on paragraph 80 of the judgment in </w:t>
      </w:r>
      <w:r>
        <w:rPr>
          <w:rFonts w:ascii="arial" w:eastAsia="arial" w:hAnsi="arial" w:cs="arial"/>
          <w:b/>
          <w:i/>
          <w:color w:val="000000"/>
          <w:sz w:val="20"/>
          <w:lang w:val="en-US" w:eastAsia="en-US" w:bidi="ar-SA"/>
        </w:rPr>
        <w:t>Doucette,</w:t>
      </w:r>
      <w:r>
        <w:rPr>
          <w:rFonts w:ascii="arial" w:eastAsia="arial" w:hAnsi="arial" w:cs="arial"/>
          <w:color w:val="000000"/>
          <w:sz w:val="20"/>
          <w:lang w:val="en-US" w:eastAsia="en-US" w:bidi="ar-SA"/>
        </w:rPr>
        <w:t xml:space="preserve"> where the court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Furthermore, the confidentiality of the discovery process in British Columbia evaporates once the evidence is tendered in court. The principle of open courts, including (with some limited exceptions) open court files, renders the confidentiality rule limited to the pre-trial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Guy Litton appeared on the hearing of these applications, and joined with counsel for the defendants in opposing the application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Counsel for the defendants accepted the statement of the implied undertaking as defined by the Court of Appeal in paragraph 56 of </w:t>
      </w:r>
      <w:r>
        <w:rPr>
          <w:rFonts w:ascii="arial" w:eastAsia="arial" w:hAnsi="arial" w:cs="arial"/>
          <w:b/>
          <w:i/>
          <w:color w:val="000000"/>
          <w:sz w:val="20"/>
          <w:lang w:val="en-US" w:eastAsia="en-US" w:bidi="ar-SA"/>
        </w:rPr>
        <w:t>Doucette</w:t>
      </w:r>
      <w:r>
        <w:rPr>
          <w:rFonts w:ascii="arial" w:eastAsia="arial" w:hAnsi="arial" w:cs="arial"/>
          <w:color w:val="000000"/>
          <w:sz w:val="20"/>
          <w:lang w:val="en-US" w:eastAsia="en-US" w:bidi="ar-SA"/>
        </w:rPr>
        <w:t xml:space="preserve">, but submitted that the statement of the qualification to the rule in paragraph 80 was an </w:t>
      </w:r>
      <w:r>
        <w:rPr>
          <w:rFonts w:ascii="arial" w:eastAsia="arial" w:hAnsi="arial" w:cs="arial"/>
          <w:i/>
          <w:color w:val="000000"/>
          <w:sz w:val="20"/>
          <w:lang w:val="en-US" w:eastAsia="en-US" w:bidi="ar-SA"/>
        </w:rPr>
        <w:t>obiter dictum</w:t>
      </w:r>
      <w:r>
        <w:rPr>
          <w:rFonts w:ascii="arial" w:eastAsia="arial" w:hAnsi="arial" w:cs="arial"/>
          <w:color w:val="000000"/>
          <w:sz w:val="20"/>
          <w:lang w:val="en-US" w:eastAsia="en-US" w:bidi="ar-SA"/>
        </w:rPr>
        <w:t xml:space="preserve">. Counsel argued that I should follow the reasoning of Williams C.J.S.C. in </w:t>
      </w:r>
      <w:r>
        <w:rPr>
          <w:rFonts w:ascii="arial" w:eastAsia="arial" w:hAnsi="arial" w:cs="arial"/>
          <w:b/>
          <w:i/>
          <w:color w:val="000000"/>
          <w:sz w:val="20"/>
          <w:lang w:val="en-US" w:eastAsia="en-US" w:bidi="ar-SA"/>
        </w:rPr>
        <w:t>Discovery Enterprises Inc. v. Ebco Industries Ltd.</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(1997), 42 B.C.L.R. (3d) 192</w:t>
        </w:r>
      </w:hyperlink>
      <w:r>
        <w:rPr>
          <w:rFonts w:ascii="arial" w:eastAsia="arial" w:hAnsi="arial" w:cs="arial"/>
          <w:color w:val="000000"/>
          <w:sz w:val="20"/>
          <w:lang w:val="en-US" w:eastAsia="en-US" w:bidi="ar-SA"/>
        </w:rPr>
        <w:t>. In that case, Chief Justice Williams rejected the defendant's argument that once documents had been disclosed in an affidavit filed in the course of the law suit (and referred to in open court) the implied undertaking of confidentiality is extinguished.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defendants and Mr. Litton rely on Mr. Litton's evidence and on the uncontradicted assertion that the plaintiff did not obtain any court order requiring Mr. Litton or Mr. Braithwaite to make disclosure or production of documents in the divorce action, even though on her own evidence, she believed she was not receiving full disclosure. It was also asserted that only specific requests for production of documents were made to Mr. Litton (and to Mr. Braithwaite, by the plaintiff's accountant) in the divorce action, and that these requests were compiled with. These assertions have not been contradicted by the plaintiff, in evidence or in argument. It is submitted that the plaintiff cannot now argue that Mr. Litton's failure to disclose or produce certain documents which were later produced by Mr. Braithwaite, was a violation of his disclosure obligation. Counsel further argued that the plaintiff's own admission that one of the reasons she brought the law suit against Mr. Braithwaite was to obtain evidence against her former husband, constitutes proof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defendants referred me to a number of authorities. In two of these cases, </w:t>
      </w:r>
      <w:r>
        <w:rPr>
          <w:rFonts w:ascii="arial" w:eastAsia="arial" w:hAnsi="arial" w:cs="arial"/>
          <w:b/>
          <w:i/>
          <w:color w:val="000000"/>
          <w:sz w:val="20"/>
          <w:lang w:val="en-US" w:eastAsia="en-US" w:bidi="ar-SA"/>
        </w:rPr>
        <w:t>Goodman v. Rossi</w:t>
      </w:r>
      <w:r>
        <w:rPr>
          <w:rFonts w:ascii="arial" w:eastAsia="arial" w:hAnsi="arial" w:cs="arial"/>
          <w:color w:val="000000"/>
          <w:sz w:val="20"/>
          <w:lang w:val="en-US" w:eastAsia="en-US" w:bidi="ar-SA"/>
        </w:rPr>
        <w:t xml:space="preserve"> (1995) 125 D.L.R. (4d) 613 (Ont. C.A.) and </w:t>
      </w:r>
      <w:r>
        <w:rPr>
          <w:rFonts w:ascii="arial" w:eastAsia="arial" w:hAnsi="arial" w:cs="arial"/>
          <w:b/>
          <w:i/>
          <w:color w:val="000000"/>
          <w:sz w:val="20"/>
          <w:lang w:val="en-US" w:eastAsia="en-US" w:bidi="ar-SA"/>
        </w:rPr>
        <w:t>Glenayre Manufacturing Ltd. v. Pilot Pacific Properties Inc. et al.</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[2004] B.C.J. No. 1355</w:t>
        </w:r>
      </w:hyperlink>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2004 BCSC 864</w:t>
        </w:r>
      </w:hyperlink>
      <w:r>
        <w:rPr>
          <w:rFonts w:ascii="arial" w:eastAsia="arial" w:hAnsi="arial" w:cs="arial"/>
          <w:color w:val="000000"/>
          <w:sz w:val="20"/>
          <w:lang w:val="en-US" w:eastAsia="en-US" w:bidi="ar-SA"/>
        </w:rPr>
        <w:t xml:space="preserve">, the court ordered that the writ and statement of claim be struck out by reason of a violation of the implied undertaking of confidentiality. In </w:t>
      </w:r>
      <w:r>
        <w:rPr>
          <w:rFonts w:ascii="arial" w:eastAsia="arial" w:hAnsi="arial" w:cs="arial"/>
          <w:b/>
          <w:i/>
          <w:color w:val="000000"/>
          <w:sz w:val="20"/>
          <w:lang w:val="en-US" w:eastAsia="en-US" w:bidi="ar-SA"/>
        </w:rPr>
        <w:t>Goodman v. Rossi</w:t>
      </w:r>
      <w:r>
        <w:rPr>
          <w:rFonts w:ascii="arial" w:eastAsia="arial" w:hAnsi="arial" w:cs="arial"/>
          <w:color w:val="000000"/>
          <w:sz w:val="20"/>
          <w:lang w:val="en-US" w:eastAsia="en-US" w:bidi="ar-SA"/>
        </w:rPr>
        <w:t>, the plaintiff had sued her employer for wrongful dismissal. Through the discovery process in that action, the plaintiff obtained a document which was a report made by an officer of the defendant to a Provincial Government ministry. The report included comments that were critical of the plaintiff's ethical conduct. The plaintiff then commenced a new action against the officer who had filed the report, for defamation, based solely on the report obtained in her wrongful dismissal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in the defamation action applied for summary judgment dismissing the action on the ground that the claim was based on evidence obtained by the plaintiff in her other action for wrongful dismissal. The plaintiff filed a cross-application seeking an order granting her leave to use the report obtained in the other action, in her defamation action. The Ontario Court of Appeal held that an implied undertaking of confidentiality did exist in Ontario, and that the plaintiff's use of evidence obtained in her wrongful dismissal action, in the defamation action, constituted a breach of the implied undertaking. The court noted that such a breach was capable of giving rise to a contempt of court order, and suggested that the test for granting relief from the undertaking should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tolerating some injustice to the discovered party if it is outweighed by a greater injustice to the discovering party if he or she could not make use of the discovered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then examined the potential prejudice to each of the parties. The plaintiff alleged that she would be denied the opportunity to clear her name with the ministry, if she could not use the report discovered in her other action. The potential prejudice to Mr. Rossi was said to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not only the injustice of being penalized for having made full discovery but, also, the risk of prejudice in the form of exerting extraneous pressure with respect to the settlement of the unjust dismissal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Finally, the court concluded that the injustice to Mr. Rossi outweighed the injustice to the plaintiff. Accordingly, the plaintiff's application for relief from the implied undertaking was dismissed, and the action was permanently stayed.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Glenayre Manufacturing Ltd. v. Pilot Pacific Properties Inc. et al.</w:t>
      </w:r>
      <w:r>
        <w:rPr>
          <w:rFonts w:ascii="arial" w:eastAsia="arial" w:hAnsi="arial" w:cs="arial"/>
          <w:color w:val="000000"/>
          <w:sz w:val="20"/>
          <w:lang w:val="en-US" w:eastAsia="en-US" w:bidi="ar-SA"/>
        </w:rPr>
        <w:t xml:space="preserve">, Melnick J. found that the plaintiff had breached the implied undertaking of confidentiality, by using documents obtained on discovery in one action, to form the basis of a new action. The court noted that the plaintiffs had used the documents without first obtaining the consent of the defendants or the sanction of the court. Melnick J. refused to approve of the plaintiff's use of the documents </w:t>
      </w:r>
      <w:r>
        <w:rPr>
          <w:rFonts w:ascii="arial" w:eastAsia="arial" w:hAnsi="arial" w:cs="arial"/>
          <w:i/>
          <w:color w:val="000000"/>
          <w:sz w:val="20"/>
          <w:lang w:val="en-US" w:eastAsia="en-US" w:bidi="ar-SA"/>
        </w:rPr>
        <w:t>nunc pro tunc</w:t>
      </w:r>
      <w:r>
        <w:rPr>
          <w:rFonts w:ascii="arial" w:eastAsia="arial" w:hAnsi="arial" w:cs="arial"/>
          <w:color w:val="000000"/>
          <w:sz w:val="20"/>
          <w:lang w:val="en-US" w:eastAsia="en-US" w:bidi="ar-SA"/>
        </w:rPr>
        <w:t>, and ordered that the writ of summons and statement of claim in the second action be struck out. He did not expressly undertake an analysis of which party would suffer the greater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the defendants argued that there would be greater injustice to Mr. Braithwaite by the plaintiff's actual and intended use of the documents at issue, than any injustice to the plaintiff, if she could not make use of those documents as she has done and as she proposes for further use. Counsel argued that the plaintiff has already used documents discovered in her divorce action as a foundation for her law suit against Mr. Braithwaite, and moreover, one of her purposes in suing Mr. Braithwaite was to obtain further evidence against her former husband, to use in defending against his appeal. It is further contended that the plaintiff's intended use of the documents could exert pressure on Mr. Litton and/or Mr. Braithwaite to settle Mr. Litton's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have already referred to the argument of plaintiff's counsel as to the injustice that would be incurred by the plaintiff, if her use of the documents is denied. Counsel urged me to open and read the sealed affidavit of Brian Kirkhope, the plaintiff's counsel in the divorce action and the appeal. I was told that the affidavit contains the documents obtained through discovery in the Braithwaite action, which the plaintiff may seek to have admitted as new evidence on the appeal, together with Mr. Kirkhope's opinion as to the significance of these documents. I was also told that this same affidavit (sealed) was offered in the Court of Appeal in support of Mr. Kirkhope's application for an adjournment of Mr. Litton's appeal but that the Court of Appeal declined to read it. Counsel for the defendants objects to the use of Mr. Kirkhope's affidavit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evidence shows that Mr. Kirkhope was well aware of the implied undertaking of confidentiality rule, at the time when the plaintiff wanted him to read and consider documents she had obtained through the discovery process in the Braithwaite action. The fact that Mr. Kirkhope's affidavit is sealed leads me to conclude that the documents do not in themselves constitute evidence of fraud by Mr. Litton or conspiracy between him and Mr. Braithwaite to injure the plaintiff. I draw that inference because, if they did, the implied undertaking would not apply to such documents, and they could be disclosed without Mr. Litton's consent or a court order. It may be that Mr. Kirkhope's opinions would persuade me that the sealed documents, when combined with other evidence given in the divorce action, could support an inference of fraudulent concealment of evidence by Mr. Litton. But I do not think this evidence should be admitted in this proceeding, even though it could be relevant to the question of prejudice to the plaintiff in her defence of the appeal. The documents in question were obtained by an abuse of process. Accordingly, I have decided not to read Mr. Kirkhope's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Notwithstanding the arguments of defence counsel, I am not persuaded that there would be injustice to Mr. Braithwaite, if documents he has produced to the plaintiff in her action against him, were allowed to be introduced as new evidence on Mr. Litton's appeal. As for Mr. Litton, he will have the opportunity to oppose the introduction of such documents as new evidence in the appeal, in the event the plaintiff makes such an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my opinion, the statement of the Court of Appeal at paragraph 80 of </w:t>
      </w:r>
      <w:r>
        <w:rPr>
          <w:rFonts w:ascii="arial" w:eastAsia="arial" w:hAnsi="arial" w:cs="arial"/>
          <w:b/>
          <w:i/>
          <w:color w:val="000000"/>
          <w:sz w:val="20"/>
          <w:lang w:val="en-US" w:eastAsia="en-US" w:bidi="ar-SA"/>
        </w:rPr>
        <w:t>Doucette (litigation guardian of) v. Wee Watch Day Care Systems Inc.</w:t>
      </w:r>
      <w:r>
        <w:rPr>
          <w:rFonts w:ascii="arial" w:eastAsia="arial" w:hAnsi="arial" w:cs="arial"/>
          <w:color w:val="000000"/>
          <w:sz w:val="20"/>
          <w:lang w:val="en-US" w:eastAsia="en-US" w:bidi="ar-SA"/>
        </w:rPr>
        <w:t xml:space="preserve"> has changed the law as held by Williams C.J.S.C. in </w:t>
      </w:r>
      <w:r>
        <w:rPr>
          <w:rFonts w:ascii="arial" w:eastAsia="arial" w:hAnsi="arial" w:cs="arial"/>
          <w:b/>
          <w:i/>
          <w:color w:val="000000"/>
          <w:sz w:val="20"/>
          <w:lang w:val="en-US" w:eastAsia="en-US" w:bidi="ar-SA"/>
        </w:rPr>
        <w:t>Discovery Enterprises Inc. v. Ebco Industries Ltd.</w:t>
      </w:r>
      <w:r>
        <w:rPr>
          <w:rFonts w:ascii="arial" w:eastAsia="arial" w:hAnsi="arial" w:cs="arial"/>
          <w:color w:val="000000"/>
          <w:sz w:val="20"/>
          <w:lang w:val="en-US" w:eastAsia="en-US" w:bidi="ar-SA"/>
        </w:rPr>
        <w:t xml:space="preserve"> While a decision on this point may not have been essential to the decision of the issue on appeal, in my view it is a firm statement of the court which should be followed by trial judges. If I am right, then it follows that the implied undertaking of confidentiality does not apply to the documents that were introduced in evidence at the trial of the divorce action. Accordingly, the plaintiff may use any of those documents in her action against Mr. Braithwaite, subject of course to relevance and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there are any documents that "belong" to the plaintiff, in the sense that they were prepared for her alone, by Mr. Braithwaite, then regardless of whether she obtained these documents by discovery in the divorce action or in the Braithwaite action, and regardless of whether they were presented in the divorce trial, she should not be restricted in her use of these documents, except by the rules of evidence. As I see it, no right of confidentiality could extend to Mr. Litton or to Mr. Braithwaite, in relation to these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opinion, the plaintiff should be not permitted to use any documents she has obtained through the discovery process in the Braithwaite action, which do not fall within one of the two categories I have described. Any "new" documents that were confidential to Mr. Litton, that were produced to the plaintiff only as a result of the discovery process in the Braithwaite action, are in another category. The plaintiff has admitted that one of her purposes in bringing the action against Mr. Braithwaite was to obtain documents relating to her husband's financial affairs, that she did not obtain through the discovery process in her divorce action. The plaintiff commenced the Braithwaite action, in part, for an improper purpose. Any documents thus obtained which were private and confidential documents of Mr. Litton were obtained by the abuse of process. In my opinion, the plaintiff should not be permitted to make use of any such documents, for any purpose. The plaintiff failed to compel her husband to make further and better disclosure in the divorce action, when she believed he was concealing documents and information concerning his income and assets, and later commenced the Braithwaite action, in part, to obtain such disclosure. Mr. Litton has sworn an affidavit denying that he failed to make disclosure in the divorce action, and I see no basis on which I could reject his evidence as being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Scott has breached his implied undertaking of confidentiality, to the extent that the documents he delivered to counsel for the defendants (and the documents delivered by him or his client to Mr. Kirkhope) were not presented as evidence at the trial of the divorce action and were not the property of the plaintiff. Before either of those things was done, Mr. Scott should have brought an application for court approval to use the documents, when Mr. Litton and the defendants refused to grant their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these circumstances, I would not strike out the Braithwaite action, or any parts of the statement of claim. But, I will order that the plaintiff be prohibited from using any documents that are not within the two permitted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costs of these applications will be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3" style="position:absolute;z-index:25186099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Provencher v. St. Paul's Hospital, [2015] B.C.J. No. 1113</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Johnson, [2016] B.C.J. No. 482</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Tugnum, [2002] B.C.J. No. 2556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Clay, [2011] B.C.J. No. 1645</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Somani v. Jilani, [2018] B.C.J. No. 2950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Szocik v. England and Wales (Attorney General), [2012] B.C.J. No. 2062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Virk v. Robertson, [2016] B.C.J. No. 1691</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Wood v. Jaffer, [2018] B.C.J. No. 81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656925 British Columbia Ltd. v. Cullen Diesel Power Ltd., [2009] B.C.J. No. 363</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Arbutus Environmental Services Ltd. v. Peace River (Regional District), [2000] B.C.J. No. 705</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 Mar Developments Inc. v. North Shore Credit Union, [2001] B.C.J. No. 512</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Bhimji v. Graham, [2007] B.C.J. No. 1697</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Bob v. Bellerose, [2002] B.C.J. No. 398</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Braid Estate v. Whistler River Adventures Ltd., [2000] B.C.J. No. 2442</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Cheung v. MacDonald, [2003] B.C.J. No. 1029</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C.L.C. v. Lions Gate Hospital, [2001] B.C.J. No. 2285</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Erickson v. Morneau, [2001] B.C.J. No. 913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Freidooni v. Freidooni, [2010] B.C.J. No. 721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Fullerton (Guardian ad litem of) v. Delair, [2005] B.C.J. No. 276</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Grewal v. Brar, [2004] B.C.J. No. 1819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Iannone v. Sidhu, [2019] B.C.J. No. 1264</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K.D. v. British Columbia's Women's Hospital1, [2004] B.C.J. No. 2504</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Knodell v. New Westminster (City), [2005] B.C.J. No. 2026</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Lamont v. Westfair Properties (Pacific) Ltd., [2000] B.C.J. No. 513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Lindner v. Allin, [2002] B.C.J. No. 252</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Littler v. Underdown, [2000] B.C.J. No. 1367</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McClelland v. Zacharias, [2004] B.C.J. No. 1686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McGregor v. Holyrood Manor, [2014] B.C.J. No. 698</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McInnes v. Lenz, [2018] B.C.J. No. 3342</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Papaspyros v. Cox, [2014] I.L.R. para. M-2784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Persall v. Buxton, [2012] B.C.J. No. 477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Redcorp Ventures Ltd. (Re), [2016] B.C.J. No. 214</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Skretting Canada Inc. v. Westaqua Commodity Group Ltd., [2010] B.C.J. No. 2260</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Waterway Houseboats Ltd. v. British Columbia, [2016] B.C.J. No. 1070</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Weeks v. Baloniak, [2003] B.C.J. No. 2596</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Wilson v. Potter, [2005] B.C.J. No. 1280</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Zantvoort v. Welyk, [2003] B.C.J. No. 1577</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Zarifeh v. Narcisse, [2006] B.C.J. No. 1495</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Arishenkoff v. British Columbia, [2002] B.C.J. No. 1689</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Bartley v. Buckley, [2005] B.C.J. No. 2116</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Blueberry River First Nation v. Cheveldave, [2018] B.C.J. No. 1075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Chancery Estate Holdings Corp. v. Sahara Real Estate Investment Inc., [2011] B.C.J. No. 1504</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Cowen v. Gray, [2001] B.C.J. No. 662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Gadhri v. 0760815 B.C. Ltd., [2016] B.C.J. No. 602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Gilbert v. Nelson, [2012] B.C.J. No. 432</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Glendenning v. Matwychuk, [2019] B.C.J. No. 1836</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Holmes v. Hanna, [2001] B.C.J. No. 2082</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 v. Ugre, [2012] B.C.J. No. 2410</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J.P. v. Eirikson, [2015] B.C.J. No. 1029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Litton v. Braithwaite, [2006] B.C.J. No. 2633</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v)"/>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Roman"/>
      <w:lvlText w:val="(%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7"/>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8"/>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v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v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2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decimal"/>
      <w:lvlText w:val="37."/>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decimal"/>
      <w:lvlText w:val="38."/>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39."/>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40."/>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4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decimal"/>
      <w:lvlText w:val="42."/>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decimal"/>
      <w:lvlText w:val="43."/>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44."/>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45."/>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46."/>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47."/>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2"/>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3"/>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4"/>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3"/>
      <w:numFmt w:val="lowerLetter"/>
      <w:lvlText w:val="(%1)"/>
      <w:lvlJc w:val="left"/>
      <w:pPr>
        <w:tabs>
          <w:tab w:val="num" w:pos="1480"/>
        </w:tabs>
        <w:ind w:left="1480" w:hanging="400"/>
      </w:pPr>
      <w:rPr>
        <w:b w:val="0"/>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6"/>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5"/>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69EC8B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797018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1073E455"/>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14CFA21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153C2617"/>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19A4AE1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1DDB98C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22D77E23"/>
    <w:multiLevelType w:val="multilevel"/>
    <w:tmpl w:val="00000001"/>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26CA3C3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26E3535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3119E1A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3242C885"/>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32619C3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3351E7F8"/>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348DC560"/>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352BB5E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355EDC6A"/>
    <w:multiLevelType w:val="multilevel"/>
    <w:tmpl w:val="00000001"/>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364C807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3759D40E"/>
    <w:multiLevelType w:val="multilevel"/>
    <w:tmpl w:val="00000001"/>
    <w:lvl w:ilvl="0">
      <w:start w:val="1"/>
      <w:numFmt w:val="decimal"/>
      <w:lvlText w:val="3(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41C1B23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422F828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4269F76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43ACC7C5"/>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4451DC6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4BDD93B9"/>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4ECDB9E8"/>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4EF26CE5"/>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511BBC9D"/>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5575A5D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55986928"/>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55BDB198"/>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66AE35A5"/>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7258B03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7698513D"/>
    <w:multiLevelType w:val="multilevel"/>
    <w:tmpl w:val="00000001"/>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76A3912C"/>
    <w:multiLevelType w:val="multilevel"/>
    <w:tmpl w:val="00000001"/>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77B7F0B1"/>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7C2D992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7C9851C3"/>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7E1FA8C7"/>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179"/>
  </w:num>
  <w:num w:numId="39">
    <w:abstractNumId w:val="189"/>
  </w:num>
  <w:num w:numId="40">
    <w:abstractNumId w:val="172"/>
  </w:num>
  <w:num w:numId="41">
    <w:abstractNumId w:val="171"/>
  </w:num>
  <w:num w:numId="42">
    <w:abstractNumId w:val="37"/>
  </w:num>
  <w:num w:numId="43">
    <w:abstractNumId w:val="38"/>
  </w:num>
  <w:num w:numId="44">
    <w:abstractNumId w:val="39"/>
  </w:num>
  <w:num w:numId="45">
    <w:abstractNumId w:val="40"/>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47"/>
  </w:num>
  <w:num w:numId="53">
    <w:abstractNumId w:val="48"/>
  </w:num>
  <w:num w:numId="54">
    <w:abstractNumId w:val="49"/>
  </w:num>
  <w:num w:numId="55">
    <w:abstractNumId w:val="50"/>
  </w:num>
  <w:num w:numId="56">
    <w:abstractNumId w:val="51"/>
  </w:num>
  <w:num w:numId="57">
    <w:abstractNumId w:val="52"/>
  </w:num>
  <w:num w:numId="58">
    <w:abstractNumId w:val="53"/>
  </w:num>
  <w:num w:numId="59">
    <w:abstractNumId w:val="54"/>
  </w:num>
  <w:num w:numId="60">
    <w:abstractNumId w:val="55"/>
  </w:num>
  <w:num w:numId="61">
    <w:abstractNumId w:val="56"/>
  </w:num>
  <w:num w:numId="62">
    <w:abstractNumId w:val="57"/>
  </w:num>
  <w:num w:numId="63">
    <w:abstractNumId w:val="58"/>
  </w:num>
  <w:num w:numId="64">
    <w:abstractNumId w:val="59"/>
  </w:num>
  <w:num w:numId="65">
    <w:abstractNumId w:val="60"/>
  </w:num>
  <w:num w:numId="66">
    <w:abstractNumId w:val="61"/>
  </w:num>
  <w:num w:numId="67">
    <w:abstractNumId w:val="62"/>
  </w:num>
  <w:num w:numId="68">
    <w:abstractNumId w:val="63"/>
  </w:num>
  <w:num w:numId="69">
    <w:abstractNumId w:val="64"/>
  </w:num>
  <w:num w:numId="70">
    <w:abstractNumId w:val="65"/>
  </w:num>
  <w:num w:numId="71">
    <w:abstractNumId w:val="66"/>
  </w:num>
  <w:num w:numId="72">
    <w:abstractNumId w:val="67"/>
  </w:num>
  <w:num w:numId="73">
    <w:abstractNumId w:val="68"/>
  </w:num>
  <w:num w:numId="74">
    <w:abstractNumId w:val="69"/>
  </w:num>
  <w:num w:numId="75">
    <w:abstractNumId w:val="70"/>
  </w:num>
  <w:num w:numId="76">
    <w:abstractNumId w:val="71"/>
  </w:num>
  <w:num w:numId="77">
    <w:abstractNumId w:val="72"/>
  </w:num>
  <w:num w:numId="78">
    <w:abstractNumId w:val="73"/>
  </w:num>
  <w:num w:numId="79">
    <w:abstractNumId w:val="74"/>
  </w:num>
  <w:num w:numId="80">
    <w:abstractNumId w:val="75"/>
  </w:num>
  <w:num w:numId="81">
    <w:abstractNumId w:val="76"/>
  </w:num>
  <w:num w:numId="82">
    <w:abstractNumId w:val="77"/>
  </w:num>
  <w:num w:numId="83">
    <w:abstractNumId w:val="78"/>
  </w:num>
  <w:num w:numId="84">
    <w:abstractNumId w:val="79"/>
  </w:num>
  <w:num w:numId="85">
    <w:abstractNumId w:val="80"/>
  </w:num>
  <w:num w:numId="86">
    <w:abstractNumId w:val="81"/>
  </w:num>
  <w:num w:numId="87">
    <w:abstractNumId w:val="82"/>
  </w:num>
  <w:num w:numId="88">
    <w:abstractNumId w:val="83"/>
  </w:num>
  <w:num w:numId="89">
    <w:abstractNumId w:val="84"/>
  </w:num>
  <w:num w:numId="90">
    <w:abstractNumId w:val="85"/>
  </w:num>
  <w:num w:numId="91">
    <w:abstractNumId w:val="86"/>
  </w:num>
  <w:num w:numId="92">
    <w:abstractNumId w:val="87"/>
  </w:num>
  <w:num w:numId="93">
    <w:abstractNumId w:val="88"/>
  </w:num>
  <w:num w:numId="94">
    <w:abstractNumId w:val="89"/>
  </w:num>
  <w:num w:numId="95">
    <w:abstractNumId w:val="90"/>
  </w:num>
  <w:num w:numId="96">
    <w:abstractNumId w:val="91"/>
  </w:num>
  <w:num w:numId="97">
    <w:abstractNumId w:val="92"/>
  </w:num>
  <w:num w:numId="98">
    <w:abstractNumId w:val="93"/>
  </w:num>
  <w:num w:numId="99">
    <w:abstractNumId w:val="94"/>
  </w:num>
  <w:num w:numId="100">
    <w:abstractNumId w:val="95"/>
  </w:num>
  <w:num w:numId="101">
    <w:abstractNumId w:val="96"/>
  </w:num>
  <w:num w:numId="102">
    <w:abstractNumId w:val="97"/>
  </w:num>
  <w:num w:numId="103">
    <w:abstractNumId w:val="98"/>
  </w:num>
  <w:num w:numId="104">
    <w:abstractNumId w:val="99"/>
  </w:num>
  <w:num w:numId="105">
    <w:abstractNumId w:val="100"/>
  </w:num>
  <w:num w:numId="106">
    <w:abstractNumId w:val="101"/>
  </w:num>
  <w:num w:numId="107">
    <w:abstractNumId w:val="102"/>
  </w:num>
  <w:num w:numId="108">
    <w:abstractNumId w:val="103"/>
  </w:num>
  <w:num w:numId="109">
    <w:abstractNumId w:val="104"/>
  </w:num>
  <w:num w:numId="110">
    <w:abstractNumId w:val="105"/>
  </w:num>
  <w:num w:numId="111">
    <w:abstractNumId w:val="106"/>
  </w:num>
  <w:num w:numId="112">
    <w:abstractNumId w:val="107"/>
  </w:num>
  <w:num w:numId="113">
    <w:abstractNumId w:val="108"/>
  </w:num>
  <w:num w:numId="114">
    <w:abstractNumId w:val="109"/>
  </w:num>
  <w:num w:numId="115">
    <w:abstractNumId w:val="110"/>
  </w:num>
  <w:num w:numId="116">
    <w:abstractNumId w:val="111"/>
  </w:num>
  <w:num w:numId="117">
    <w:abstractNumId w:val="112"/>
  </w:num>
  <w:num w:numId="118">
    <w:abstractNumId w:val="113"/>
  </w:num>
  <w:num w:numId="119">
    <w:abstractNumId w:val="114"/>
  </w:num>
  <w:num w:numId="120">
    <w:abstractNumId w:val="115"/>
  </w:num>
  <w:num w:numId="121">
    <w:abstractNumId w:val="116"/>
  </w:num>
  <w:num w:numId="122">
    <w:abstractNumId w:val="117"/>
  </w:num>
  <w:num w:numId="123">
    <w:abstractNumId w:val="118"/>
  </w:num>
  <w:num w:numId="124">
    <w:abstractNumId w:val="119"/>
  </w:num>
  <w:num w:numId="125">
    <w:abstractNumId w:val="120"/>
  </w:num>
  <w:num w:numId="126">
    <w:abstractNumId w:val="121"/>
  </w:num>
  <w:num w:numId="127">
    <w:abstractNumId w:val="122"/>
  </w:num>
  <w:num w:numId="128">
    <w:abstractNumId w:val="123"/>
  </w:num>
  <w:num w:numId="129">
    <w:abstractNumId w:val="124"/>
  </w:num>
  <w:num w:numId="130">
    <w:abstractNumId w:val="125"/>
  </w:num>
  <w:num w:numId="131">
    <w:abstractNumId w:val="126"/>
  </w:num>
  <w:num w:numId="132">
    <w:abstractNumId w:val="127"/>
  </w:num>
  <w:num w:numId="133">
    <w:abstractNumId w:val="128"/>
  </w:num>
  <w:num w:numId="134">
    <w:abstractNumId w:val="129"/>
  </w:num>
  <w:num w:numId="135">
    <w:abstractNumId w:val="130"/>
  </w:num>
  <w:num w:numId="136">
    <w:abstractNumId w:val="131"/>
  </w:num>
  <w:num w:numId="137">
    <w:abstractNumId w:val="132"/>
  </w:num>
  <w:num w:numId="138">
    <w:abstractNumId w:val="133"/>
  </w:num>
  <w:num w:numId="139">
    <w:abstractNumId w:val="134"/>
  </w:num>
  <w:num w:numId="140">
    <w:abstractNumId w:val="135"/>
  </w:num>
  <w:num w:numId="141">
    <w:abstractNumId w:val="136"/>
  </w:num>
  <w:num w:numId="142">
    <w:abstractNumId w:val="137"/>
  </w:num>
  <w:num w:numId="143">
    <w:abstractNumId w:val="183"/>
  </w:num>
  <w:num w:numId="144">
    <w:abstractNumId w:val="176"/>
  </w:num>
  <w:num w:numId="145">
    <w:abstractNumId w:val="201"/>
  </w:num>
  <w:num w:numId="146">
    <w:abstractNumId w:val="205"/>
  </w:num>
  <w:num w:numId="147">
    <w:abstractNumId w:val="204"/>
  </w:num>
  <w:num w:numId="148">
    <w:abstractNumId w:val="182"/>
  </w:num>
  <w:num w:numId="149">
    <w:abstractNumId w:val="191"/>
  </w:num>
  <w:num w:numId="150">
    <w:abstractNumId w:val="185"/>
  </w:num>
  <w:num w:numId="151">
    <w:abstractNumId w:val="175"/>
  </w:num>
  <w:num w:numId="152">
    <w:abstractNumId w:val="197"/>
  </w:num>
  <w:num w:numId="153">
    <w:abstractNumId w:val="196"/>
  </w:num>
  <w:num w:numId="154">
    <w:abstractNumId w:val="170"/>
  </w:num>
  <w:num w:numId="155">
    <w:abstractNumId w:val="200"/>
  </w:num>
  <w:num w:numId="156">
    <w:abstractNumId w:val="184"/>
  </w:num>
  <w:num w:numId="157">
    <w:abstractNumId w:val="208"/>
  </w:num>
  <w:num w:numId="158">
    <w:abstractNumId w:val="186"/>
  </w:num>
  <w:num w:numId="159">
    <w:abstractNumId w:val="193"/>
  </w:num>
  <w:num w:numId="160">
    <w:abstractNumId w:val="199"/>
  </w:num>
  <w:num w:numId="161">
    <w:abstractNumId w:val="194"/>
  </w:num>
  <w:num w:numId="162">
    <w:abstractNumId w:val="202"/>
  </w:num>
  <w:num w:numId="163">
    <w:abstractNumId w:val="190"/>
  </w:num>
  <w:num w:numId="164">
    <w:abstractNumId w:val="180"/>
  </w:num>
  <w:num w:numId="165">
    <w:abstractNumId w:val="203"/>
  </w:num>
  <w:num w:numId="166">
    <w:abstractNumId w:val="173"/>
  </w:num>
  <w:num w:numId="167">
    <w:abstractNumId w:val="187"/>
  </w:num>
  <w:num w:numId="168">
    <w:abstractNumId w:val="192"/>
  </w:num>
  <w:num w:numId="169">
    <w:abstractNumId w:val="177"/>
  </w:num>
  <w:num w:numId="170">
    <w:abstractNumId w:val="138"/>
  </w:num>
  <w:num w:numId="171">
    <w:abstractNumId w:val="139"/>
  </w:num>
  <w:num w:numId="172">
    <w:abstractNumId w:val="140"/>
  </w:num>
  <w:num w:numId="173">
    <w:abstractNumId w:val="141"/>
  </w:num>
  <w:num w:numId="174">
    <w:abstractNumId w:val="142"/>
  </w:num>
  <w:num w:numId="175">
    <w:abstractNumId w:val="143"/>
  </w:num>
  <w:num w:numId="176">
    <w:abstractNumId w:val="178"/>
  </w:num>
  <w:num w:numId="177">
    <w:abstractNumId w:val="144"/>
  </w:num>
  <w:num w:numId="178">
    <w:abstractNumId w:val="145"/>
  </w:num>
  <w:num w:numId="179">
    <w:abstractNumId w:val="146"/>
  </w:num>
  <w:num w:numId="180">
    <w:abstractNumId w:val="147"/>
  </w:num>
  <w:num w:numId="181">
    <w:abstractNumId w:val="148"/>
  </w:num>
  <w:num w:numId="182">
    <w:abstractNumId w:val="149"/>
  </w:num>
  <w:num w:numId="183">
    <w:abstractNumId w:val="150"/>
  </w:num>
  <w:num w:numId="184">
    <w:abstractNumId w:val="151"/>
  </w:num>
  <w:num w:numId="185">
    <w:abstractNumId w:val="152"/>
  </w:num>
  <w:num w:numId="186">
    <w:abstractNumId w:val="153"/>
  </w:num>
  <w:num w:numId="187">
    <w:abstractNumId w:val="154"/>
  </w:num>
  <w:num w:numId="188">
    <w:abstractNumId w:val="155"/>
  </w:num>
  <w:num w:numId="189">
    <w:abstractNumId w:val="156"/>
  </w:num>
  <w:num w:numId="190">
    <w:abstractNumId w:val="157"/>
  </w:num>
  <w:num w:numId="191">
    <w:abstractNumId w:val="158"/>
  </w:num>
  <w:num w:numId="192">
    <w:abstractNumId w:val="159"/>
  </w:num>
  <w:num w:numId="193">
    <w:abstractNumId w:val="160"/>
  </w:num>
  <w:num w:numId="194">
    <w:abstractNumId w:val="161"/>
  </w:num>
  <w:num w:numId="195">
    <w:abstractNumId w:val="162"/>
  </w:num>
  <w:num w:numId="196">
    <w:abstractNumId w:val="163"/>
  </w:num>
  <w:num w:numId="197">
    <w:abstractNumId w:val="164"/>
  </w:num>
  <w:num w:numId="198">
    <w:abstractNumId w:val="165"/>
  </w:num>
  <w:num w:numId="199">
    <w:abstractNumId w:val="166"/>
  </w:num>
  <w:num w:numId="200">
    <w:abstractNumId w:val="167"/>
  </w:num>
  <w:num w:numId="201">
    <w:abstractNumId w:val="168"/>
  </w:num>
  <w:num w:numId="202">
    <w:abstractNumId w:val="169"/>
  </w:num>
  <w:num w:numId="203">
    <w:abstractNumId w:val="188"/>
  </w:num>
  <w:num w:numId="204">
    <w:abstractNumId w:val="195"/>
  </w:num>
  <w:num w:numId="205">
    <w:abstractNumId w:val="174"/>
  </w:num>
  <w:num w:numId="206">
    <w:abstractNumId w:val="198"/>
  </w:num>
  <w:num w:numId="207">
    <w:abstractNumId w:val="207"/>
  </w:num>
  <w:num w:numId="208">
    <w:abstractNumId w:val="181"/>
  </w:num>
  <w:num w:numId="209">
    <w:abstractNumId w:val="20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G68-9741-FCYK-21K9-00000-00&amp;context=" TargetMode="External" /><Relationship Id="rId100" Type="http://schemas.openxmlformats.org/officeDocument/2006/relationships/footer" Target="footer12.xml" /><Relationship Id="rId1000" Type="http://schemas.openxmlformats.org/officeDocument/2006/relationships/hyperlink" Target="https://advance.lexis.com/api/document?collection=cases-ca&amp;id=urn:contentItem:5F7T-S7K1-DY33-B1K8-00000-00&amp;context=" TargetMode="External" /><Relationship Id="rId1001" Type="http://schemas.openxmlformats.org/officeDocument/2006/relationships/hyperlink" Target="https://advance.lexis.com/api/document?collection=cases-ca&amp;id=urn:contentItem:5F7T-S7M1-DYMS-62FG-00000-00&amp;context=" TargetMode="External" /><Relationship Id="rId1002" Type="http://schemas.openxmlformats.org/officeDocument/2006/relationships/hyperlink" Target="https://advance.lexis.com/api/document?collection=cases-ca&amp;id=urn:contentItem:5F7T-S7M1-F4W2-62HJ-00000-00&amp;context=" TargetMode="External" /><Relationship Id="rId1003" Type="http://schemas.openxmlformats.org/officeDocument/2006/relationships/hyperlink" Target="https://advance.lexis.com/api/document?collection=cases-ca&amp;id=urn:contentItem:5F7T-S7H1-F016-S3X8-00000-00&amp;context=" TargetMode="External" /><Relationship Id="rId1004" Type="http://schemas.openxmlformats.org/officeDocument/2006/relationships/hyperlink" Target="https://advance.lexis.com/api/document?collection=cases-ca&amp;id=urn:contentItem:5F7T-S7J1-JNS1-M2G2-00000-00&amp;context=" TargetMode="External" /><Relationship Id="rId1005" Type="http://schemas.openxmlformats.org/officeDocument/2006/relationships/hyperlink" Target="https://advance.lexis.com/api/document?collection=cases-ca&amp;id=urn:contentItem:5F7T-S7K1-JKHB-62PC-00000-00&amp;context=" TargetMode="External" /><Relationship Id="rId1006" Type="http://schemas.openxmlformats.org/officeDocument/2006/relationships/hyperlink" Target="https://advance.lexis.com/api/document?collection=cases-ca&amp;id=urn:contentItem:5F7T-S7K1-DY33-B1KT-00000-00&amp;context=" TargetMode="External" /><Relationship Id="rId1007" Type="http://schemas.openxmlformats.org/officeDocument/2006/relationships/hyperlink" Target="https://advance.lexis.com/api/document?collection=cases-ca&amp;id=urn:contentItem:5F7T-S7B1-F7ND-G50F-00000-00&amp;context=" TargetMode="External" /><Relationship Id="rId1008" Type="http://schemas.openxmlformats.org/officeDocument/2006/relationships/hyperlink" Target="https://advance.lexis.com/api/document?collection=cases-ca&amp;id=urn:contentItem:5F81-VJX1-F5T5-M3YH-00000-00&amp;context=" TargetMode="External" /><Relationship Id="rId1009" Type="http://schemas.openxmlformats.org/officeDocument/2006/relationships/hyperlink" Target="https://advance.lexis.com/api/document?collection=cases-ca&amp;id=urn:contentItem:5F7T-S731-DY33-B0YN-00000-00&amp;context=" TargetMode="External" /><Relationship Id="rId101" Type="http://schemas.openxmlformats.org/officeDocument/2006/relationships/hyperlink" Target="https://advance.lexis.com/api/document?collection=cases-ca&amp;id=urn:contentItem:5F7T-S7M1-DYMS-6227-00000-00&amp;context=" TargetMode="External" /><Relationship Id="rId1010" Type="http://schemas.openxmlformats.org/officeDocument/2006/relationships/hyperlink" Target="https://advance.lexis.com/api/document?collection=cases-ca&amp;id=urn:contentItem:5F7T-S771-JN14-G2PR-00000-00&amp;context=" TargetMode="External" /><Relationship Id="rId1011" Type="http://schemas.openxmlformats.org/officeDocument/2006/relationships/hyperlink" Target="https://advance.lexis.com/api/document?collection=cases-ca&amp;id=urn:contentItem:5F7T-S7D1-DY89-M463-00000-00&amp;context=" TargetMode="External" /><Relationship Id="rId1012" Type="http://schemas.openxmlformats.org/officeDocument/2006/relationships/header" Target="header145.xml" /><Relationship Id="rId1013" Type="http://schemas.openxmlformats.org/officeDocument/2006/relationships/header" Target="header146.xml" /><Relationship Id="rId1014" Type="http://schemas.openxmlformats.org/officeDocument/2006/relationships/footer" Target="footer145.xml" /><Relationship Id="rId1015" Type="http://schemas.openxmlformats.org/officeDocument/2006/relationships/footer" Target="footer146.xml" /><Relationship Id="rId1016" Type="http://schemas.openxmlformats.org/officeDocument/2006/relationships/header" Target="header147.xml" /><Relationship Id="rId1017" Type="http://schemas.openxmlformats.org/officeDocument/2006/relationships/footer" Target="footer147.xml" /><Relationship Id="rId1018" Type="http://schemas.openxmlformats.org/officeDocument/2006/relationships/hyperlink" Target="https://advance.lexis.com/api/document?collection=cases-ca&amp;id=urn:contentItem:5G44-J3J1-JT42-S3KN-00000-00&amp;context=" TargetMode="External" /><Relationship Id="rId1019" Type="http://schemas.openxmlformats.org/officeDocument/2006/relationships/hyperlink" Target="https://advance.lexis.com/api/document?collection=legislation-ca&amp;id=urn:contentItem:5F41-1FN1-JBDT-B0J5-00000-00&amp;context=" TargetMode="External" /><Relationship Id="rId102" Type="http://schemas.openxmlformats.org/officeDocument/2006/relationships/hyperlink" Target="https://advance.lexis.com/api/document?collection=cases-ca&amp;id=urn:contentItem:5K6Y-81N1-JN14-G1N2-00000-00&amp;context=" TargetMode="External" /><Relationship Id="rId1020" Type="http://schemas.openxmlformats.org/officeDocument/2006/relationships/hyperlink" Target="https://advance.lexis.com/api/document?collection=cases-ca&amp;id=urn:contentItem:5F8T-N3V1-FH4C-X1XK-00000-00&amp;context=" TargetMode="External" /><Relationship Id="rId1021" Type="http://schemas.openxmlformats.org/officeDocument/2006/relationships/hyperlink" Target="https://advance.lexis.com/api/document?collection=cases-ca&amp;id=urn:contentItem:5F7T-S711-JNS1-M16M-00000-00&amp;context=" TargetMode="External" /><Relationship Id="rId1022" Type="http://schemas.openxmlformats.org/officeDocument/2006/relationships/hyperlink" Target="https://advance.lexis.com/api/document?collection=cases-ca&amp;id=urn:contentItem:5F7T-S701-JK4W-M10F-00000-00&amp;context=" TargetMode="External" /><Relationship Id="rId1023" Type="http://schemas.openxmlformats.org/officeDocument/2006/relationships/hyperlink" Target="https://advance.lexis.com/api/document?collection=cases-ca&amp;id=urn:contentItem:5F7T-S7P1-JCRC-B2JM-00000-00&amp;context=" TargetMode="External" /><Relationship Id="rId1024" Type="http://schemas.openxmlformats.org/officeDocument/2006/relationships/hyperlink" Target="https://advance.lexis.com/api/document?collection=cases-ca&amp;id=urn:contentItem:5F7T-XPX1-FCCX-6201-00000-00&amp;context=" TargetMode="External" /><Relationship Id="rId1025" Type="http://schemas.openxmlformats.org/officeDocument/2006/relationships/hyperlink" Target="https://advance.lexis.com/api/document?collection=cases-ca&amp;id=urn:contentItem:5F7T-S7D1-JN6B-S14F-00000-00&amp;context=" TargetMode="External" /><Relationship Id="rId1026" Type="http://schemas.openxmlformats.org/officeDocument/2006/relationships/hyperlink" Target="https://advance.lexis.com/api/document?collection=cases-ca&amp;id=urn:contentItem:5F81-VJX1-FCK4-G1VH-00000-00&amp;context=" TargetMode="External" /><Relationship Id="rId1027" Type="http://schemas.openxmlformats.org/officeDocument/2006/relationships/hyperlink" Target="https://advance.lexis.com/api/document?collection=cases-ca&amp;id=urn:contentItem:5F7T-S7F1-F7VM-S47J-00000-00&amp;context=" TargetMode="External" /><Relationship Id="rId1028" Type="http://schemas.openxmlformats.org/officeDocument/2006/relationships/hyperlink" Target="https://advance.lexis.com/api/document?collection=cases-ca&amp;id=urn:contentItem:5F7T-S6Y1-JF75-M3SB-00000-00&amp;context=" TargetMode="External" /><Relationship Id="rId1029" Type="http://schemas.openxmlformats.org/officeDocument/2006/relationships/header" Target="header148.xml" /><Relationship Id="rId103" Type="http://schemas.openxmlformats.org/officeDocument/2006/relationships/hyperlink" Target="https://advance.lexis.com/api/document?collection=legislation-ca&amp;id=urn:contentItem:5VYK-47Y1-F06F-21ND-00000-00&amp;context=" TargetMode="External" /><Relationship Id="rId1030" Type="http://schemas.openxmlformats.org/officeDocument/2006/relationships/header" Target="header149.xml" /><Relationship Id="rId1031" Type="http://schemas.openxmlformats.org/officeDocument/2006/relationships/footer" Target="footer148.xml" /><Relationship Id="rId1032" Type="http://schemas.openxmlformats.org/officeDocument/2006/relationships/footer" Target="footer149.xml" /><Relationship Id="rId1033" Type="http://schemas.openxmlformats.org/officeDocument/2006/relationships/header" Target="header150.xml" /><Relationship Id="rId1034" Type="http://schemas.openxmlformats.org/officeDocument/2006/relationships/footer" Target="footer150.xml" /><Relationship Id="rId1035" Type="http://schemas.openxmlformats.org/officeDocument/2006/relationships/hyperlink" Target="https://advance.lexis.com/api/document?collection=cases-ca&amp;id=urn:contentItem:5F7T-S7F1-JX3N-B1PB-00000-00&amp;context=" TargetMode="External" /><Relationship Id="rId1036" Type="http://schemas.openxmlformats.org/officeDocument/2006/relationships/hyperlink" Target="https://advance.lexis.com/api/document?collection=cases-ca&amp;id=urn:contentItem:5F7T-S7F1-JK4W-M1DH-00000-00&amp;context=" TargetMode="External" /><Relationship Id="rId1037" Type="http://schemas.openxmlformats.org/officeDocument/2006/relationships/hyperlink" Target="https://advance.lexis.com/api/document?collection=cases-ca&amp;id=urn:contentItem:5F7T-S731-F60C-X134-00000-00&amp;context=" TargetMode="External" /><Relationship Id="rId1038" Type="http://schemas.openxmlformats.org/officeDocument/2006/relationships/hyperlink" Target="https://advance.lexis.com/api/document?collection=cases-ca&amp;id=urn:contentItem:5F7T-S751-JBM1-M222-00000-00&amp;context=" TargetMode="External" /><Relationship Id="rId1039" Type="http://schemas.openxmlformats.org/officeDocument/2006/relationships/hyperlink" Target="https://advance.lexis.com/api/document?collection=cases-ca&amp;id=urn:contentItem:5F7T-S7C1-JXG3-X02M-00000-00&amp;context=" TargetMode="External" /><Relationship Id="rId104" Type="http://schemas.openxmlformats.org/officeDocument/2006/relationships/hyperlink" Target="https://advance.lexis.com/api/document?collection=cases-ca&amp;id=urn:contentItem:5F7T-S751-JGHR-M20V-00000-00&amp;context=" TargetMode="External" /><Relationship Id="rId1040" Type="http://schemas.openxmlformats.org/officeDocument/2006/relationships/numbering" Target="numbering.xml" /><Relationship Id="rId1041" Type="http://schemas.openxmlformats.org/officeDocument/2006/relationships/styles" Target="styles.xml" /><Relationship Id="rId105" Type="http://schemas.openxmlformats.org/officeDocument/2006/relationships/hyperlink" Target="https://advance.lexis.com/api/document?collection=cases-ca&amp;id=urn:contentItem:5F7T-S7J1-FGCG-S0D3-00000-00&amp;context=" TargetMode="External" /><Relationship Id="rId106" Type="http://schemas.openxmlformats.org/officeDocument/2006/relationships/hyperlink" Target="https://advance.lexis.com/api/document?collection=cases-ca&amp;id=urn:contentItem:5F7T-S7F1-DXWW-242B-00000-00&amp;context=" TargetMode="External" /><Relationship Id="rId107" Type="http://schemas.openxmlformats.org/officeDocument/2006/relationships/hyperlink" Target="https://advance.lexis.com/api/document?collection=cases-ca&amp;id=urn:contentItem:5F7T-S7J1-FGCG-S09W-00000-00&amp;context=" TargetMode="External" /><Relationship Id="rId108" Type="http://schemas.openxmlformats.org/officeDocument/2006/relationships/hyperlink" Target="https://advance.lexis.com/api/document?collection=cases-ca&amp;id=urn:contentItem:5F7T-S7K1-JWXF-20X0-00000-00&amp;context=" TargetMode="External" /><Relationship Id="rId109" Type="http://schemas.openxmlformats.org/officeDocument/2006/relationships/hyperlink" Target="https://advance.lexis.com/api/document?collection=cases-ca&amp;id=urn:contentItem:5F82-1SJ1-JBDT-B4CM-00000-00&amp;context=" TargetMode="External" /><Relationship Id="rId11" Type="http://schemas.openxmlformats.org/officeDocument/2006/relationships/hyperlink" Target="https://advance.lexis.com/api/document?collection=cases-ca&amp;id=urn:contentItem:5K6Y-81T1-JYYX-61SD-00000-00&amp;context=" TargetMode="External" /><Relationship Id="rId110" Type="http://schemas.openxmlformats.org/officeDocument/2006/relationships/hyperlink" Target="https://advance.lexis.com/api/document?collection=cases-ca&amp;id=urn:contentItem:5F7T-S711-JC0G-62R6-00000-00&amp;context=" TargetMode="External" /><Relationship Id="rId111" Type="http://schemas.openxmlformats.org/officeDocument/2006/relationships/hyperlink" Target="https://advance.lexis.com/api/document?collection=cases-ca&amp;id=urn:contentItem:5F82-1SB1-F8SS-647Y-00000-00&amp;context=" TargetMode="External" /><Relationship Id="rId112" Type="http://schemas.openxmlformats.org/officeDocument/2006/relationships/hyperlink" Target="https://advance.lexis.com/api/document?collection=cases-ca&amp;id=urn:contentItem:5F7T-S7D1-JN6B-S0N4-00000-00&amp;context=" TargetMode="External" /><Relationship Id="rId113" Type="http://schemas.openxmlformats.org/officeDocument/2006/relationships/hyperlink" Target="https://advance.lexis.com/api/document?collection=cases-ca&amp;id=urn:contentItem:5F7T-S7K1-F528-G33F-00000-00&amp;context=" TargetMode="External" /><Relationship Id="rId114" Type="http://schemas.openxmlformats.org/officeDocument/2006/relationships/hyperlink" Target="https://advance.lexis.com/api/document?collection=cases-ca&amp;id=urn:contentItem:5F7T-S7K1-JSJC-X168-00000-00&amp;context=" TargetMode="External" /><Relationship Id="rId115" Type="http://schemas.openxmlformats.org/officeDocument/2006/relationships/hyperlink" Target="https://advance.lexis.com/api/document?collection=cases-ca&amp;id=urn:contentItem:5F82-1SF1-F361-M45M-00000-00&amp;context=" TargetMode="External" /><Relationship Id="rId116" Type="http://schemas.openxmlformats.org/officeDocument/2006/relationships/hyperlink" Target="https://advance.lexis.com/api/document?collection=cases-ca&amp;id=urn:contentItem:5F7T-S7H1-F016-S3XH-00000-00&amp;context=" TargetMode="External" /><Relationship Id="rId117" Type="http://schemas.openxmlformats.org/officeDocument/2006/relationships/hyperlink" Target="https://advance.lexis.com/api/document?collection=cases-ca&amp;id=urn:contentItem:5F7T-S7D1-FFFC-B141-00000-00&amp;context=" TargetMode="External" /><Relationship Id="rId118" Type="http://schemas.openxmlformats.org/officeDocument/2006/relationships/hyperlink" Target="https://advance.lexis.com/api/document?collection=cases-ca&amp;id=urn:contentItem:5F7T-S701-JF75-M4N2-00000-00&amp;context=" TargetMode="External" /><Relationship Id="rId119" Type="http://schemas.openxmlformats.org/officeDocument/2006/relationships/hyperlink" Target="https://advance.lexis.com/api/document?collection=cases-ca&amp;id=urn:contentItem:5F7T-S6W1-JYYX-61TX-00000-00&amp;context=" TargetMode="External" /><Relationship Id="rId12" Type="http://schemas.openxmlformats.org/officeDocument/2006/relationships/hyperlink" Target="https://advance.lexis.com/api/document?collection=cases-ca&amp;id=urn:contentItem:5F7T-S7G1-JBT7-X40C-00000-00&amp;context=" TargetMode="External" /><Relationship Id="rId120" Type="http://schemas.openxmlformats.org/officeDocument/2006/relationships/hyperlink" Target="https://advance.lexis.com/api/document?collection=cases-ca&amp;id=urn:contentItem:5F7T-S731-FFFC-B0K2-00000-00&amp;context=" TargetMode="External" /><Relationship Id="rId121" Type="http://schemas.openxmlformats.org/officeDocument/2006/relationships/hyperlink" Target="https://advance.lexis.com/api/document?collection=cases-ca&amp;id=urn:contentItem:5F7T-S7K1-JSJC-X0R5-00000-00&amp;context=" TargetMode="External" /><Relationship Id="rId122" Type="http://schemas.openxmlformats.org/officeDocument/2006/relationships/hyperlink" Target="https://advance.lexis.com/api/document?collection=cases-ca&amp;id=urn:contentItem:5F7T-S781-F27X-61HG-00000-00&amp;context=" TargetMode="External" /><Relationship Id="rId123" Type="http://schemas.openxmlformats.org/officeDocument/2006/relationships/hyperlink" Target="https://advance.lexis.com/api/document?collection=cases-ca&amp;id=urn:contentItem:5F7T-S7C1-F7ND-G014-00000-00&amp;context=" TargetMode="External" /><Relationship Id="rId124" Type="http://schemas.openxmlformats.org/officeDocument/2006/relationships/header" Target="header13.xml" /><Relationship Id="rId125" Type="http://schemas.openxmlformats.org/officeDocument/2006/relationships/header" Target="header14.xml" /><Relationship Id="rId126" Type="http://schemas.openxmlformats.org/officeDocument/2006/relationships/footer" Target="footer13.xml" /><Relationship Id="rId127" Type="http://schemas.openxmlformats.org/officeDocument/2006/relationships/footer" Target="footer14.xml" /><Relationship Id="rId128" Type="http://schemas.openxmlformats.org/officeDocument/2006/relationships/header" Target="header15.xml" /><Relationship Id="rId129" Type="http://schemas.openxmlformats.org/officeDocument/2006/relationships/footer" Target="footer15.xml" /><Relationship Id="rId13" Type="http://schemas.openxmlformats.org/officeDocument/2006/relationships/hyperlink" Target="https://advance.lexis.com/api/document?collection=cases-ca&amp;id=urn:contentItem:5F7T-S7K1-JX3N-B2V4-00000-00&amp;context=" TargetMode="External" /><Relationship Id="rId130" Type="http://schemas.openxmlformats.org/officeDocument/2006/relationships/hyperlink" Target="https://advance.lexis.com/api/document?collection=cases-ca&amp;id=urn:contentItem:5T1M-78N1-F528-G098-00000-00&amp;context=" TargetMode="External" /><Relationship Id="rId131" Type="http://schemas.openxmlformats.org/officeDocument/2006/relationships/hyperlink" Target="https://advance.lexis.com/api/document?collection=cases-ca&amp;id=urn:contentItem:5RX2-VFY1-F7G6-61SV-00000-00&amp;context=" TargetMode="External" /><Relationship Id="rId132" Type="http://schemas.openxmlformats.org/officeDocument/2006/relationships/hyperlink" Target="https://advance.lexis.com/api/document?collection=cases-ca&amp;id=urn:contentItem:5F7T-S7J1-JYYX-62HS-00000-00&amp;context=" TargetMode="External" /><Relationship Id="rId133" Type="http://schemas.openxmlformats.org/officeDocument/2006/relationships/hyperlink" Target="https://advance.lexis.com/api/document?collection=cases-ca&amp;id=urn:contentItem:5NMS-1461-JN6B-S32F-00000-00&amp;context=" TargetMode="External" /><Relationship Id="rId134" Type="http://schemas.openxmlformats.org/officeDocument/2006/relationships/hyperlink" Target="https://advance.lexis.com/api/document?collection=cases-ca&amp;id=urn:contentItem:5JBT-WT01-JT42-S159-00000-00&amp;context=" TargetMode="External" /><Relationship Id="rId135" Type="http://schemas.openxmlformats.org/officeDocument/2006/relationships/hyperlink" Target="https://advance.lexis.com/api/document?collection=cases-ca&amp;id=urn:contentItem:5F7T-S7J1-JGBH-B275-00000-00&amp;context=" TargetMode="External" /><Relationship Id="rId136" Type="http://schemas.openxmlformats.org/officeDocument/2006/relationships/hyperlink" Target="https://advance.lexis.com/api/document?collection=cases-ca&amp;id=urn:contentItem:5F7T-S6R1-DXWW-22WR-00000-00&amp;context=" TargetMode="External" /><Relationship Id="rId137" Type="http://schemas.openxmlformats.org/officeDocument/2006/relationships/hyperlink" Target="https://advance.lexis.com/api/document?collection=cases-ca&amp;id=urn:contentItem:5F8T-N3V1-JTGH-B1GX-00000-00&amp;context=" TargetMode="External" /><Relationship Id="rId138" Type="http://schemas.openxmlformats.org/officeDocument/2006/relationships/hyperlink" Target="https://advance.lexis.com/api/document?collection=cases-ca&amp;id=urn:contentItem:5P75-P261-FFTT-X4BM-00000-00&amp;context=" TargetMode="External" /><Relationship Id="rId139" Type="http://schemas.openxmlformats.org/officeDocument/2006/relationships/hyperlink" Target="https://advance.lexis.com/api/document?collection=cases-ca&amp;id=urn:contentItem:5F7T-S7N1-JW09-M15N-00000-00&amp;context=" TargetMode="External" /><Relationship Id="rId14" Type="http://schemas.openxmlformats.org/officeDocument/2006/relationships/hyperlink" Target="https://advance.lexis.com/api/document?collection=cases-ca&amp;id=urn:contentItem:5F7T-S7N1-F06F-24KX-00000-00&amp;context=" TargetMode="External" /><Relationship Id="rId140" Type="http://schemas.openxmlformats.org/officeDocument/2006/relationships/hyperlink" Target="https://advance.lexis.com/api/document?collection=cases-ca&amp;id=urn:contentItem:5F7T-S7J1-JYYX-62DX-00000-00&amp;context=" TargetMode="External" /><Relationship Id="rId141" Type="http://schemas.openxmlformats.org/officeDocument/2006/relationships/hyperlink" Target="https://advance.lexis.com/api/document?collection=cases-ca&amp;id=urn:contentItem:5F8T-N3V1-FH4C-X1XS-00000-00&amp;context=" TargetMode="External" /><Relationship Id="rId142" Type="http://schemas.openxmlformats.org/officeDocument/2006/relationships/hyperlink" Target="https://advance.lexis.com/api/document?collection=cases-ca&amp;id=urn:contentItem:5NDB-4M41-F956-S0BR-00000-00&amp;context=" TargetMode="External" /><Relationship Id="rId143" Type="http://schemas.openxmlformats.org/officeDocument/2006/relationships/hyperlink" Target="https://advance.lexis.com/api/document?collection=cases-ca&amp;id=urn:contentItem:5SFV-FTC1-JSXV-G045-00000-00&amp;context=" TargetMode="External" /><Relationship Id="rId144" Type="http://schemas.openxmlformats.org/officeDocument/2006/relationships/hyperlink" Target="https://advance.lexis.com/api/document?collection=cases-ca&amp;id=urn:contentItem:5F7T-S7P1-JCRC-B2CR-00000-00&amp;context=" TargetMode="External" /><Relationship Id="rId145" Type="http://schemas.openxmlformats.org/officeDocument/2006/relationships/hyperlink" Target="https://advance.lexis.com/api/document?collection=cases-ca&amp;id=urn:contentItem:5F16-9371-DXHD-G53T-00000-00&amp;context=" TargetMode="External" /><Relationship Id="rId146" Type="http://schemas.openxmlformats.org/officeDocument/2006/relationships/hyperlink" Target="https://advance.lexis.com/api/document?collection=cases-ca&amp;id=urn:contentItem:5J3K-3591-F956-S3CY-00000-00&amp;context=" TargetMode="External" /><Relationship Id="rId147" Type="http://schemas.openxmlformats.org/officeDocument/2006/relationships/hyperlink" Target="https://advance.lexis.com/api/document?collection=cases-ca&amp;id=urn:contentItem:5F81-VJX1-JJYN-B4VK-00000-00&amp;context=" TargetMode="External" /><Relationship Id="rId148" Type="http://schemas.openxmlformats.org/officeDocument/2006/relationships/hyperlink" Target="https://advance.lexis.com/api/document?collection=cases-ca&amp;id=urn:contentItem:5F81-VJX1-JKPJ-G1J6-00000-00&amp;context=" TargetMode="External" /><Relationship Id="rId149" Type="http://schemas.openxmlformats.org/officeDocument/2006/relationships/hyperlink" Target="https://advance.lexis.com/api/document?collection=cases-ca&amp;id=urn:contentItem:5F82-1SF1-JXG3-X2BF-00000-00&amp;context=" TargetMode="External" /><Relationship Id="rId15" Type="http://schemas.openxmlformats.org/officeDocument/2006/relationships/hyperlink" Target="https://advance.lexis.com/api/document?collection=cases-ca&amp;id=urn:contentItem:5F7T-S7H1-JFKM-625C-00000-00&amp;context=" TargetMode="External" /><Relationship Id="rId150" Type="http://schemas.openxmlformats.org/officeDocument/2006/relationships/hyperlink" Target="https://advance.lexis.com/api/document?collection=cases-ca&amp;id=urn:contentItem:5F8T-N3V1-JF75-M3K1-00000-00&amp;context=" TargetMode="External" /><Relationship Id="rId151" Type="http://schemas.openxmlformats.org/officeDocument/2006/relationships/hyperlink" Target="https://advance.lexis.com/api/document?collection=cases-ca&amp;id=urn:contentItem:5F7T-S7J1-JGBH-B2FV-00000-00&amp;context=" TargetMode="External" /><Relationship Id="rId152" Type="http://schemas.openxmlformats.org/officeDocument/2006/relationships/hyperlink" Target="https://advance.lexis.com/api/document?collection=cases-ca&amp;id=urn:contentItem:5JRP-GCK1-JBM1-M0YM-00000-00&amp;context=" TargetMode="External" /><Relationship Id="rId153" Type="http://schemas.openxmlformats.org/officeDocument/2006/relationships/hyperlink" Target="https://advance.lexis.com/api/document?collection=cases-ca&amp;id=urn:contentItem:5RXP-NCC1-JT42-S4X3-00000-00&amp;context=" TargetMode="External" /><Relationship Id="rId154" Type="http://schemas.openxmlformats.org/officeDocument/2006/relationships/hyperlink" Target="https://advance.lexis.com/api/document?collection=cases-ca&amp;id=urn:contentItem:5FX0-KKR1-JCBX-S2K8-00000-00&amp;context=" TargetMode="External" /><Relationship Id="rId155" Type="http://schemas.openxmlformats.org/officeDocument/2006/relationships/hyperlink" Target="https://advance.lexis.com/api/document?collection=cases-ca&amp;id=urn:contentItem:5G5M-B9W1-FGCG-S00B-00000-00&amp;context=" TargetMode="External" /><Relationship Id="rId156" Type="http://schemas.openxmlformats.org/officeDocument/2006/relationships/hyperlink" Target="https://advance.lexis.com/api/document?collection=cases-ca&amp;id=urn:contentItem:5RBH-0491-JF1Y-B3PY-00000-00&amp;context=" TargetMode="External" /><Relationship Id="rId157" Type="http://schemas.openxmlformats.org/officeDocument/2006/relationships/hyperlink" Target="https://advance.lexis.com/api/document?collection=cases-ca&amp;id=urn:contentItem:5SBF-85J1-JGPY-X39T-00000-00&amp;context=" TargetMode="External" /><Relationship Id="rId158" Type="http://schemas.openxmlformats.org/officeDocument/2006/relationships/hyperlink" Target="https://advance.lexis.com/api/document?collection=cases-ca&amp;id=urn:contentItem:5F7T-S7B1-FH4C-X39F-00000-00&amp;context=" TargetMode="External" /><Relationship Id="rId159" Type="http://schemas.openxmlformats.org/officeDocument/2006/relationships/hyperlink" Target="https://advance.lexis.com/api/document?collection=cases-ca&amp;id=urn:contentItem:5F7T-S7N1-JWR6-S278-00000-00&amp;context=" TargetMode="External" /><Relationship Id="rId16" Type="http://schemas.openxmlformats.org/officeDocument/2006/relationships/hyperlink" Target="https://advance.lexis.com/api/document?collection=cases-ca&amp;id=urn:contentItem:5F7T-S7G1-JN6B-S1GN-00000-00&amp;context=" TargetMode="External" /><Relationship Id="rId160" Type="http://schemas.openxmlformats.org/officeDocument/2006/relationships/hyperlink" Target="https://advance.lexis.com/api/document?collection=cases-ca&amp;id=urn:contentItem:5F7T-S7H1-F4GK-M2X8-00000-00&amp;context=" TargetMode="External" /><Relationship Id="rId161" Type="http://schemas.openxmlformats.org/officeDocument/2006/relationships/hyperlink" Target="https://advance.lexis.com/api/document?collection=cases-ca&amp;id=urn:contentItem:5F7T-S7J1-JYYX-62BW-00000-00&amp;context=" TargetMode="External" /><Relationship Id="rId162" Type="http://schemas.openxmlformats.org/officeDocument/2006/relationships/hyperlink" Target="https://advance.lexis.com/api/document?collection=cases-ca&amp;id=urn:contentItem:5F7T-S751-JX3N-B12D-00000-00&amp;context=" TargetMode="External" /><Relationship Id="rId163" Type="http://schemas.openxmlformats.org/officeDocument/2006/relationships/header" Target="header16.xml" /><Relationship Id="rId164" Type="http://schemas.openxmlformats.org/officeDocument/2006/relationships/header" Target="header17.xml" /><Relationship Id="rId165" Type="http://schemas.openxmlformats.org/officeDocument/2006/relationships/footer" Target="footer16.xml" /><Relationship Id="rId166" Type="http://schemas.openxmlformats.org/officeDocument/2006/relationships/footer" Target="footer17.xml" /><Relationship Id="rId167" Type="http://schemas.openxmlformats.org/officeDocument/2006/relationships/header" Target="header18.xml" /><Relationship Id="rId168" Type="http://schemas.openxmlformats.org/officeDocument/2006/relationships/footer" Target="footer18.xml" /><Relationship Id="rId169" Type="http://schemas.openxmlformats.org/officeDocument/2006/relationships/hyperlink" Target="https://advance.lexis.com/api/document?collection=cases-ca&amp;id=urn:contentItem:5F7T-S7N1-JWR6-S27S-00000-00&amp;context=" TargetMode="External" /><Relationship Id="rId17" Type="http://schemas.openxmlformats.org/officeDocument/2006/relationships/hyperlink" Target="https://advance.lexis.com/api/document?collection=cases-ca&amp;id=urn:contentItem:5F7T-S781-F06F-23N7-00000-00&amp;context=" TargetMode="External" /><Relationship Id="rId170" Type="http://schemas.openxmlformats.org/officeDocument/2006/relationships/hyperlink" Target="https://advance.lexis.com/api/document?collection=legislation-ca&amp;id=urn:contentItem:5F41-1FM1-FGJR-216H-00000-00&amp;context=" TargetMode="External" /><Relationship Id="rId171" Type="http://schemas.openxmlformats.org/officeDocument/2006/relationships/hyperlink" Target="https://advance.lexis.com/api/document?collection=legislation-ca&amp;id=urn:contentItem:5F41-1FJ1-F5KY-B1KS-00000-00&amp;context=" TargetMode="External" /><Relationship Id="rId172" Type="http://schemas.openxmlformats.org/officeDocument/2006/relationships/hyperlink" Target="https://advance.lexis.com/api/document?collection=legislation-ca&amp;id=urn:contentItem:5F3B-BC31-DYFH-X28R-00000-00&amp;context=" TargetMode="External" /><Relationship Id="rId173" Type="http://schemas.openxmlformats.org/officeDocument/2006/relationships/hyperlink" Target="https://advance.lexis.com/api/document?collection=legislation-ca&amp;id=urn:contentItem:5VYK-WB11-FC1F-M3KB-00000-00&amp;context=" TargetMode="External" /><Relationship Id="rId174" Type="http://schemas.openxmlformats.org/officeDocument/2006/relationships/hyperlink" Target="https://advance.lexis.com/api/document?collection=cases-ca&amp;id=urn:contentItem:5F81-VJX1-JJYN-B4MC-00000-00&amp;context=" TargetMode="External" /><Relationship Id="rId175" Type="http://schemas.openxmlformats.org/officeDocument/2006/relationships/hyperlink" Target="https://advance.lexis.com/api/document?collection=cases-ca&amp;id=urn:contentItem:5F81-VJX1-F22N-X1XM-00000-00&amp;context=" TargetMode="External" /><Relationship Id="rId176" Type="http://schemas.openxmlformats.org/officeDocument/2006/relationships/hyperlink" Target="https://advance.lexis.com/api/document?collection=cases-ca&amp;id=urn:contentItem:5F16-9341-FC1F-M077-00000-00&amp;context=" TargetMode="External" /><Relationship Id="rId177" Type="http://schemas.openxmlformats.org/officeDocument/2006/relationships/hyperlink" Target="https://advance.lexis.com/api/document?collection=cases-ca&amp;id=urn:contentItem:5F8P-SDD1-JK4W-M42J-00000-00&amp;context=" TargetMode="External" /><Relationship Id="rId178" Type="http://schemas.openxmlformats.org/officeDocument/2006/relationships/hyperlink" Target="https://advance.lexis.com/api/document?collection=cases-ca&amp;id=urn:contentItem:5F8T-N3V1-FC1F-M4DB-00000-00&amp;context=" TargetMode="External" /><Relationship Id="rId179" Type="http://schemas.openxmlformats.org/officeDocument/2006/relationships/hyperlink" Target="https://advance.lexis.com/api/document?collection=cases-ca&amp;id=urn:contentItem:5F8P-JGK1-FH4C-X1DC-00000-00&amp;context=" TargetMode="External" /><Relationship Id="rId18" Type="http://schemas.openxmlformats.org/officeDocument/2006/relationships/hyperlink" Target="https://advance.lexis.com/api/document?collection=cases-ca&amp;id=urn:contentItem:5G6C-VP51-F7VM-S0MX-00000-00&amp;context=" TargetMode="External" /><Relationship Id="rId180" Type="http://schemas.openxmlformats.org/officeDocument/2006/relationships/hyperlink" Target="https://advance.lexis.com/api/document?collection=cases-ca&amp;id=urn:contentItem:5F8P-JGK1-JYYX-64C6-00000-00&amp;context=" TargetMode="External" /><Relationship Id="rId181" Type="http://schemas.openxmlformats.org/officeDocument/2006/relationships/hyperlink" Target="https://advance.lexis.com/api/document?collection=cases-ca&amp;id=urn:contentItem:5F8P-JGB1-FJM6-60MP-00000-00&amp;context=" TargetMode="External" /><Relationship Id="rId182" Type="http://schemas.openxmlformats.org/officeDocument/2006/relationships/hyperlink" Target="https://advance.lexis.com/api/document?collection=cases-ca&amp;id=urn:contentItem:5F7T-S7C1-JCJ5-20JS-00000-00&amp;context=" TargetMode="External" /><Relationship Id="rId183" Type="http://schemas.openxmlformats.org/officeDocument/2006/relationships/hyperlink" Target="https://advance.lexis.com/api/document?collection=cases-ca&amp;id=urn:contentItem:5F8P-JMY1-F8D9-M1NJ-00000-00&amp;context=" TargetMode="External" /><Relationship Id="rId184" Type="http://schemas.openxmlformats.org/officeDocument/2006/relationships/hyperlink" Target="https://advance.lexis.com/api/document?collection=cases-ca&amp;id=urn:contentItem:5F16-9371-JBT7-X26M-00000-00&amp;context=" TargetMode="External" /><Relationship Id="rId185" Type="http://schemas.openxmlformats.org/officeDocument/2006/relationships/hyperlink" Target="https://advance.lexis.com/api/document?collection=cases-ca&amp;id=urn:contentItem:5F8P-SDV1-JSC5-M1H3-00000-00&amp;context=" TargetMode="External" /><Relationship Id="rId186" Type="http://schemas.openxmlformats.org/officeDocument/2006/relationships/hyperlink" Target="https://advance.lexis.com/api/document?collection=cases-ca&amp;id=urn:contentItem:5F7T-S7F1-JFKM-61VX-00000-00&amp;context=" TargetMode="External" /><Relationship Id="rId187" Type="http://schemas.openxmlformats.org/officeDocument/2006/relationships/hyperlink" Target="https://advance.lexis.com/api/document?collection=cases-ca&amp;id=urn:contentItem:5F8T-N3R1-JNS1-M0SX-00000-00&amp;context=" TargetMode="External" /><Relationship Id="rId188" Type="http://schemas.openxmlformats.org/officeDocument/2006/relationships/hyperlink" Target="https://advance.lexis.com/api/document?collection=cases-ca&amp;id=urn:contentItem:5F8P-SDV1-JSC5-M1KW-00000-00&amp;context=" TargetMode="External" /><Relationship Id="rId189" Type="http://schemas.openxmlformats.org/officeDocument/2006/relationships/hyperlink" Target="https://advance.lexis.com/api/document?collection=cases-ca&amp;id=urn:contentItem:5F7T-S7F1-FFFC-B1VX-00000-00&amp;context=" TargetMode="External" /><Relationship Id="rId19" Type="http://schemas.openxmlformats.org/officeDocument/2006/relationships/hyperlink" Target="https://advance.lexis.com/api/document?collection=cases-ca&amp;id=urn:contentItem:5F8T-N3V1-JF75-M3S6-00000-00&amp;context=" TargetMode="External" /><Relationship Id="rId190" Type="http://schemas.openxmlformats.org/officeDocument/2006/relationships/hyperlink" Target="https://advance.lexis.com/api/document?collection=cases-ca&amp;id=urn:contentItem:5F7T-S771-F361-M1PY-00000-00&amp;context=" TargetMode="External" /><Relationship Id="rId191" Type="http://schemas.openxmlformats.org/officeDocument/2006/relationships/hyperlink" Target="https://advance.lexis.com/api/document?collection=cases-ca&amp;id=urn:contentItem:5F7T-S751-JP4G-61C7-00000-00&amp;context=" TargetMode="External" /><Relationship Id="rId192" Type="http://schemas.openxmlformats.org/officeDocument/2006/relationships/hyperlink" Target="https://advance.lexis.com/api/document?collection=cases-ca&amp;id=urn:contentItem:5F8T-N3V1-JTGH-B1C7-00000-00&amp;context=" TargetMode="External" /><Relationship Id="rId193" Type="http://schemas.openxmlformats.org/officeDocument/2006/relationships/hyperlink" Target="https://advance.lexis.com/api/document?collection=cases-ca&amp;id=urn:contentItem:5F8T-N3T1-JJSF-236M-00000-00&amp;context=" TargetMode="External" /><Relationship Id="rId194" Type="http://schemas.openxmlformats.org/officeDocument/2006/relationships/hyperlink" Target="https://advance.lexis.com/api/document?collection=cases-ca&amp;id=urn:contentItem:5F8T-N3T1-JGHR-M1XV-00000-00&amp;context=" TargetMode="External" /><Relationship Id="rId195" Type="http://schemas.openxmlformats.org/officeDocument/2006/relationships/hyperlink" Target="https://advance.lexis.com/api/document?collection=cases-ca&amp;id=urn:contentItem:5F8P-SBV1-FK0M-S28K-00000-00&amp;context=" TargetMode="External" /><Relationship Id="rId196" Type="http://schemas.openxmlformats.org/officeDocument/2006/relationships/hyperlink" Target="https://advance.lexis.com/api/document?collection=cases-ca&amp;id=urn:contentItem:5F7T-S6S1-FFTT-X05R-00000-00&amp;context=" TargetMode="External" /><Relationship Id="rId197" Type="http://schemas.openxmlformats.org/officeDocument/2006/relationships/hyperlink" Target="https://advance.lexis.com/api/document?collection=cases-ca&amp;id=urn:contentItem:5F7T-S6X1-F7G6-624H-00000-00&amp;context=" TargetMode="External" /><Relationship Id="rId198" Type="http://schemas.openxmlformats.org/officeDocument/2006/relationships/hyperlink" Target="https://advance.lexis.com/api/document?collection=cases-ca&amp;id=urn:contentItem:5F7T-S7H1-JS5Y-B31F-00000-00&amp;context=" TargetMode="External" /><Relationship Id="rId199" Type="http://schemas.openxmlformats.org/officeDocument/2006/relationships/hyperlink" Target="https://advance.lexis.com/api/document?collection=cases-ca&amp;id=urn:contentItem:5F7T-S7H1-JS5Y-B32J-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8T-N3V1-JTGH-B18F-00000-00&amp;context=" TargetMode="External" /><Relationship Id="rId200" Type="http://schemas.openxmlformats.org/officeDocument/2006/relationships/hyperlink" Target="https://advance.lexis.com/api/document?collection=cases-ca&amp;id=urn:contentItem:5F7T-S7J1-JYYX-6252-00000-00&amp;context=" TargetMode="External" /><Relationship Id="rId201" Type="http://schemas.openxmlformats.org/officeDocument/2006/relationships/hyperlink" Target="https://advance.lexis.com/api/document?collection=cases-ca&amp;id=urn:contentItem:5F7T-S7J1-DXWW-24TP-00000-00&amp;context=" TargetMode="External" /><Relationship Id="rId202" Type="http://schemas.openxmlformats.org/officeDocument/2006/relationships/hyperlink" Target="https://advance.lexis.com/api/document?collection=cases-ca&amp;id=urn:contentItem:5F7T-S7K1-JKHB-62XT-00000-00&amp;context=" TargetMode="External" /><Relationship Id="rId203" Type="http://schemas.openxmlformats.org/officeDocument/2006/relationships/hyperlink" Target="https://advance.lexis.com/api/document?collection=cases-ca&amp;id=urn:contentItem:5F81-VJT1-JK4W-M419-00000-00&amp;context=" TargetMode="External" /><Relationship Id="rId204" Type="http://schemas.openxmlformats.org/officeDocument/2006/relationships/hyperlink" Target="https://advance.lexis.com/api/document?collection=cases-ca&amp;id=urn:contentItem:5F8P-SCC1-FFMK-M0GM-00000-00&amp;context=" TargetMode="External" /><Relationship Id="rId205" Type="http://schemas.openxmlformats.org/officeDocument/2006/relationships/hyperlink" Target="https://advance.lexis.com/api/document?collection=cases-ca&amp;id=urn:contentItem:5F7T-S7G1-F5KY-B1FV-00000-00&amp;context=" TargetMode="External" /><Relationship Id="rId206" Type="http://schemas.openxmlformats.org/officeDocument/2006/relationships/hyperlink" Target="https://advance.lexis.com/api/document?collection=cases-ca&amp;id=urn:contentItem:5F7T-S7H1-FCSB-S3JP-00000-00&amp;context=" TargetMode="External" /><Relationship Id="rId207" Type="http://schemas.openxmlformats.org/officeDocument/2006/relationships/hyperlink" Target="https://advance.lexis.com/api/document?collection=cases-ca&amp;id=urn:contentItem:5F81-VJY1-JPGX-S4PK-00000-00&amp;context=" TargetMode="External" /><Relationship Id="rId208" Type="http://schemas.openxmlformats.org/officeDocument/2006/relationships/hyperlink" Target="https://advance.lexis.com/api/document?collection=cases-ca&amp;id=urn:contentItem:5F7T-S7J1-JYYX-62K2-00000-00&amp;context=" TargetMode="External" /><Relationship Id="rId209" Type="http://schemas.openxmlformats.org/officeDocument/2006/relationships/header" Target="header19.xml" /><Relationship Id="rId21" Type="http://schemas.openxmlformats.org/officeDocument/2006/relationships/hyperlink" Target="https://advance.lexis.com/api/document?collection=cases-ca&amp;id=urn:contentItem:5F7T-S7M1-JNCK-22RP-00000-00&amp;context=" TargetMode="External" /><Relationship Id="rId210" Type="http://schemas.openxmlformats.org/officeDocument/2006/relationships/header" Target="header20.xml" /><Relationship Id="rId211" Type="http://schemas.openxmlformats.org/officeDocument/2006/relationships/footer" Target="footer19.xml" /><Relationship Id="rId212" Type="http://schemas.openxmlformats.org/officeDocument/2006/relationships/footer" Target="footer20.xml" /><Relationship Id="rId213" Type="http://schemas.openxmlformats.org/officeDocument/2006/relationships/header" Target="header21.xml" /><Relationship Id="rId214" Type="http://schemas.openxmlformats.org/officeDocument/2006/relationships/footer" Target="footer21.xml" /><Relationship Id="rId215" Type="http://schemas.openxmlformats.org/officeDocument/2006/relationships/hyperlink" Target="https://advance.lexis.com/api/document?collection=cases-ca&amp;id=urn:contentItem:5KH1-G391-F4W2-624T-00000-00&amp;context=" TargetMode="External" /><Relationship Id="rId216" Type="http://schemas.openxmlformats.org/officeDocument/2006/relationships/hyperlink" Target="https://advance.lexis.com/api/document?collection=legislation-ca&amp;id=urn:contentItem:5F41-1FG1-JJYN-B06K-00000-00&amp;context=" TargetMode="External" /><Relationship Id="rId217" Type="http://schemas.openxmlformats.org/officeDocument/2006/relationships/hyperlink" Target="https://advance.lexis.com/api/document?collection=cases-ca&amp;id=urn:contentItem:5F8T-N3S1-JT99-250X-00000-00&amp;context=" TargetMode="External" /><Relationship Id="rId218" Type="http://schemas.openxmlformats.org/officeDocument/2006/relationships/hyperlink" Target="https://advance.lexis.com/api/document?collection=cases-ca&amp;id=urn:contentItem:5F7T-S7C1-F7VM-S3T7-00000-00&amp;context=" TargetMode="External" /><Relationship Id="rId219" Type="http://schemas.openxmlformats.org/officeDocument/2006/relationships/hyperlink" Target="https://advance.lexis.com/api/document?collection=cases-ca&amp;id=urn:contentItem:5F7T-S7D1-JN6B-S131-00000-00&amp;context=" TargetMode="External" /><Relationship Id="rId22" Type="http://schemas.openxmlformats.org/officeDocument/2006/relationships/hyperlink" Target="https://advance.lexis.com/api/document?collection=cases-ca&amp;id=urn:contentItem:5F7T-S7N1-DXWW-206B-00000-00&amp;context=" TargetMode="External" /><Relationship Id="rId220" Type="http://schemas.openxmlformats.org/officeDocument/2006/relationships/hyperlink" Target="https://advance.lexis.com/api/document?collection=cases-ca&amp;id=urn:contentItem:5F8T-N3S1-JT99-250W-00000-00&amp;context=" TargetMode="External" /><Relationship Id="rId221" Type="http://schemas.openxmlformats.org/officeDocument/2006/relationships/hyperlink" Target="https://advance.lexis.com/api/document?collection=cases-ca&amp;id=urn:contentItem:5F8P-SG31-JF75-M2R4-00000-00&amp;context=" TargetMode="External" /><Relationship Id="rId222" Type="http://schemas.openxmlformats.org/officeDocument/2006/relationships/header" Target="header22.xml" /><Relationship Id="rId223" Type="http://schemas.openxmlformats.org/officeDocument/2006/relationships/header" Target="header23.xml" /><Relationship Id="rId224" Type="http://schemas.openxmlformats.org/officeDocument/2006/relationships/footer" Target="footer22.xml" /><Relationship Id="rId225" Type="http://schemas.openxmlformats.org/officeDocument/2006/relationships/footer" Target="footer23.xml" /><Relationship Id="rId226" Type="http://schemas.openxmlformats.org/officeDocument/2006/relationships/header" Target="header24.xml" /><Relationship Id="rId227" Type="http://schemas.openxmlformats.org/officeDocument/2006/relationships/footer" Target="footer24.xml" /><Relationship Id="rId228" Type="http://schemas.openxmlformats.org/officeDocument/2006/relationships/hyperlink" Target="https://advance.lexis.com/api/document?collection=cases-ca&amp;id=urn:contentItem:5RH0-94M1-JW09-M1YS-00000-00&amp;context=" TargetMode="External" /><Relationship Id="rId229" Type="http://schemas.openxmlformats.org/officeDocument/2006/relationships/hyperlink" Target="https://advance.lexis.com/api/document?collection=legislation-ca&amp;id=urn:contentItem:5F3B-B7M1-F1WF-M166-00000-00&amp;context=" TargetMode="External" /><Relationship Id="rId23" Type="http://schemas.openxmlformats.org/officeDocument/2006/relationships/hyperlink" Target="https://advance.lexis.com/api/document?collection=cases-ca&amp;id=urn:contentItem:5F7T-S7D1-F7ND-G0MH-00000-00&amp;context=" TargetMode="External" /><Relationship Id="rId230" Type="http://schemas.openxmlformats.org/officeDocument/2006/relationships/hyperlink" Target="https://advance.lexis.com/api/document?collection=legislation-ca&amp;id=urn:contentItem:5F41-1FG1-FC1F-M0NM-00000-00&amp;context=" TargetMode="External" /><Relationship Id="rId231" Type="http://schemas.openxmlformats.org/officeDocument/2006/relationships/hyperlink" Target="https://advance.lexis.com/api/document?collection=cases-ca&amp;id=urn:contentItem:5F7T-S7F1-JBT7-X2XW-00000-00&amp;context=" TargetMode="External" /><Relationship Id="rId232" Type="http://schemas.openxmlformats.org/officeDocument/2006/relationships/hyperlink" Target="https://advance.lexis.com/api/document?collection=cases-ca&amp;id=urn:contentItem:5F7T-S6T1-JJ1H-X269-00000-00&amp;context=" TargetMode="External" /><Relationship Id="rId233" Type="http://schemas.openxmlformats.org/officeDocument/2006/relationships/hyperlink" Target="https://advance.lexis.com/api/document?collection=cases-ca&amp;id=urn:contentItem:5F7T-S771-JN14-G2J3-00000-00&amp;context=" TargetMode="External" /><Relationship Id="rId234" Type="http://schemas.openxmlformats.org/officeDocument/2006/relationships/hyperlink" Target="https://advance.lexis.com/api/document?collection=cases-ca&amp;id=urn:contentItem:5RH0-94M1-JW09-M1YR-00000-00&amp;context=" TargetMode="External" /><Relationship Id="rId235" Type="http://schemas.openxmlformats.org/officeDocument/2006/relationships/hyperlink" Target="https://advance.lexis.com/api/document?collection=cases-ca&amp;id=urn:contentItem:5F7T-S7G1-JNY7-X3YV-00000-00&amp;context=" TargetMode="External" /><Relationship Id="rId236" Type="http://schemas.openxmlformats.org/officeDocument/2006/relationships/hyperlink" Target="https://advance.lexis.com/api/document?collection=cases-ca&amp;id=urn:contentItem:5GCC-XVB1-JGHR-M4JB-00000-00&amp;context=" TargetMode="External" /><Relationship Id="rId237" Type="http://schemas.openxmlformats.org/officeDocument/2006/relationships/hyperlink" Target="https://advance.lexis.com/api/document?collection=cases-ca&amp;id=urn:contentItem:5F7T-S7K1-JKHB-62VR-00000-00&amp;context=" TargetMode="External" /><Relationship Id="rId238" Type="http://schemas.openxmlformats.org/officeDocument/2006/relationships/hyperlink" Target="https://advance.lexis.com/api/document?collection=cases-ca&amp;id=urn:contentItem:5F7T-S7G1-JPP5-21XC-00000-00&amp;context=" TargetMode="External" /><Relationship Id="rId239" Type="http://schemas.openxmlformats.org/officeDocument/2006/relationships/hyperlink" Target="https://advance.lexis.com/api/document?collection=cases-ca&amp;id=urn:contentItem:5F7T-S7C1-F7VM-S392-00000-00&amp;context=" TargetMode="External" /><Relationship Id="rId24" Type="http://schemas.openxmlformats.org/officeDocument/2006/relationships/hyperlink" Target="https://advance.lexis.com/api/document?collection=cases-ca&amp;id=urn:contentItem:5G3H-VVF1-JSRM-62N9-00000-00&amp;context=" TargetMode="External" /><Relationship Id="rId240" Type="http://schemas.openxmlformats.org/officeDocument/2006/relationships/hyperlink" Target="https://advance.lexis.com/api/document?collection=cases-ca&amp;id=urn:contentItem:5F81-VJW1-JF75-M1DC-00000-00&amp;context=" TargetMode="External" /><Relationship Id="rId241" Type="http://schemas.openxmlformats.org/officeDocument/2006/relationships/hyperlink" Target="https://advance.lexis.com/api/document?collection=cases-ca&amp;id=urn:contentItem:5F7T-S761-FFMK-M0TX-00000-00&amp;context=" TargetMode="External" /><Relationship Id="rId242" Type="http://schemas.openxmlformats.org/officeDocument/2006/relationships/hyperlink" Target="https://advance.lexis.com/api/document?collection=cases-ca&amp;id=urn:contentItem:5F7T-S7H1-JS5Y-B2TV-00000-00&amp;context=" TargetMode="External" /><Relationship Id="rId243" Type="http://schemas.openxmlformats.org/officeDocument/2006/relationships/hyperlink" Target="https://advance.lexis.com/api/document?collection=cases-ca&amp;id=urn:contentItem:5F7T-S7K1-JWXF-213R-00000-00&amp;context=" TargetMode="External" /><Relationship Id="rId244" Type="http://schemas.openxmlformats.org/officeDocument/2006/relationships/hyperlink" Target="https://advance.lexis.com/api/document?collection=cases-ca&amp;id=urn:contentItem:5G3H-VVF1-JSRM-62NH-00000-00&amp;context=" TargetMode="External" /><Relationship Id="rId245" Type="http://schemas.openxmlformats.org/officeDocument/2006/relationships/hyperlink" Target="https://advance.lexis.com/api/document?collection=cases-ca&amp;id=urn:contentItem:5F16-93F1-JNJT-B20T-00000-00&amp;context=" TargetMode="External" /><Relationship Id="rId246" Type="http://schemas.openxmlformats.org/officeDocument/2006/relationships/hyperlink" Target="https://advance.lexis.com/api/document?collection=cases-ca&amp;id=urn:contentItem:5F7T-S7M1-JJK6-S219-00000-00&amp;context=" TargetMode="External" /><Relationship Id="rId247" Type="http://schemas.openxmlformats.org/officeDocument/2006/relationships/hyperlink" Target="https://advance.lexis.com/api/document?collection=cases-ca&amp;id=urn:contentItem:5F7T-S7F1-F7VM-S40R-00000-00&amp;context=" TargetMode="External" /><Relationship Id="rId248" Type="http://schemas.openxmlformats.org/officeDocument/2006/relationships/header" Target="header25.xml" /><Relationship Id="rId249" Type="http://schemas.openxmlformats.org/officeDocument/2006/relationships/header" Target="header26.xml" /><Relationship Id="rId25" Type="http://schemas.openxmlformats.org/officeDocument/2006/relationships/hyperlink" Target="https://advance.lexis.com/api/document?collection=cases-ca&amp;id=urn:contentItem:5F7T-S7N1-JJ1H-X2MS-00000-00&amp;context=" TargetMode="External" /><Relationship Id="rId250" Type="http://schemas.openxmlformats.org/officeDocument/2006/relationships/footer" Target="footer25.xml" /><Relationship Id="rId251" Type="http://schemas.openxmlformats.org/officeDocument/2006/relationships/footer" Target="footer26.xml" /><Relationship Id="rId252" Type="http://schemas.openxmlformats.org/officeDocument/2006/relationships/header" Target="header27.xml" /><Relationship Id="rId253" Type="http://schemas.openxmlformats.org/officeDocument/2006/relationships/footer" Target="footer27.xml" /><Relationship Id="rId254" Type="http://schemas.openxmlformats.org/officeDocument/2006/relationships/hyperlink" Target="https://advance.lexis.com/api/document?collection=cases-ca&amp;id=urn:contentItem:5F7T-S7H1-F016-S3RP-00000-00&amp;context=" TargetMode="External" /><Relationship Id="rId255" Type="http://schemas.openxmlformats.org/officeDocument/2006/relationships/hyperlink" Target="https://advance.lexis.com/api/document?collection=cases-ca&amp;id=urn:contentItem:5F7T-S6Y1-FJDY-X23K-00000-00&amp;context=" TargetMode="External" /><Relationship Id="rId256" Type="http://schemas.openxmlformats.org/officeDocument/2006/relationships/hyperlink" Target="https://advance.lexis.com/api/document?collection=cases-ca&amp;id=urn:contentItem:5F7T-S781-JC5P-G1HX-00000-00&amp;context=" TargetMode="External" /><Relationship Id="rId257" Type="http://schemas.openxmlformats.org/officeDocument/2006/relationships/hyperlink" Target="https://advance.lexis.com/api/document?collection=cases-ca&amp;id=urn:contentItem:5F7T-S7C1-JSRM-60TS-00000-00&amp;context=" TargetMode="External" /><Relationship Id="rId258" Type="http://schemas.openxmlformats.org/officeDocument/2006/relationships/hyperlink" Target="https://advance.lexis.com/api/document?collection=cases-ca&amp;id=urn:contentItem:5F7T-S7C1-FGRY-B0BG-00000-00&amp;context=" TargetMode="External" /><Relationship Id="rId259" Type="http://schemas.openxmlformats.org/officeDocument/2006/relationships/hyperlink" Target="https://advance.lexis.com/api/document?collection=cases-ca&amp;id=urn:contentItem:5F7T-S7G1-JPP5-21V2-00000-00&amp;context=" TargetMode="External" /><Relationship Id="rId26" Type="http://schemas.openxmlformats.org/officeDocument/2006/relationships/hyperlink" Target="https://advance.lexis.com/api/document?collection=cases-ca&amp;id=urn:contentItem:5F7T-S7J1-FGCG-S0BS-00000-00&amp;context=" TargetMode="External" /><Relationship Id="rId260" Type="http://schemas.openxmlformats.org/officeDocument/2006/relationships/hyperlink" Target="https://advance.lexis.com/api/document?collection=cases-ca&amp;id=urn:contentItem:5F8T-N3T1-JJSF-23NF-00000-00&amp;context=" TargetMode="External" /><Relationship Id="rId261" Type="http://schemas.openxmlformats.org/officeDocument/2006/relationships/hyperlink" Target="https://advance.lexis.com/api/document?collection=cases-ca&amp;id=urn:contentItem:5F8T-N3V1-FC1F-M43G-00000-00&amp;context=" TargetMode="External" /><Relationship Id="rId262" Type="http://schemas.openxmlformats.org/officeDocument/2006/relationships/hyperlink" Target="https://advance.lexis.com/api/document?collection=cases-ca&amp;id=urn:contentItem:5F81-VJX1-FGY5-M3H4-00000-00&amp;context=" TargetMode="External" /><Relationship Id="rId263" Type="http://schemas.openxmlformats.org/officeDocument/2006/relationships/hyperlink" Target="https://advance.lexis.com/api/document?collection=cases-ca&amp;id=urn:contentItem:5F7F-5RH1-FJM6-6036-00000-00&amp;context=" TargetMode="External" /><Relationship Id="rId264" Type="http://schemas.openxmlformats.org/officeDocument/2006/relationships/hyperlink" Target="https://advance.lexis.com/api/document?collection=cases-ca&amp;id=urn:contentItem:5F16-9371-JT99-21V1-00000-00&amp;context=" TargetMode="External" /><Relationship Id="rId265" Type="http://schemas.openxmlformats.org/officeDocument/2006/relationships/hyperlink" Target="https://advance.lexis.com/api/document?collection=cases-ca&amp;id=urn:contentItem:5F7T-S7G1-JBT7-X4CB-00000-00&amp;context=" TargetMode="External" /><Relationship Id="rId266" Type="http://schemas.openxmlformats.org/officeDocument/2006/relationships/hyperlink" Target="https://advance.lexis.com/api/document?collection=cases-ca&amp;id=urn:contentItem:5F7T-S771-JW5H-X1YB-00000-00&amp;context=" TargetMode="External" /><Relationship Id="rId267" Type="http://schemas.openxmlformats.org/officeDocument/2006/relationships/hyperlink" Target="https://advance.lexis.com/api/document?collection=cases-ca&amp;id=urn:contentItem:5F7T-S701-F8KH-X1BD-00000-00&amp;context=" TargetMode="External" /><Relationship Id="rId268" Type="http://schemas.openxmlformats.org/officeDocument/2006/relationships/hyperlink" Target="https://advance.lexis.com/api/document?collection=cases-ca&amp;id=urn:contentItem:5F7T-S711-F5KY-B15D-00000-00&amp;context=" TargetMode="External" /><Relationship Id="rId269" Type="http://schemas.openxmlformats.org/officeDocument/2006/relationships/hyperlink" Target="https://advance.lexis.com/api/document?collection=cases-ca&amp;id=urn:contentItem:5F8T-N3V1-FC1F-M405-00000-00&amp;context=" TargetMode="External" /><Relationship Id="rId27" Type="http://schemas.openxmlformats.org/officeDocument/2006/relationships/hyperlink" Target="https://advance.lexis.com/api/document?collection=cases-ca&amp;id=urn:contentItem:5F8T-N3T1-JJSF-234V-00000-00&amp;context=" TargetMode="External" /><Relationship Id="rId270" Type="http://schemas.openxmlformats.org/officeDocument/2006/relationships/hyperlink" Target="https://advance.lexis.com/api/document?collection=cases-ca&amp;id=urn:contentItem:5F7T-S711-JC0G-632S-00000-00&amp;context=" TargetMode="External" /><Relationship Id="rId271" Type="http://schemas.openxmlformats.org/officeDocument/2006/relationships/hyperlink" Target="https://advance.lexis.com/api/document?collection=cases-ca&amp;id=urn:contentItem:5F7T-S721-F57G-S0WB-00000-00&amp;context=" TargetMode="External" /><Relationship Id="rId272" Type="http://schemas.openxmlformats.org/officeDocument/2006/relationships/hyperlink" Target="https://advance.lexis.com/api/document?collection=cases-ca&amp;id=urn:contentItem:5F7T-S791-FJTD-G2F9-00000-00&amp;context=" TargetMode="External" /><Relationship Id="rId273" Type="http://schemas.openxmlformats.org/officeDocument/2006/relationships/header" Target="header28.xml" /><Relationship Id="rId274" Type="http://schemas.openxmlformats.org/officeDocument/2006/relationships/header" Target="header29.xml" /><Relationship Id="rId275" Type="http://schemas.openxmlformats.org/officeDocument/2006/relationships/footer" Target="footer28.xml" /><Relationship Id="rId276" Type="http://schemas.openxmlformats.org/officeDocument/2006/relationships/footer" Target="footer29.xml" /><Relationship Id="rId277" Type="http://schemas.openxmlformats.org/officeDocument/2006/relationships/header" Target="header30.xml" /><Relationship Id="rId278" Type="http://schemas.openxmlformats.org/officeDocument/2006/relationships/footer" Target="footer30.xml" /><Relationship Id="rId279" Type="http://schemas.openxmlformats.org/officeDocument/2006/relationships/hyperlink" Target="https://advance.lexis.com/api/document?collection=cases-ca&amp;id=urn:contentItem:5F7T-S771-JSJC-X0G3-00000-00&amp;context=" TargetMode="External" /><Relationship Id="rId28" Type="http://schemas.openxmlformats.org/officeDocument/2006/relationships/hyperlink" Target="https://advance.lexis.com/api/document?collection=cases-ca&amp;id=urn:contentItem:5F7T-S7K1-JWXF-20XW-00000-00&amp;context=" TargetMode="External" /><Relationship Id="rId280" Type="http://schemas.openxmlformats.org/officeDocument/2006/relationships/hyperlink" Target="https://advance.lexis.com/api/document?collection=cases-ca&amp;id=urn:contentItem:5F7T-S721-F4NT-X2W2-00000-00&amp;context=" TargetMode="External" /><Relationship Id="rId281" Type="http://schemas.openxmlformats.org/officeDocument/2006/relationships/hyperlink" Target="https://advance.lexis.com/api/document?collection=cases-ca&amp;id=urn:contentItem:5F7T-S6W1-JJK6-S167-00000-00&amp;context=" TargetMode="External" /><Relationship Id="rId282" Type="http://schemas.openxmlformats.org/officeDocument/2006/relationships/hyperlink" Target="https://advance.lexis.com/api/document?collection=cases-ca&amp;id=urn:contentItem:5F7T-S751-JCJ5-249F-00000-00&amp;context=" TargetMode="External" /><Relationship Id="rId283" Type="http://schemas.openxmlformats.org/officeDocument/2006/relationships/hyperlink" Target="https://advance.lexis.com/api/document?collection=cases-ca&amp;id=urn:contentItem:5F7T-S751-JNS1-M1NJ-00000-00&amp;context=" TargetMode="External" /><Relationship Id="rId284" Type="http://schemas.openxmlformats.org/officeDocument/2006/relationships/hyperlink" Target="https://advance.lexis.com/api/document?collection=cases-ca&amp;id=urn:contentItem:5F7T-S6T1-F8KH-X0MB-00000-00&amp;context=" TargetMode="External" /><Relationship Id="rId285" Type="http://schemas.openxmlformats.org/officeDocument/2006/relationships/hyperlink" Target="https://advance.lexis.com/api/document?collection=cases-ca&amp;id=urn:contentItem:5F7T-S6T1-DY89-M2T4-00000-00&amp;context=" TargetMode="External" /><Relationship Id="rId286" Type="http://schemas.openxmlformats.org/officeDocument/2006/relationships/hyperlink" Target="https://advance.lexis.com/api/document?collection=cases-ca&amp;id=urn:contentItem:5F16-93B1-JKB3-X3F7-00000-00&amp;context=" TargetMode="External" /><Relationship Id="rId287" Type="http://schemas.openxmlformats.org/officeDocument/2006/relationships/header" Target="header31.xml" /><Relationship Id="rId288" Type="http://schemas.openxmlformats.org/officeDocument/2006/relationships/header" Target="header32.xml" /><Relationship Id="rId289" Type="http://schemas.openxmlformats.org/officeDocument/2006/relationships/footer" Target="footer31.xml" /><Relationship Id="rId29" Type="http://schemas.openxmlformats.org/officeDocument/2006/relationships/hyperlink" Target="https://advance.lexis.com/api/document?collection=cases-ca&amp;id=urn:contentItem:5F7T-S7N1-JC5P-G1Y4-00000-00&amp;context=" TargetMode="External" /><Relationship Id="rId290" Type="http://schemas.openxmlformats.org/officeDocument/2006/relationships/footer" Target="footer32.xml" /><Relationship Id="rId291" Type="http://schemas.openxmlformats.org/officeDocument/2006/relationships/header" Target="header33.xml" /><Relationship Id="rId292" Type="http://schemas.openxmlformats.org/officeDocument/2006/relationships/footer" Target="footer33.xml" /><Relationship Id="rId293" Type="http://schemas.openxmlformats.org/officeDocument/2006/relationships/hyperlink" Target="https://advance.lexis.com/api/document?collection=cases-ca&amp;id=urn:contentItem:5F7T-S781-FH4C-X2MP-00000-00&amp;context=" TargetMode="External" /><Relationship Id="rId294" Type="http://schemas.openxmlformats.org/officeDocument/2006/relationships/hyperlink" Target="https://advance.lexis.com/api/document?collection=legislation-ca&amp;id=urn:contentItem:5F41-1FG1-FC1F-M0TW-00000-00&amp;context=" TargetMode="External" /><Relationship Id="rId295" Type="http://schemas.openxmlformats.org/officeDocument/2006/relationships/hyperlink" Target="https://advance.lexis.com/api/document?collection=cases-ca&amp;id=urn:contentItem:5F7T-S761-F7ND-G4DM-00000-00&amp;context=" TargetMode="External" /><Relationship Id="rId296" Type="http://schemas.openxmlformats.org/officeDocument/2006/relationships/hyperlink" Target="https://advance.lexis.com/api/document?collection=cases-ca&amp;id=urn:contentItem:5F81-VJX1-JJYN-B4P3-00000-00&amp;context=" TargetMode="External" /><Relationship Id="rId297" Type="http://schemas.openxmlformats.org/officeDocument/2006/relationships/hyperlink" Target="https://advance.lexis.com/api/document?collection=cases-ca&amp;id=urn:contentItem:5F7T-S741-F528-G21K-00000-00&amp;context=" TargetMode="External" /><Relationship Id="rId298" Type="http://schemas.openxmlformats.org/officeDocument/2006/relationships/header" Target="header34.xml" /><Relationship Id="rId299" Type="http://schemas.openxmlformats.org/officeDocument/2006/relationships/header" Target="header35.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H1-JFSV-G35Y-00000-00&amp;context=" TargetMode="External" /><Relationship Id="rId300" Type="http://schemas.openxmlformats.org/officeDocument/2006/relationships/footer" Target="footer34.xml" /><Relationship Id="rId301" Type="http://schemas.openxmlformats.org/officeDocument/2006/relationships/footer" Target="footer35.xml" /><Relationship Id="rId302" Type="http://schemas.openxmlformats.org/officeDocument/2006/relationships/header" Target="header36.xml" /><Relationship Id="rId303" Type="http://schemas.openxmlformats.org/officeDocument/2006/relationships/footer" Target="footer36.xml" /><Relationship Id="rId304" Type="http://schemas.openxmlformats.org/officeDocument/2006/relationships/hyperlink" Target="https://advance.lexis.com/api/document?collection=cases-ca&amp;id=urn:contentItem:5F7T-S7G1-JNY7-X3T3-00000-00&amp;context=" TargetMode="External" /><Relationship Id="rId305" Type="http://schemas.openxmlformats.org/officeDocument/2006/relationships/hyperlink" Target="https://advance.lexis.com/api/document?collection=cases-ca&amp;id=urn:contentItem:5F7T-S701-JK4W-M0TM-00000-00&amp;context=" TargetMode="External" /><Relationship Id="rId306" Type="http://schemas.openxmlformats.org/officeDocument/2006/relationships/hyperlink" Target="https://advance.lexis.com/api/document?collection=cases-ca&amp;id=urn:contentItem:5F7T-S6S1-JF1Y-B0X7-00000-00&amp;context=" TargetMode="External" /><Relationship Id="rId307" Type="http://schemas.openxmlformats.org/officeDocument/2006/relationships/hyperlink" Target="https://advance.lexis.com/api/document?collection=cases-ca&amp;id=urn:contentItem:5F7T-S721-JSC5-M387-00000-00&amp;context=" TargetMode="External" /><Relationship Id="rId308" Type="http://schemas.openxmlformats.org/officeDocument/2006/relationships/hyperlink" Target="https://advance.lexis.com/api/document?collection=cases-ca&amp;id=urn:contentItem:5F81-YH41-JX8W-M05P-00000-00&amp;context=" TargetMode="External" /><Relationship Id="rId309" Type="http://schemas.openxmlformats.org/officeDocument/2006/relationships/hyperlink" Target="https://advance.lexis.com/api/document?collection=cases-ca&amp;id=urn:contentItem:5F7T-S6X1-FCCX-60VY-00000-00&amp;context=" TargetMode="External" /><Relationship Id="rId31" Type="http://schemas.openxmlformats.org/officeDocument/2006/relationships/hyperlink" Target="https://advance.lexis.com/api/document?collection=cases-ca&amp;id=urn:contentItem:5F7T-S7N1-JGHR-M3GS-00000-00&amp;context=" TargetMode="External" /><Relationship Id="rId310" Type="http://schemas.openxmlformats.org/officeDocument/2006/relationships/hyperlink" Target="https://advance.lexis.com/api/document?collection=cases-ca&amp;id=urn:contentItem:5F7T-S6Y1-JPP5-211R-00000-00&amp;context=" TargetMode="External" /><Relationship Id="rId311" Type="http://schemas.openxmlformats.org/officeDocument/2006/relationships/hyperlink" Target="https://advance.lexis.com/api/document?collection=cases-ca&amp;id=urn:contentItem:5F7T-S7B1-JCJ5-206H-00000-00&amp;context=" TargetMode="External" /><Relationship Id="rId312" Type="http://schemas.openxmlformats.org/officeDocument/2006/relationships/hyperlink" Target="https://advance.lexis.com/api/document?collection=cases-ca&amp;id=urn:contentItem:5F7T-S7D1-FC6N-X0G8-00000-00&amp;context=" TargetMode="External" /><Relationship Id="rId313" Type="http://schemas.openxmlformats.org/officeDocument/2006/relationships/hyperlink" Target="https://advance.lexis.com/api/document?collection=cases-ca&amp;id=urn:contentItem:5F7T-S711-JNS1-M13V-00000-00&amp;context=" TargetMode="External" /><Relationship Id="rId314" Type="http://schemas.openxmlformats.org/officeDocument/2006/relationships/hyperlink" Target="https://advance.lexis.com/api/document?collection=cases-ca&amp;id=urn:contentItem:5F7T-S701-JGPY-X1HB-00000-00&amp;context=" TargetMode="External" /><Relationship Id="rId315" Type="http://schemas.openxmlformats.org/officeDocument/2006/relationships/hyperlink" Target="https://advance.lexis.com/api/document?collection=cases-ca&amp;id=urn:contentItem:5F7V-3DD1-JFKM-64FV-00000-00&amp;context=" TargetMode="External" /><Relationship Id="rId316" Type="http://schemas.openxmlformats.org/officeDocument/2006/relationships/header" Target="header37.xml" /><Relationship Id="rId317" Type="http://schemas.openxmlformats.org/officeDocument/2006/relationships/header" Target="header38.xml" /><Relationship Id="rId318" Type="http://schemas.openxmlformats.org/officeDocument/2006/relationships/footer" Target="footer37.xml" /><Relationship Id="rId319" Type="http://schemas.openxmlformats.org/officeDocument/2006/relationships/footer" Target="footer38.xml" /><Relationship Id="rId32" Type="http://schemas.openxmlformats.org/officeDocument/2006/relationships/hyperlink" Target="https://advance.lexis.com/api/document?collection=cases-ca&amp;id=urn:contentItem:5F7T-S7D1-FBFS-S1M7-00000-00&amp;context=" TargetMode="External" /><Relationship Id="rId320" Type="http://schemas.openxmlformats.org/officeDocument/2006/relationships/header" Target="header39.xml" /><Relationship Id="rId321" Type="http://schemas.openxmlformats.org/officeDocument/2006/relationships/footer" Target="footer39.xml" /><Relationship Id="rId322" Type="http://schemas.openxmlformats.org/officeDocument/2006/relationships/hyperlink" Target="https://advance.lexis.com/api/document?collection=cases-ca&amp;id=urn:contentItem:5F7T-S781-JC5P-G1JR-00000-00&amp;context=" TargetMode="External" /><Relationship Id="rId323" Type="http://schemas.openxmlformats.org/officeDocument/2006/relationships/hyperlink" Target="https://advance.lexis.com/api/document?collection=cases-ca&amp;id=urn:contentItem:5F8T-N3S1-JT99-250Y-00000-00&amp;context=" TargetMode="External" /><Relationship Id="rId324" Type="http://schemas.openxmlformats.org/officeDocument/2006/relationships/hyperlink" Target="https://advance.lexis.com/api/document?collection=cases-ca&amp;id=urn:contentItem:5F7V-3DG1-JJ6S-63XC-00000-00&amp;context=" TargetMode="External" /><Relationship Id="rId325" Type="http://schemas.openxmlformats.org/officeDocument/2006/relationships/hyperlink" Target="https://advance.lexis.com/api/document?collection=cases-ca&amp;id=urn:contentItem:5F7T-S741-FJM6-61BF-00000-00&amp;context=" TargetMode="External" /><Relationship Id="rId326" Type="http://schemas.openxmlformats.org/officeDocument/2006/relationships/header" Target="header40.xml" /><Relationship Id="rId327" Type="http://schemas.openxmlformats.org/officeDocument/2006/relationships/header" Target="header41.xml" /><Relationship Id="rId328" Type="http://schemas.openxmlformats.org/officeDocument/2006/relationships/footer" Target="footer40.xml" /><Relationship Id="rId329" Type="http://schemas.openxmlformats.org/officeDocument/2006/relationships/footer" Target="footer41.xml" /><Relationship Id="rId33" Type="http://schemas.openxmlformats.org/officeDocument/2006/relationships/hyperlink" Target="https://advance.lexis.com/api/document?collection=cases-ca&amp;id=urn:contentItem:5F8T-N3V1-JFKM-607N-00000-00&amp;context=" TargetMode="External" /><Relationship Id="rId330" Type="http://schemas.openxmlformats.org/officeDocument/2006/relationships/header" Target="header42.xml" /><Relationship Id="rId331" Type="http://schemas.openxmlformats.org/officeDocument/2006/relationships/footer" Target="footer42.xml" /><Relationship Id="rId332" Type="http://schemas.openxmlformats.org/officeDocument/2006/relationships/hyperlink" Target="https://advance.lexis.com/api/document?collection=cases-ca&amp;id=urn:contentItem:5F7T-S771-JN14-G2J4-00000-00&amp;context=" TargetMode="External" /><Relationship Id="rId333" Type="http://schemas.openxmlformats.org/officeDocument/2006/relationships/hyperlink" Target="https://advance.lexis.com/api/document?collection=legislation-ca&amp;id=urn:contentItem:5F41-1FJ1-JKPJ-G0P5-00000-00&amp;context=" TargetMode="External" /><Relationship Id="rId334" Type="http://schemas.openxmlformats.org/officeDocument/2006/relationships/hyperlink" Target="https://advance.lexis.com/api/document?collection=cases-ca&amp;id=urn:contentItem:5F7T-S6Y1-F65M-6050-00000-00&amp;context=" TargetMode="External" /><Relationship Id="rId335" Type="http://schemas.openxmlformats.org/officeDocument/2006/relationships/hyperlink" Target="https://advance.lexis.com/api/document?collection=cases-ca&amp;id=urn:contentItem:5F8T-N3V1-JF75-M3SC-00000-00&amp;context=" TargetMode="External" /><Relationship Id="rId336" Type="http://schemas.openxmlformats.org/officeDocument/2006/relationships/hyperlink" Target="https://advance.lexis.com/api/document?collection=cases-ca&amp;id=urn:contentItem:5F7T-S761-F81W-225C-00000-00&amp;context=" TargetMode="External" /><Relationship Id="rId337" Type="http://schemas.openxmlformats.org/officeDocument/2006/relationships/hyperlink" Target="https://advance.lexis.com/api/document?collection=cases-ca&amp;id=urn:contentItem:5F7T-S6V1-JFKM-6134-00000-00&amp;context=" TargetMode="External" /><Relationship Id="rId338" Type="http://schemas.openxmlformats.org/officeDocument/2006/relationships/hyperlink" Target="https://advance.lexis.com/api/document?collection=cases-ca&amp;id=urn:contentItem:5F8T-N3R1-JJSF-22TB-00000-00&amp;context=" TargetMode="External" /><Relationship Id="rId339" Type="http://schemas.openxmlformats.org/officeDocument/2006/relationships/hyperlink" Target="https://advance.lexis.com/api/document?collection=cases-ca&amp;id=urn:contentItem:5F8T-N3P1-FBV7-B55N-00000-00&amp;context=" TargetMode="External" /><Relationship Id="rId34" Type="http://schemas.openxmlformats.org/officeDocument/2006/relationships/hyperlink" Target="https://advance.lexis.com/api/document?collection=cases-ca&amp;id=urn:contentItem:5F7T-S7K1-DXWW-2018-00000-00&amp;context=" TargetMode="External" /><Relationship Id="rId340" Type="http://schemas.openxmlformats.org/officeDocument/2006/relationships/hyperlink" Target="https://advance.lexis.com/api/document?collection=cases-ca&amp;id=urn:contentItem:5F7T-S731-FFFC-B0FN-00000-00&amp;context=" TargetMode="External" /><Relationship Id="rId341" Type="http://schemas.openxmlformats.org/officeDocument/2006/relationships/hyperlink" Target="https://advance.lexis.com/api/document?collection=cases-ca&amp;id=urn:contentItem:5F7T-S751-JBM1-M231-00000-00&amp;context=" TargetMode="External" /><Relationship Id="rId342" Type="http://schemas.openxmlformats.org/officeDocument/2006/relationships/hyperlink" Target="https://advance.lexis.com/api/document?collection=cases-ca&amp;id=urn:contentItem:5F7T-S6R1-JCJ5-23JW-00000-00&amp;context=" TargetMode="External" /><Relationship Id="rId343" Type="http://schemas.openxmlformats.org/officeDocument/2006/relationships/header" Target="header43.xml" /><Relationship Id="rId344" Type="http://schemas.openxmlformats.org/officeDocument/2006/relationships/header" Target="header44.xml" /><Relationship Id="rId345" Type="http://schemas.openxmlformats.org/officeDocument/2006/relationships/footer" Target="footer43.xml" /><Relationship Id="rId346" Type="http://schemas.openxmlformats.org/officeDocument/2006/relationships/footer" Target="footer44.xml" /><Relationship Id="rId347" Type="http://schemas.openxmlformats.org/officeDocument/2006/relationships/header" Target="header45.xml" /><Relationship Id="rId348" Type="http://schemas.openxmlformats.org/officeDocument/2006/relationships/footer" Target="footer45.xml" /><Relationship Id="rId349" Type="http://schemas.openxmlformats.org/officeDocument/2006/relationships/hyperlink" Target="https://advance.lexis.com/api/document?collection=cases-ca&amp;id=urn:contentItem:5F7T-S7C1-F4NT-X322-00000-00&amp;context=" TargetMode="External" /><Relationship Id="rId35" Type="http://schemas.openxmlformats.org/officeDocument/2006/relationships/hyperlink" Target="https://advance.lexis.com/api/document?collection=cases-ca&amp;id=urn:contentItem:5F7T-S7M1-JNCK-22MK-00000-00&amp;context=" TargetMode="External" /><Relationship Id="rId350" Type="http://schemas.openxmlformats.org/officeDocument/2006/relationships/hyperlink" Target="https://advance.lexis.com/api/document?collection=legislation-ca&amp;id=urn:contentItem:5F41-1FH1-F361-M0DV-00000-00&amp;context=" TargetMode="External" /><Relationship Id="rId351" Type="http://schemas.openxmlformats.org/officeDocument/2006/relationships/header" Target="header46.xml" /><Relationship Id="rId352" Type="http://schemas.openxmlformats.org/officeDocument/2006/relationships/header" Target="header47.xml" /><Relationship Id="rId353" Type="http://schemas.openxmlformats.org/officeDocument/2006/relationships/footer" Target="footer46.xml" /><Relationship Id="rId354" Type="http://schemas.openxmlformats.org/officeDocument/2006/relationships/footer" Target="footer47.xml" /><Relationship Id="rId355" Type="http://schemas.openxmlformats.org/officeDocument/2006/relationships/header" Target="header48.xml" /><Relationship Id="rId356" Type="http://schemas.openxmlformats.org/officeDocument/2006/relationships/footer" Target="footer48.xml" /><Relationship Id="rId357" Type="http://schemas.openxmlformats.org/officeDocument/2006/relationships/hyperlink" Target="https://advance.lexis.com/api/document?collection=cases-ca&amp;id=urn:contentItem:5F7T-S781-F27X-61GD-00000-00&amp;context=" TargetMode="External" /><Relationship Id="rId358" Type="http://schemas.openxmlformats.org/officeDocument/2006/relationships/hyperlink" Target="https://advance.lexis.com/api/document?collection=cases-ca&amp;id=urn:contentItem:5F7T-S771-F81W-22NR-00000-00&amp;context=" TargetMode="External" /><Relationship Id="rId359" Type="http://schemas.openxmlformats.org/officeDocument/2006/relationships/hyperlink" Target="https://advance.lexis.com/api/document?collection=cases-ca&amp;id=urn:contentItem:5F16-9311-JW09-M53T-00000-00&amp;context=" TargetMode="External" /><Relationship Id="rId36" Type="http://schemas.openxmlformats.org/officeDocument/2006/relationships/hyperlink" Target="https://advance.lexis.com/api/document?collection=cases-ca&amp;id=urn:contentItem:5F7T-S7M1-JCRC-B1SF-00000-00&amp;context=" TargetMode="External" /><Relationship Id="rId360" Type="http://schemas.openxmlformats.org/officeDocument/2006/relationships/hyperlink" Target="https://advance.lexis.com/api/document?collection=cases-ca&amp;id=urn:contentItem:5F8T-N3S1-JBDT-B04J-00000-00&amp;context=" TargetMode="External" /><Relationship Id="rId361" Type="http://schemas.openxmlformats.org/officeDocument/2006/relationships/hyperlink" Target="https://advance.lexis.com/api/document?collection=cases-ca&amp;id=urn:contentItem:5F8P-JKH1-F956-S2KB-00000-00&amp;context=" TargetMode="External" /><Relationship Id="rId362" Type="http://schemas.openxmlformats.org/officeDocument/2006/relationships/hyperlink" Target="https://advance.lexis.com/api/document?collection=cases-ca&amp;id=urn:contentItem:5F8P-SCM1-FJM6-6110-00000-00&amp;context=" TargetMode="External" /><Relationship Id="rId363" Type="http://schemas.openxmlformats.org/officeDocument/2006/relationships/hyperlink" Target="https://advance.lexis.com/api/document?collection=cases-ca&amp;id=urn:contentItem:5F8N-K6W1-DXHD-G1WJ-00000-00&amp;context=" TargetMode="External" /><Relationship Id="rId364" Type="http://schemas.openxmlformats.org/officeDocument/2006/relationships/hyperlink" Target="https://advance.lexis.com/api/document?collection=cases-ca&amp;id=urn:contentItem:5F8T-N3R1-JJSF-22K2-00000-00&amp;context=" TargetMode="External" /><Relationship Id="rId365" Type="http://schemas.openxmlformats.org/officeDocument/2006/relationships/hyperlink" Target="https://advance.lexis.com/api/document?collection=cases-ca&amp;id=urn:contentItem:5F16-9321-FC6N-X1YC-00000-00&amp;context=" TargetMode="External" /><Relationship Id="rId366" Type="http://schemas.openxmlformats.org/officeDocument/2006/relationships/hyperlink" Target="https://advance.lexis.com/api/document?collection=cases-ca&amp;id=urn:contentItem:5F8N-K731-F361-M16B-00000-00&amp;context=" TargetMode="External" /><Relationship Id="rId367" Type="http://schemas.openxmlformats.org/officeDocument/2006/relationships/hyperlink" Target="https://advance.lexis.com/api/document?collection=cases-ca&amp;id=urn:contentItem:5F8P-SCX1-F5KY-B3W2-00000-00&amp;context=" TargetMode="External" /><Relationship Id="rId368" Type="http://schemas.openxmlformats.org/officeDocument/2006/relationships/hyperlink" Target="https://advance.lexis.com/api/document?collection=cases-ca&amp;id=urn:contentItem:5F8T-N3V1-JF75-M3KJ-00000-00&amp;context=" TargetMode="External" /><Relationship Id="rId369" Type="http://schemas.openxmlformats.org/officeDocument/2006/relationships/hyperlink" Target="https://advance.lexis.com/api/document?collection=cases-ca&amp;id=urn:contentItem:5F7T-S771-FG68-G0WP-00000-00&amp;context=" TargetMode="External" /><Relationship Id="rId37" Type="http://schemas.openxmlformats.org/officeDocument/2006/relationships/hyperlink" Target="https://advance.lexis.com/api/document?collection=cases-ca&amp;id=urn:contentItem:5F7T-S6W1-JB7K-21F4-00000-00&amp;context=" TargetMode="External" /><Relationship Id="rId370" Type="http://schemas.openxmlformats.org/officeDocument/2006/relationships/hyperlink" Target="https://advance.lexis.com/api/document?collection=cases-ca&amp;id=urn:contentItem:5F7T-S761-FGJR-22BM-00000-00&amp;context=" TargetMode="External" /><Relationship Id="rId371" Type="http://schemas.openxmlformats.org/officeDocument/2006/relationships/hyperlink" Target="https://advance.lexis.com/api/document?collection=cases-ca&amp;id=urn:contentItem:5F7T-S761-JS5Y-B1PG-00000-00&amp;context=" TargetMode="External" /><Relationship Id="rId372" Type="http://schemas.openxmlformats.org/officeDocument/2006/relationships/header" Target="header49.xml" /><Relationship Id="rId373" Type="http://schemas.openxmlformats.org/officeDocument/2006/relationships/header" Target="header50.xml" /><Relationship Id="rId374" Type="http://schemas.openxmlformats.org/officeDocument/2006/relationships/footer" Target="footer49.xml" /><Relationship Id="rId375" Type="http://schemas.openxmlformats.org/officeDocument/2006/relationships/footer" Target="footer50.xml" /><Relationship Id="rId376" Type="http://schemas.openxmlformats.org/officeDocument/2006/relationships/header" Target="header51.xml" /><Relationship Id="rId377" Type="http://schemas.openxmlformats.org/officeDocument/2006/relationships/footer" Target="footer51.xml" /><Relationship Id="rId378" Type="http://schemas.openxmlformats.org/officeDocument/2006/relationships/hyperlink" Target="https://advance.lexis.com/api/document?collection=cases-ca&amp;id=urn:contentItem:5F7T-S781-FH4C-X32T-00000-00&amp;context=" TargetMode="External" /><Relationship Id="rId379" Type="http://schemas.openxmlformats.org/officeDocument/2006/relationships/hyperlink" Target="https://advance.lexis.com/api/document?collection=cases-ca&amp;id=urn:contentItem:5F7T-S751-FJDY-X3WS-00000-00&amp;context=" TargetMode="External" /><Relationship Id="rId38" Type="http://schemas.openxmlformats.org/officeDocument/2006/relationships/hyperlink" Target="https://advance.lexis.com/api/document?collection=cases-ca&amp;id=urn:contentItem:5F7T-S7N1-F57G-S2D4-00000-00&amp;context=" TargetMode="External" /><Relationship Id="rId380" Type="http://schemas.openxmlformats.org/officeDocument/2006/relationships/hyperlink" Target="https://advance.lexis.com/api/document?collection=cases-ca&amp;id=urn:contentItem:5F7T-S761-FGJR-22NY-00000-00&amp;context=" TargetMode="External" /><Relationship Id="rId381" Type="http://schemas.openxmlformats.org/officeDocument/2006/relationships/header" Target="header52.xml" /><Relationship Id="rId382" Type="http://schemas.openxmlformats.org/officeDocument/2006/relationships/header" Target="header53.xml" /><Relationship Id="rId383" Type="http://schemas.openxmlformats.org/officeDocument/2006/relationships/footer" Target="footer52.xml" /><Relationship Id="rId384" Type="http://schemas.openxmlformats.org/officeDocument/2006/relationships/footer" Target="footer53.xml" /><Relationship Id="rId385" Type="http://schemas.openxmlformats.org/officeDocument/2006/relationships/header" Target="header54.xml" /><Relationship Id="rId386" Type="http://schemas.openxmlformats.org/officeDocument/2006/relationships/footer" Target="footer54.xml" /><Relationship Id="rId387" Type="http://schemas.openxmlformats.org/officeDocument/2006/relationships/hyperlink" Target="https://advance.lexis.com/api/document?collection=cases-ca&amp;id=urn:contentItem:5F7T-S7K1-JKHB-62VX-00000-00&amp;context=" TargetMode="External" /><Relationship Id="rId388" Type="http://schemas.openxmlformats.org/officeDocument/2006/relationships/hyperlink" Target="https://advance.lexis.com/api/document?collection=cases-ca&amp;id=urn:contentItem:5F7T-S7C1-FCSB-S219-00000-00&amp;context=" TargetMode="External" /><Relationship Id="rId389" Type="http://schemas.openxmlformats.org/officeDocument/2006/relationships/hyperlink" Target="https://advance.lexis.com/api/document?collection=cases-ca&amp;id=urn:contentItem:5F7T-S701-JJYN-B2WR-00000-00&amp;context=" TargetMode="External" /><Relationship Id="rId39" Type="http://schemas.openxmlformats.org/officeDocument/2006/relationships/hyperlink" Target="https://advance.lexis.com/api/document?collection=cases-ca&amp;id=urn:contentItem:5F7T-S7K1-DY33-B1R6-00000-00&amp;context=" TargetMode="External" /><Relationship Id="rId390" Type="http://schemas.openxmlformats.org/officeDocument/2006/relationships/hyperlink" Target="https://advance.lexis.com/api/document?collection=cases-ca&amp;id=urn:contentItem:5F7T-S7F1-FBN1-21PV-00000-00&amp;context=" TargetMode="External" /><Relationship Id="rId391" Type="http://schemas.openxmlformats.org/officeDocument/2006/relationships/hyperlink" Target="https://advance.lexis.com/api/document?collection=cases-ca&amp;id=urn:contentItem:5F7T-S751-JGHR-M20M-00000-00&amp;context=" TargetMode="External" /><Relationship Id="rId392" Type="http://schemas.openxmlformats.org/officeDocument/2006/relationships/hyperlink" Target="https://advance.lexis.com/api/document?collection=cases-ca&amp;id=urn:contentItem:5F7T-S7D1-FBFS-S1S7-00000-00&amp;context=" TargetMode="External" /><Relationship Id="rId393" Type="http://schemas.openxmlformats.org/officeDocument/2006/relationships/header" Target="header55.xml" /><Relationship Id="rId394" Type="http://schemas.openxmlformats.org/officeDocument/2006/relationships/header" Target="header56.xml" /><Relationship Id="rId395" Type="http://schemas.openxmlformats.org/officeDocument/2006/relationships/footer" Target="footer55.xml" /><Relationship Id="rId396" Type="http://schemas.openxmlformats.org/officeDocument/2006/relationships/footer" Target="footer56.xml" /><Relationship Id="rId397" Type="http://schemas.openxmlformats.org/officeDocument/2006/relationships/header" Target="header57.xml" /><Relationship Id="rId398" Type="http://schemas.openxmlformats.org/officeDocument/2006/relationships/footer" Target="footer57.xml" /><Relationship Id="rId399" Type="http://schemas.openxmlformats.org/officeDocument/2006/relationships/hyperlink" Target="https://advance.lexis.com/api/document?collection=cases-ca&amp;id=urn:contentItem:5F7T-S7D1-JN6B-S18N-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M1-DYMS-62B6-00000-00&amp;context=" TargetMode="External" /><Relationship Id="rId400" Type="http://schemas.openxmlformats.org/officeDocument/2006/relationships/hyperlink" Target="https://advance.lexis.com/api/document?collection=cases-ca&amp;id=urn:contentItem:5F7T-S6Y1-JPP5-2188-00000-00&amp;context=" TargetMode="External" /><Relationship Id="rId401" Type="http://schemas.openxmlformats.org/officeDocument/2006/relationships/hyperlink" Target="https://advance.lexis.com/api/document?collection=cases-ca&amp;id=urn:contentItem:5F7T-S771-JJD0-G1G1-00000-00&amp;context=" TargetMode="External" /><Relationship Id="rId402" Type="http://schemas.openxmlformats.org/officeDocument/2006/relationships/hyperlink" Target="https://advance.lexis.com/api/document?collection=cases-ca&amp;id=urn:contentItem:5F81-VJV1-JBM1-M43Y-00000-00&amp;context=" TargetMode="External" /><Relationship Id="rId403" Type="http://schemas.openxmlformats.org/officeDocument/2006/relationships/hyperlink" Target="https://advance.lexis.com/api/document?collection=cases-ca&amp;id=urn:contentItem:5F81-VJV1-JBM1-M4H3-00000-00&amp;context=" TargetMode="External" /><Relationship Id="rId404" Type="http://schemas.openxmlformats.org/officeDocument/2006/relationships/hyperlink" Target="https://advance.lexis.com/api/document?collection=cases-ca&amp;id=urn:contentItem:5F8T-N3R1-JNS1-M12J-00000-00&amp;context=" TargetMode="External" /><Relationship Id="rId405" Type="http://schemas.openxmlformats.org/officeDocument/2006/relationships/hyperlink" Target="https://advance.lexis.com/api/document?collection=cases-ca&amp;id=urn:contentItem:5F7T-S711-JB2B-S120-00000-00&amp;context=" TargetMode="External" /><Relationship Id="rId406" Type="http://schemas.openxmlformats.org/officeDocument/2006/relationships/hyperlink" Target="https://advance.lexis.com/api/document?collection=cases-ca&amp;id=urn:contentItem:5F8T-N3V1-JF75-M3BV-00000-00&amp;context=" TargetMode="External" /><Relationship Id="rId407" Type="http://schemas.openxmlformats.org/officeDocument/2006/relationships/hyperlink" Target="https://advance.lexis.com/api/document?collection=cases-ca&amp;id=urn:contentItem:5F7T-S761-F81W-21NR-00000-00&amp;context=" TargetMode="External" /><Relationship Id="rId408" Type="http://schemas.openxmlformats.org/officeDocument/2006/relationships/hyperlink" Target="https://advance.lexis.com/api/document?collection=cases-ca&amp;id=urn:contentItem:5F7T-S781-FH4C-X2N3-00000-00&amp;context=" TargetMode="External" /><Relationship Id="rId409" Type="http://schemas.openxmlformats.org/officeDocument/2006/relationships/hyperlink" Target="https://advance.lexis.com/api/document?collection=cases-ca&amp;id=urn:contentItem:5F82-1SF1-JXG3-X26M-00000-00&amp;context=" TargetMode="External" /><Relationship Id="rId41" Type="http://schemas.openxmlformats.org/officeDocument/2006/relationships/hyperlink" Target="https://advance.lexis.com/api/document?collection=cases-ca&amp;id=urn:contentItem:5F8T-N3V1-FC1F-M4BC-00000-00&amp;context=" TargetMode="External" /><Relationship Id="rId410" Type="http://schemas.openxmlformats.org/officeDocument/2006/relationships/hyperlink" Target="https://advance.lexis.com/api/document?collection=cases-ca&amp;id=urn:contentItem:5F7T-S6X1-JTNR-M3X3-00000-00&amp;context=" TargetMode="External" /><Relationship Id="rId411" Type="http://schemas.openxmlformats.org/officeDocument/2006/relationships/hyperlink" Target="https://advance.lexis.com/api/document?collection=cases-ca&amp;id=urn:contentItem:5F7T-S761-F81W-222K-00000-00&amp;context=" TargetMode="External" /><Relationship Id="rId412" Type="http://schemas.openxmlformats.org/officeDocument/2006/relationships/hyperlink" Target="https://advance.lexis.com/api/document?collection=cases-ca&amp;id=urn:contentItem:5F7T-S7C1-JS0R-22BW-00000-00&amp;context=" TargetMode="External" /><Relationship Id="rId413" Type="http://schemas.openxmlformats.org/officeDocument/2006/relationships/hyperlink" Target="https://advance.lexis.com/api/document?collection=cases-ca&amp;id=urn:contentItem:5F7T-S7C1-JXG3-X053-00000-00&amp;context=" TargetMode="External" /><Relationship Id="rId414" Type="http://schemas.openxmlformats.org/officeDocument/2006/relationships/hyperlink" Target="https://advance.lexis.com/api/document?collection=cases-ca&amp;id=urn:contentItem:5F7T-S7C1-JCJ5-20DP-00000-00&amp;context=" TargetMode="External" /><Relationship Id="rId415" Type="http://schemas.openxmlformats.org/officeDocument/2006/relationships/hyperlink" Target="https://advance.lexis.com/api/document?collection=cases-ca&amp;id=urn:contentItem:5F7T-S6X1-F7G6-6232-00000-00&amp;context=" TargetMode="External" /><Relationship Id="rId416" Type="http://schemas.openxmlformats.org/officeDocument/2006/relationships/hyperlink" Target="https://advance.lexis.com/api/document?collection=cases-ca&amp;id=urn:contentItem:5F7T-S6Y1-JP9P-G1SK-00000-00&amp;context=" TargetMode="External" /><Relationship Id="rId417" Type="http://schemas.openxmlformats.org/officeDocument/2006/relationships/hyperlink" Target="https://advance.lexis.com/api/document?collection=cases-ca&amp;id=urn:contentItem:5F7T-S781-F06F-2420-00000-00&amp;context=" TargetMode="External" /><Relationship Id="rId418" Type="http://schemas.openxmlformats.org/officeDocument/2006/relationships/hyperlink" Target="https://advance.lexis.com/api/document?collection=cases-ca&amp;id=urn:contentItem:5F7T-S7C1-JS0R-22BK-00000-00&amp;context=" TargetMode="External" /><Relationship Id="rId419" Type="http://schemas.openxmlformats.org/officeDocument/2006/relationships/hyperlink" Target="https://advance.lexis.com/api/document?collection=cases-ca&amp;id=urn:contentItem:5F7T-S711-F4W2-61X9-00000-00&amp;context=" TargetMode="External" /><Relationship Id="rId42" Type="http://schemas.openxmlformats.org/officeDocument/2006/relationships/header" Target="header4.xml" /><Relationship Id="rId420" Type="http://schemas.openxmlformats.org/officeDocument/2006/relationships/hyperlink" Target="https://advance.lexis.com/api/document?collection=cases-ca&amp;id=urn:contentItem:5F7T-S6Y1-F65M-604Y-00000-00&amp;context=" TargetMode="External" /><Relationship Id="rId421" Type="http://schemas.openxmlformats.org/officeDocument/2006/relationships/hyperlink" Target="https://advance.lexis.com/api/document?collection=cases-ca&amp;id=urn:contentItem:5F7T-S781-JSC5-M4GD-00000-00&amp;context=" TargetMode="External" /><Relationship Id="rId422" Type="http://schemas.openxmlformats.org/officeDocument/2006/relationships/hyperlink" Target="https://advance.lexis.com/api/document?collection=cases-ca&amp;id=urn:contentItem:5F7T-S7C1-F7VM-S3NW-00000-00&amp;context=" TargetMode="External" /><Relationship Id="rId423" Type="http://schemas.openxmlformats.org/officeDocument/2006/relationships/header" Target="header58.xml" /><Relationship Id="rId424" Type="http://schemas.openxmlformats.org/officeDocument/2006/relationships/header" Target="header59.xml" /><Relationship Id="rId425" Type="http://schemas.openxmlformats.org/officeDocument/2006/relationships/footer" Target="footer58.xml" /><Relationship Id="rId426" Type="http://schemas.openxmlformats.org/officeDocument/2006/relationships/footer" Target="footer59.xml" /><Relationship Id="rId427" Type="http://schemas.openxmlformats.org/officeDocument/2006/relationships/header" Target="header60.xml" /><Relationship Id="rId428" Type="http://schemas.openxmlformats.org/officeDocument/2006/relationships/footer" Target="footer60.xml" /><Relationship Id="rId429" Type="http://schemas.openxmlformats.org/officeDocument/2006/relationships/hyperlink" Target="https://advance.lexis.com/api/document?collection=cases-ca&amp;id=urn:contentItem:5F7T-S7D1-FCSB-S2P9-00000-00&amp;context=" TargetMode="External" /><Relationship Id="rId43" Type="http://schemas.openxmlformats.org/officeDocument/2006/relationships/header" Target="header5.xml" /><Relationship Id="rId430" Type="http://schemas.openxmlformats.org/officeDocument/2006/relationships/hyperlink" Target="https://advance.lexis.com/api/document?collection=cases-ca&amp;id=urn:contentItem:5K6Y-81T1-JYYX-61K6-00000-00&amp;context=" TargetMode="External" /><Relationship Id="rId431" Type="http://schemas.openxmlformats.org/officeDocument/2006/relationships/hyperlink" Target="https://advance.lexis.com/api/document?collection=legislation-ca&amp;id=urn:contentItem:5F41-1FH1-JSRM-60J7-00000-00&amp;context=" TargetMode="External" /><Relationship Id="rId432" Type="http://schemas.openxmlformats.org/officeDocument/2006/relationships/hyperlink" Target="https://advance.lexis.com/api/document?collection=cases-ca&amp;id=urn:contentItem:5F7T-S6W1-FBFS-S1CK-00000-00&amp;context=" TargetMode="External" /><Relationship Id="rId433" Type="http://schemas.openxmlformats.org/officeDocument/2006/relationships/hyperlink" Target="https://advance.lexis.com/api/document?collection=cases-ca&amp;id=urn:contentItem:5F7T-S6W1-JB7K-21KW-00000-00&amp;context=" TargetMode="External" /><Relationship Id="rId434" Type="http://schemas.openxmlformats.org/officeDocument/2006/relationships/hyperlink" Target="https://advance.lexis.com/api/document?collection=cases-ca&amp;id=urn:contentItem:5F7T-S751-JX3N-B16X-00000-00&amp;context=" TargetMode="External" /><Relationship Id="rId435" Type="http://schemas.openxmlformats.org/officeDocument/2006/relationships/hyperlink" Target="https://advance.lexis.com/api/document?collection=cases-ca&amp;id=urn:contentItem:5F8P-SCV1-JX3N-B14M-00000-00&amp;context=" TargetMode="External" /><Relationship Id="rId436" Type="http://schemas.openxmlformats.org/officeDocument/2006/relationships/hyperlink" Target="https://advance.lexis.com/api/document?collection=cases-ca&amp;id=urn:contentItem:5F7T-S791-JCJ5-251B-00000-00&amp;context=" TargetMode="External" /><Relationship Id="rId437" Type="http://schemas.openxmlformats.org/officeDocument/2006/relationships/hyperlink" Target="https://advance.lexis.com/api/document?collection=cases-ca&amp;id=urn:contentItem:5F7T-S7C1-F4NT-X3NB-00000-00&amp;context=" TargetMode="External" /><Relationship Id="rId438" Type="http://schemas.openxmlformats.org/officeDocument/2006/relationships/hyperlink" Target="https://advance.lexis.com/api/document?collection=cases-ca&amp;id=urn:contentItem:5F7T-S6T1-JP9P-G14B-00000-00&amp;context=" TargetMode="External" /><Relationship Id="rId439" Type="http://schemas.openxmlformats.org/officeDocument/2006/relationships/hyperlink" Target="https://advance.lexis.com/api/document?collection=cases-ca&amp;id=urn:contentItem:5F7T-S6T1-JP9P-G14C-00000-00&amp;context=" TargetMode="External" /><Relationship Id="rId44" Type="http://schemas.openxmlformats.org/officeDocument/2006/relationships/footer" Target="footer4.xml" /><Relationship Id="rId440" Type="http://schemas.openxmlformats.org/officeDocument/2006/relationships/hyperlink" Target="https://advance.lexis.com/api/document?collection=cases-ca&amp;id=urn:contentItem:5F7T-S6Y1-JF75-M3TB-00000-00&amp;context=" TargetMode="External" /><Relationship Id="rId441" Type="http://schemas.openxmlformats.org/officeDocument/2006/relationships/hyperlink" Target="https://advance.lexis.com/api/document?collection=cases-ca&amp;id=urn:contentItem:5F8T-N3T1-JFKM-6542-00000-00&amp;context=" TargetMode="External" /><Relationship Id="rId442" Type="http://schemas.openxmlformats.org/officeDocument/2006/relationships/hyperlink" Target="https://advance.lexis.com/api/document?collection=cases-ca&amp;id=urn:contentItem:5F7T-S701-JF75-M4B8-00000-00&amp;context=" TargetMode="External" /><Relationship Id="rId443" Type="http://schemas.openxmlformats.org/officeDocument/2006/relationships/hyperlink" Target="https://advance.lexis.com/api/document?collection=cases-ca&amp;id=urn:contentItem:5F7T-S771-F2TK-22P5-00000-00&amp;context=" TargetMode="External" /><Relationship Id="rId444" Type="http://schemas.openxmlformats.org/officeDocument/2006/relationships/hyperlink" Target="https://advance.lexis.com/api/document?collection=cases-ca&amp;id=urn:contentItem:5F7T-S761-JCBX-S0ST-00000-00&amp;context=" TargetMode="External" /><Relationship Id="rId445" Type="http://schemas.openxmlformats.org/officeDocument/2006/relationships/hyperlink" Target="https://advance.lexis.com/api/document?collection=cases-ca&amp;id=urn:contentItem:5F7T-S771-JSJC-X038-00000-00&amp;context=" TargetMode="External" /><Relationship Id="rId446" Type="http://schemas.openxmlformats.org/officeDocument/2006/relationships/header" Target="header61.xml" /><Relationship Id="rId447" Type="http://schemas.openxmlformats.org/officeDocument/2006/relationships/header" Target="header62.xml" /><Relationship Id="rId448" Type="http://schemas.openxmlformats.org/officeDocument/2006/relationships/footer" Target="footer61.xml" /><Relationship Id="rId449" Type="http://schemas.openxmlformats.org/officeDocument/2006/relationships/footer" Target="footer62.xml" /><Relationship Id="rId45" Type="http://schemas.openxmlformats.org/officeDocument/2006/relationships/footer" Target="footer5.xml" /><Relationship Id="rId450" Type="http://schemas.openxmlformats.org/officeDocument/2006/relationships/header" Target="header63.xml" /><Relationship Id="rId451" Type="http://schemas.openxmlformats.org/officeDocument/2006/relationships/footer" Target="footer63.xml" /><Relationship Id="rId452" Type="http://schemas.openxmlformats.org/officeDocument/2006/relationships/hyperlink" Target="https://advance.lexis.com/api/document?collection=cases-ca&amp;id=urn:contentItem:5WK2-N5H1-JWXF-200X-00000-00&amp;context=" TargetMode="External" /><Relationship Id="rId453" Type="http://schemas.openxmlformats.org/officeDocument/2006/relationships/hyperlink" Target="https://advance.lexis.com/api/document?collection=legislation-ca&amp;id=urn:contentItem:5F41-1FH1-F361-M0F1-00000-00&amp;context=" TargetMode="External" /><Relationship Id="rId454" Type="http://schemas.openxmlformats.org/officeDocument/2006/relationships/hyperlink" Target="https://advance.lexis.com/api/document?collection=cases-ca&amp;id=urn:contentItem:5F7T-S7N1-JJ1H-X2P6-00000-00&amp;context=" TargetMode="External" /><Relationship Id="rId455" Type="http://schemas.openxmlformats.org/officeDocument/2006/relationships/hyperlink" Target="https://advance.lexis.com/api/document?collection=cases-ca&amp;id=urn:contentItem:5F7T-S7M1-DYMS-626K-00000-00&amp;context=" TargetMode="External" /><Relationship Id="rId456" Type="http://schemas.openxmlformats.org/officeDocument/2006/relationships/hyperlink" Target="https://advance.lexis.com/api/document?collection=cases-ca&amp;id=urn:contentItem:5F7T-S7N1-JWR6-S2JD-00000-00&amp;context=" TargetMode="External" /><Relationship Id="rId457" Type="http://schemas.openxmlformats.org/officeDocument/2006/relationships/hyperlink" Target="https://advance.lexis.com/api/document?collection=cases-ca&amp;id=urn:contentItem:5F7T-S7K1-JKHB-62YV-00000-00&amp;context=" TargetMode="External" /><Relationship Id="rId458" Type="http://schemas.openxmlformats.org/officeDocument/2006/relationships/hyperlink" Target="https://advance.lexis.com/api/document?collection=cases-ca&amp;id=urn:contentItem:5G5M-B9W1-FGCG-S01V-00000-00&amp;context=" TargetMode="External" /><Relationship Id="rId459" Type="http://schemas.openxmlformats.org/officeDocument/2006/relationships/hyperlink" Target="https://advance.lexis.com/api/document?collection=cases-ca&amp;id=urn:contentItem:5KMV-YFM1-FJDY-X3RJ-00000-00&amp;context=" TargetMode="External" /><Relationship Id="rId46" Type="http://schemas.openxmlformats.org/officeDocument/2006/relationships/header" Target="header6.xml" /><Relationship Id="rId460" Type="http://schemas.openxmlformats.org/officeDocument/2006/relationships/header" Target="header64.xml" /><Relationship Id="rId461" Type="http://schemas.openxmlformats.org/officeDocument/2006/relationships/header" Target="header65.xml" /><Relationship Id="rId462" Type="http://schemas.openxmlformats.org/officeDocument/2006/relationships/footer" Target="footer64.xml" /><Relationship Id="rId463" Type="http://schemas.openxmlformats.org/officeDocument/2006/relationships/footer" Target="footer65.xml" /><Relationship Id="rId464" Type="http://schemas.openxmlformats.org/officeDocument/2006/relationships/header" Target="header66.xml" /><Relationship Id="rId465" Type="http://schemas.openxmlformats.org/officeDocument/2006/relationships/footer" Target="footer66.xml" /><Relationship Id="rId466" Type="http://schemas.openxmlformats.org/officeDocument/2006/relationships/hyperlink" Target="https://advance.lexis.com/api/document?collection=cases-ca&amp;id=urn:contentItem:5F7T-S7D1-F7ND-G0MB-00000-00&amp;context=" TargetMode="External" /><Relationship Id="rId467" Type="http://schemas.openxmlformats.org/officeDocument/2006/relationships/hyperlink" Target="https://advance.lexis.com/api/document?collection=cases-ca&amp;id=urn:contentItem:5K6Y-81T1-JYYX-61K7-00000-00&amp;context=" TargetMode="External" /><Relationship Id="rId468" Type="http://schemas.openxmlformats.org/officeDocument/2006/relationships/hyperlink" Target="https://advance.lexis.com/api/document?collection=cases-ca&amp;id=urn:contentItem:5F7T-S751-JX3N-B0S9-00000-00&amp;context=" TargetMode="External" /><Relationship Id="rId469" Type="http://schemas.openxmlformats.org/officeDocument/2006/relationships/hyperlink" Target="https://advance.lexis.com/api/document?collection=cases-ca&amp;id=urn:contentItem:5F8T-N3V1-JFKM-609G-00000-00&amp;context=" TargetMode="External" /><Relationship Id="rId47" Type="http://schemas.openxmlformats.org/officeDocument/2006/relationships/footer" Target="footer6.xml" /><Relationship Id="rId470" Type="http://schemas.openxmlformats.org/officeDocument/2006/relationships/hyperlink" Target="https://advance.lexis.com/api/document?collection=cases-ca&amp;id=urn:contentItem:5F8P-SCN1-F8D9-M1Y6-00000-00&amp;context=" TargetMode="External" /><Relationship Id="rId471" Type="http://schemas.openxmlformats.org/officeDocument/2006/relationships/hyperlink" Target="https://advance.lexis.com/api/document?collection=cases-ca&amp;id=urn:contentItem:5F7T-S761-JCBX-S0KD-00000-00&amp;context=" TargetMode="External" /><Relationship Id="rId472" Type="http://schemas.openxmlformats.org/officeDocument/2006/relationships/header" Target="header67.xml" /><Relationship Id="rId473" Type="http://schemas.openxmlformats.org/officeDocument/2006/relationships/header" Target="header68.xml" /><Relationship Id="rId474" Type="http://schemas.openxmlformats.org/officeDocument/2006/relationships/footer" Target="footer67.xml" /><Relationship Id="rId475" Type="http://schemas.openxmlformats.org/officeDocument/2006/relationships/footer" Target="footer68.xml" /><Relationship Id="rId476" Type="http://schemas.openxmlformats.org/officeDocument/2006/relationships/header" Target="header69.xml" /><Relationship Id="rId477" Type="http://schemas.openxmlformats.org/officeDocument/2006/relationships/footer" Target="footer69.xml" /><Relationship Id="rId478" Type="http://schemas.openxmlformats.org/officeDocument/2006/relationships/hyperlink" Target="https://advance.lexis.com/api/document?collection=cases-ca&amp;id=urn:contentItem:5F7T-S7D1-FFFC-B1HS-00000-00&amp;context=" TargetMode="External" /><Relationship Id="rId479" Type="http://schemas.openxmlformats.org/officeDocument/2006/relationships/hyperlink" Target="https://advance.lexis.com/api/document?collection=cases-ca&amp;id=urn:contentItem:5F8T-N3T1-JFKM-652N-00000-00&amp;context=" TargetMode="External" /><Relationship Id="rId48" Type="http://schemas.openxmlformats.org/officeDocument/2006/relationships/hyperlink" Target="https://advance.lexis.com/api/document?collection=cases-ca&amp;id=urn:contentItem:5JBT-WT01-JT42-S163-00000-00&amp;context=" TargetMode="External" /><Relationship Id="rId480" Type="http://schemas.openxmlformats.org/officeDocument/2006/relationships/hyperlink" Target="https://advance.lexis.com/api/document?collection=cases-ca&amp;id=urn:contentItem:5F8T-N3V1-JF75-M3CF-00000-00&amp;context=" TargetMode="External" /><Relationship Id="rId481" Type="http://schemas.openxmlformats.org/officeDocument/2006/relationships/hyperlink" Target="https://advance.lexis.com/api/document?collection=cases-ca&amp;id=urn:contentItem:5F7T-S791-FJTD-G2RB-00000-00&amp;context=" TargetMode="External" /><Relationship Id="rId482" Type="http://schemas.openxmlformats.org/officeDocument/2006/relationships/hyperlink" Target="https://advance.lexis.com/api/document?collection=cases-ca&amp;id=urn:contentItem:5F8T-N3T1-JJSF-2339-00000-00&amp;context=" TargetMode="External" /><Relationship Id="rId483" Type="http://schemas.openxmlformats.org/officeDocument/2006/relationships/hyperlink" Target="https://advance.lexis.com/api/document?collection=cases-ca&amp;id=urn:contentItem:5F81-VJX1-JJYN-B4H3-00000-00&amp;context=" TargetMode="External" /><Relationship Id="rId484" Type="http://schemas.openxmlformats.org/officeDocument/2006/relationships/hyperlink" Target="https://advance.lexis.com/api/document?collection=cases-ca&amp;id=urn:contentItem:5F7T-S7C1-FGRY-B06B-00000-00&amp;context=" TargetMode="External" /><Relationship Id="rId485" Type="http://schemas.openxmlformats.org/officeDocument/2006/relationships/hyperlink" Target="https://advance.lexis.com/api/document?collection=cases-ca&amp;id=urn:contentItem:5F7T-S7G1-JX3N-B2JF-00000-00&amp;context=" TargetMode="External" /><Relationship Id="rId486" Type="http://schemas.openxmlformats.org/officeDocument/2006/relationships/hyperlink" Target="https://advance.lexis.com/api/document?collection=cases-ca&amp;id=urn:contentItem:5F7T-S7C1-JS0R-224X-00000-00&amp;context=" TargetMode="External" /><Relationship Id="rId487" Type="http://schemas.openxmlformats.org/officeDocument/2006/relationships/header" Target="header70.xml" /><Relationship Id="rId488" Type="http://schemas.openxmlformats.org/officeDocument/2006/relationships/header" Target="header71.xml" /><Relationship Id="rId489" Type="http://schemas.openxmlformats.org/officeDocument/2006/relationships/footer" Target="footer70.xml" /><Relationship Id="rId49" Type="http://schemas.openxmlformats.org/officeDocument/2006/relationships/hyperlink" Target="https://advance.lexis.com/api/document?collection=legislation-ca&amp;id=urn:contentItem:5F3B-B7K1-DY89-M23T-00000-00&amp;context=" TargetMode="External" /><Relationship Id="rId490" Type="http://schemas.openxmlformats.org/officeDocument/2006/relationships/footer" Target="footer71.xml" /><Relationship Id="rId491" Type="http://schemas.openxmlformats.org/officeDocument/2006/relationships/header" Target="header72.xml" /><Relationship Id="rId492" Type="http://schemas.openxmlformats.org/officeDocument/2006/relationships/footer" Target="footer72.xml" /><Relationship Id="rId493" Type="http://schemas.openxmlformats.org/officeDocument/2006/relationships/hyperlink" Target="https://advance.lexis.com/api/document?collection=cases-ca&amp;id=urn:contentItem:5F7T-S771-JSJC-X060-00000-00&amp;context=" TargetMode="External" /><Relationship Id="rId494" Type="http://schemas.openxmlformats.org/officeDocument/2006/relationships/hyperlink" Target="https://advance.lexis.com/api/document?collection=cases-ca&amp;id=urn:contentItem:5F7T-S711-FJDY-X3B0-00000-00&amp;context=" TargetMode="External" /><Relationship Id="rId495" Type="http://schemas.openxmlformats.org/officeDocument/2006/relationships/hyperlink" Target="https://advance.lexis.com/api/document?collection=cases-ca&amp;id=urn:contentItem:5F7T-S6Y1-FJDY-X22Y-00000-00&amp;context=" TargetMode="External" /><Relationship Id="rId496" Type="http://schemas.openxmlformats.org/officeDocument/2006/relationships/hyperlink" Target="https://advance.lexis.com/api/document?collection=cases-ca&amp;id=urn:contentItem:5F8N-K6Y1-JB2B-S04P-00000-00&amp;context=" TargetMode="External" /><Relationship Id="rId497" Type="http://schemas.openxmlformats.org/officeDocument/2006/relationships/header" Target="header73.xml" /><Relationship Id="rId498" Type="http://schemas.openxmlformats.org/officeDocument/2006/relationships/header" Target="header74.xml" /><Relationship Id="rId499" Type="http://schemas.openxmlformats.org/officeDocument/2006/relationships/footer" Target="footer73.xml" /><Relationship Id="rId5" Type="http://schemas.openxmlformats.org/officeDocument/2006/relationships/header" Target="header2.xml" /><Relationship Id="rId50" Type="http://schemas.openxmlformats.org/officeDocument/2006/relationships/hyperlink" Target="https://advance.lexis.com/api/document?collection=legislation-ca&amp;id=urn:contentItem:5VYK-W9V1-JS0R-23WX-00000-00&amp;context=" TargetMode="External" /><Relationship Id="rId500" Type="http://schemas.openxmlformats.org/officeDocument/2006/relationships/footer" Target="footer74.xml" /><Relationship Id="rId501" Type="http://schemas.openxmlformats.org/officeDocument/2006/relationships/header" Target="header75.xml" /><Relationship Id="rId502" Type="http://schemas.openxmlformats.org/officeDocument/2006/relationships/footer" Target="footer75.xml" /><Relationship Id="rId503" Type="http://schemas.openxmlformats.org/officeDocument/2006/relationships/hyperlink" Target="https://advance.lexis.com/api/document?collection=cases-ca&amp;id=urn:contentItem:5F7T-S781-DYMS-61NY-00000-00&amp;context=" TargetMode="External" /><Relationship Id="rId504" Type="http://schemas.openxmlformats.org/officeDocument/2006/relationships/hyperlink" Target="https://advance.lexis.com/api/document?collection=cases-ca&amp;id=urn:contentItem:5F8T-N3V1-JF75-M3FN-00000-00&amp;context=" TargetMode="External" /><Relationship Id="rId505" Type="http://schemas.openxmlformats.org/officeDocument/2006/relationships/header" Target="header76.xml" /><Relationship Id="rId506" Type="http://schemas.openxmlformats.org/officeDocument/2006/relationships/header" Target="header77.xml" /><Relationship Id="rId507" Type="http://schemas.openxmlformats.org/officeDocument/2006/relationships/footer" Target="footer76.xml" /><Relationship Id="rId508" Type="http://schemas.openxmlformats.org/officeDocument/2006/relationships/footer" Target="footer77.xml" /><Relationship Id="rId509" Type="http://schemas.openxmlformats.org/officeDocument/2006/relationships/header" Target="header78.xml" /><Relationship Id="rId51" Type="http://schemas.openxmlformats.org/officeDocument/2006/relationships/hyperlink" Target="https://advance.lexis.com/api/document?collection=cases-ca&amp;id=urn:contentItem:5F8T-N3V1-JFKM-6089-00000-00&amp;context=" TargetMode="External" /><Relationship Id="rId510" Type="http://schemas.openxmlformats.org/officeDocument/2006/relationships/footer" Target="footer78.xml" /><Relationship Id="rId511" Type="http://schemas.openxmlformats.org/officeDocument/2006/relationships/hyperlink" Target="https://advance.lexis.com/api/document?collection=cases-ca&amp;id=urn:contentItem:5F7T-S771-F81W-22BD-00000-00&amp;context=" TargetMode="External" /><Relationship Id="rId512" Type="http://schemas.openxmlformats.org/officeDocument/2006/relationships/header" Target="header79.xml" /><Relationship Id="rId513" Type="http://schemas.openxmlformats.org/officeDocument/2006/relationships/header" Target="header80.xml" /><Relationship Id="rId514" Type="http://schemas.openxmlformats.org/officeDocument/2006/relationships/footer" Target="footer79.xml" /><Relationship Id="rId515" Type="http://schemas.openxmlformats.org/officeDocument/2006/relationships/footer" Target="footer80.xml" /><Relationship Id="rId516" Type="http://schemas.openxmlformats.org/officeDocument/2006/relationships/header" Target="header81.xml" /><Relationship Id="rId517" Type="http://schemas.openxmlformats.org/officeDocument/2006/relationships/footer" Target="footer81.xml" /><Relationship Id="rId518" Type="http://schemas.openxmlformats.org/officeDocument/2006/relationships/hyperlink" Target="https://advance.lexis.com/api/document?collection=cases-ca&amp;id=urn:contentItem:5F7T-S7C1-JXG3-X0H3-00000-00&amp;context=" TargetMode="External" /><Relationship Id="rId519" Type="http://schemas.openxmlformats.org/officeDocument/2006/relationships/hyperlink" Target="https://advance.lexis.com/api/document?collection=cases-ca&amp;id=urn:contentItem:5F81-VJX1-FGY5-M3RR-00000-00&amp;context=" TargetMode="External" /><Relationship Id="rId52" Type="http://schemas.openxmlformats.org/officeDocument/2006/relationships/hyperlink" Target="https://advance.lexis.com/api/document?collection=cases-ca&amp;id=urn:contentItem:5F16-9351-F7VM-S2VM-00000-00&amp;context=" TargetMode="External" /><Relationship Id="rId520" Type="http://schemas.openxmlformats.org/officeDocument/2006/relationships/hyperlink" Target="https://advance.lexis.com/api/document?collection=cases-ca&amp;id=urn:contentItem:5F7T-S6V1-F956-S08V-00000-00&amp;context=" TargetMode="External" /><Relationship Id="rId521" Type="http://schemas.openxmlformats.org/officeDocument/2006/relationships/hyperlink" Target="https://advance.lexis.com/api/document?collection=cases-ca&amp;id=urn:contentItem:5F7T-S6W1-F528-G1S4-00000-00&amp;context=" TargetMode="External" /><Relationship Id="rId522" Type="http://schemas.openxmlformats.org/officeDocument/2006/relationships/header" Target="header82.xml" /><Relationship Id="rId523" Type="http://schemas.openxmlformats.org/officeDocument/2006/relationships/header" Target="header83.xml" /><Relationship Id="rId524" Type="http://schemas.openxmlformats.org/officeDocument/2006/relationships/footer" Target="footer82.xml" /><Relationship Id="rId525" Type="http://schemas.openxmlformats.org/officeDocument/2006/relationships/footer" Target="footer83.xml" /><Relationship Id="rId526" Type="http://schemas.openxmlformats.org/officeDocument/2006/relationships/header" Target="header84.xml" /><Relationship Id="rId527" Type="http://schemas.openxmlformats.org/officeDocument/2006/relationships/footer" Target="footer84.xml" /><Relationship Id="rId528" Type="http://schemas.openxmlformats.org/officeDocument/2006/relationships/hyperlink" Target="https://advance.lexis.com/api/document?collection=cases-ca&amp;id=urn:contentItem:5F7T-S7P1-JP4G-6256-00000-00&amp;context=" TargetMode="External" /><Relationship Id="rId529" Type="http://schemas.openxmlformats.org/officeDocument/2006/relationships/hyperlink" Target="https://advance.lexis.com/api/document?collection=legislation-ca&amp;id=urn:contentItem:5F41-1FM1-JG59-2243-00000-00&amp;context=" TargetMode="External" /><Relationship Id="rId53" Type="http://schemas.openxmlformats.org/officeDocument/2006/relationships/hyperlink" Target="https://advance.lexis.com/api/document?collection=cases-ca&amp;id=urn:contentItem:5F8T-N3V1-JF75-M392-00000-00&amp;context=" TargetMode="External" /><Relationship Id="rId530" Type="http://schemas.openxmlformats.org/officeDocument/2006/relationships/hyperlink" Target="https://advance.lexis.com/api/document?collection=legislation-ca&amp;id=urn:contentItem:5JKN-R7R1-F2MB-S3D6-00000-00&amp;context=" TargetMode="External" /><Relationship Id="rId531" Type="http://schemas.openxmlformats.org/officeDocument/2006/relationships/hyperlink" Target="https://advance.lexis.com/api/document?collection=legislation-ca&amp;id=urn:contentItem:5R0N-PVB1-JF1Y-B16S-00000-00&amp;context=" TargetMode="External" /><Relationship Id="rId532" Type="http://schemas.openxmlformats.org/officeDocument/2006/relationships/hyperlink" Target="https://advance.lexis.com/api/document?collection=cases-ca&amp;id=urn:contentItem:5F8T-N3V1-JTGH-B0YX-00000-00&amp;context=" TargetMode="External" /><Relationship Id="rId533" Type="http://schemas.openxmlformats.org/officeDocument/2006/relationships/hyperlink" Target="https://advance.lexis.com/api/document?collection=cases-ca&amp;id=urn:contentItem:5F7T-S7J1-JNS1-M202-00000-00&amp;context=" TargetMode="External" /><Relationship Id="rId534" Type="http://schemas.openxmlformats.org/officeDocument/2006/relationships/hyperlink" Target="https://advance.lexis.com/api/document?collection=cases-ca&amp;id=urn:contentItem:5F7T-S7F1-FFFC-B25Y-00000-00&amp;context=" TargetMode="External" /><Relationship Id="rId535" Type="http://schemas.openxmlformats.org/officeDocument/2006/relationships/hyperlink" Target="https://advance.lexis.com/api/document?collection=cases-ca&amp;id=urn:contentItem:5F7T-S7F1-FBN1-21WM-00000-00&amp;context=" TargetMode="External" /><Relationship Id="rId536" Type="http://schemas.openxmlformats.org/officeDocument/2006/relationships/hyperlink" Target="https://advance.lexis.com/api/document?collection=cases-ca&amp;id=urn:contentItem:5F7T-S7G1-JWR6-S1R8-00000-00&amp;context=" TargetMode="External" /><Relationship Id="rId537" Type="http://schemas.openxmlformats.org/officeDocument/2006/relationships/hyperlink" Target="https://advance.lexis.com/api/document?collection=cases-ca&amp;id=urn:contentItem:5F7T-S7D1-DY89-M480-00000-00&amp;context=" TargetMode="External" /><Relationship Id="rId538" Type="http://schemas.openxmlformats.org/officeDocument/2006/relationships/hyperlink" Target="https://advance.lexis.com/api/document?collection=cases-ca&amp;id=urn:contentItem:5F7T-S761-FFMK-M15W-00000-00&amp;context=" TargetMode="External" /><Relationship Id="rId539" Type="http://schemas.openxmlformats.org/officeDocument/2006/relationships/hyperlink" Target="https://advance.lexis.com/api/document?collection=cases-ca&amp;id=urn:contentItem:5F7T-S7K1-JKHB-631H-00000-00&amp;context=" TargetMode="External" /><Relationship Id="rId54" Type="http://schemas.openxmlformats.org/officeDocument/2006/relationships/hyperlink" Target="https://advance.lexis.com/api/document?collection=cases-ca&amp;id=urn:contentItem:5F7T-S7G1-JNY7-X40R-00000-00&amp;context=" TargetMode="External" /><Relationship Id="rId540" Type="http://schemas.openxmlformats.org/officeDocument/2006/relationships/hyperlink" Target="https://advance.lexis.com/api/document?collection=cases-ca&amp;id=urn:contentItem:5F7T-S7H1-JCRC-B16V-00000-00&amp;context=" TargetMode="External" /><Relationship Id="rId541" Type="http://schemas.openxmlformats.org/officeDocument/2006/relationships/hyperlink" Target="https://advance.lexis.com/api/document?collection=cases-ca&amp;id=urn:contentItem:5F7T-S771-F361-M1HH-00000-00&amp;context=" TargetMode="External" /><Relationship Id="rId542" Type="http://schemas.openxmlformats.org/officeDocument/2006/relationships/hyperlink" Target="https://advance.lexis.com/api/document?collection=cases-ca&amp;id=urn:contentItem:5F7T-S6Y1-JTNR-M4PK-00000-00&amp;context=" TargetMode="External" /><Relationship Id="rId543" Type="http://schemas.openxmlformats.org/officeDocument/2006/relationships/hyperlink" Target="https://advance.lexis.com/api/document?collection=cases-ca&amp;id=urn:contentItem:5F7T-S7F1-JBT7-X2R8-00000-00&amp;context=" TargetMode="External" /><Relationship Id="rId544" Type="http://schemas.openxmlformats.org/officeDocument/2006/relationships/hyperlink" Target="https://advance.lexis.com/api/document?collection=cases-ca&amp;id=urn:contentItem:5F7T-S781-JSC5-M3YN-00000-00&amp;context=" TargetMode="External" /><Relationship Id="rId545" Type="http://schemas.openxmlformats.org/officeDocument/2006/relationships/hyperlink" Target="https://advance.lexis.com/api/document?collection=cases-ca&amp;id=urn:contentItem:5F7T-S6V1-F2TK-228J-00000-00&amp;context=" TargetMode="External" /><Relationship Id="rId546" Type="http://schemas.openxmlformats.org/officeDocument/2006/relationships/hyperlink" Target="https://advance.lexis.com/api/document?collection=cases-ca&amp;id=urn:contentItem:5F7T-S781-JC5P-G1HV-00000-00&amp;context=" TargetMode="External" /><Relationship Id="rId547" Type="http://schemas.openxmlformats.org/officeDocument/2006/relationships/hyperlink" Target="https://advance.lexis.com/api/document?collection=cases-ca&amp;id=urn:contentItem:5F8T-N3T1-JGHR-M29X-00000-00&amp;context=" TargetMode="External" /><Relationship Id="rId548" Type="http://schemas.openxmlformats.org/officeDocument/2006/relationships/hyperlink" Target="https://advance.lexis.com/api/document?collection=cases-ca&amp;id=urn:contentItem:5F8T-N3V1-JF75-M3JV-00000-00&amp;context=" TargetMode="External" /><Relationship Id="rId549" Type="http://schemas.openxmlformats.org/officeDocument/2006/relationships/hyperlink" Target="https://advance.lexis.com/api/document?collection=cases-ca&amp;id=urn:contentItem:5F81-YGH1-F1P7-B3DR-00000-00&amp;context=" TargetMode="External" /><Relationship Id="rId55" Type="http://schemas.openxmlformats.org/officeDocument/2006/relationships/hyperlink" Target="https://advance.lexis.com/api/document?collection=cases-ca&amp;id=urn:contentItem:5F7T-S7P1-JNJT-B2SB-00000-00&amp;context=" TargetMode="External" /><Relationship Id="rId550" Type="http://schemas.openxmlformats.org/officeDocument/2006/relationships/hyperlink" Target="https://advance.lexis.com/api/document?collection=cases-ca&amp;id=urn:contentItem:5F7T-S7H1-JFKM-62FG-00000-00&amp;context=" TargetMode="External" /><Relationship Id="rId551" Type="http://schemas.openxmlformats.org/officeDocument/2006/relationships/hyperlink" Target="https://advance.lexis.com/api/document?collection=cases-ca&amp;id=urn:contentItem:5F8T-N3T1-JJSF-23NY-00000-00&amp;context=" TargetMode="External" /><Relationship Id="rId552" Type="http://schemas.openxmlformats.org/officeDocument/2006/relationships/hyperlink" Target="https://advance.lexis.com/api/document?collection=cases-ca&amp;id=urn:contentItem:5F7H-KW61-K054-G073-00000-00&amp;context=" TargetMode="External" /><Relationship Id="rId553" Type="http://schemas.openxmlformats.org/officeDocument/2006/relationships/hyperlink" Target="https://advance.lexis.com/api/document?collection=cases-ca&amp;id=urn:contentItem:5F81-YH21-JPGX-S06X-00000-00&amp;context=" TargetMode="External" /><Relationship Id="rId554" Type="http://schemas.openxmlformats.org/officeDocument/2006/relationships/hyperlink" Target="https://advance.lexis.com/api/document?collection=legislation-ca&amp;id=urn:contentItem:5W3Y-TSY1-JP9P-G02K-00000-00&amp;context=" TargetMode="External" /><Relationship Id="rId555" Type="http://schemas.openxmlformats.org/officeDocument/2006/relationships/hyperlink" Target="https://advance.lexis.com/api/document?collection=legislation-ca&amp;id=urn:contentItem:5N9B-CY91-F22N-X140-00000-00&amp;context=" TargetMode="External" /><Relationship Id="rId556" Type="http://schemas.openxmlformats.org/officeDocument/2006/relationships/hyperlink" Target="https://advance.lexis.com/api/document?collection=cases-ca&amp;id=urn:contentItem:5F7T-S781-F06F-23S4-00000-00&amp;context=" TargetMode="External" /><Relationship Id="rId557" Type="http://schemas.openxmlformats.org/officeDocument/2006/relationships/hyperlink" Target="https://advance.lexis.com/api/document?collection=cases-ca&amp;id=urn:contentItem:5F7T-S7D1-JXG3-X0TH-00000-00&amp;context=" TargetMode="External" /><Relationship Id="rId558" Type="http://schemas.openxmlformats.org/officeDocument/2006/relationships/hyperlink" Target="https://advance.lexis.com/api/document?collection=cases-ca&amp;id=urn:contentItem:5F8P-SCY1-JC5P-G12R-00000-00&amp;context=" TargetMode="External" /><Relationship Id="rId559" Type="http://schemas.openxmlformats.org/officeDocument/2006/relationships/hyperlink" Target="https://advance.lexis.com/api/document?collection=cases-ca&amp;id=urn:contentItem:5F7T-S7F1-F7VM-S477-00000-00&amp;context=" TargetMode="External" /><Relationship Id="rId56" Type="http://schemas.openxmlformats.org/officeDocument/2006/relationships/hyperlink" Target="https://advance.lexis.com/api/document?collection=cases-ca&amp;id=urn:contentItem:5F8T-N3V1-JF75-M3DN-00000-00&amp;context=" TargetMode="External" /><Relationship Id="rId560" Type="http://schemas.openxmlformats.org/officeDocument/2006/relationships/hyperlink" Target="https://advance.lexis.com/api/document?collection=cases-ca&amp;id=urn:contentItem:5F8P-SGB1-F873-B2N7-00000-00&amp;context=" TargetMode="External" /><Relationship Id="rId561" Type="http://schemas.openxmlformats.org/officeDocument/2006/relationships/hyperlink" Target="https://advance.lexis.com/api/document?collection=cases-ca&amp;id=urn:contentItem:5F7T-S751-JP4G-6173-00000-00&amp;context=" TargetMode="External" /><Relationship Id="rId562" Type="http://schemas.openxmlformats.org/officeDocument/2006/relationships/hyperlink" Target="https://advance.lexis.com/api/document?collection=cases-ca&amp;id=urn:contentItem:5F7T-S711-F27X-60H7-00000-00&amp;context=" TargetMode="External" /><Relationship Id="rId563" Type="http://schemas.openxmlformats.org/officeDocument/2006/relationships/hyperlink" Target="https://advance.lexis.com/api/document?collection=cases-ca&amp;id=urn:contentItem:5F8P-SCJ1-F60C-X37D-00000-00&amp;context=" TargetMode="External" /><Relationship Id="rId564" Type="http://schemas.openxmlformats.org/officeDocument/2006/relationships/hyperlink" Target="https://advance.lexis.com/api/document?collection=cases-ca&amp;id=urn:contentItem:5F8P-SCM1-DY33-B49S-00000-00&amp;context=" TargetMode="External" /><Relationship Id="rId565" Type="http://schemas.openxmlformats.org/officeDocument/2006/relationships/hyperlink" Target="https://advance.lexis.com/api/document?collection=cases-ca&amp;id=urn:contentItem:5F7T-S7C1-F4NT-X32C-00000-00&amp;context=" TargetMode="External" /><Relationship Id="rId566" Type="http://schemas.openxmlformats.org/officeDocument/2006/relationships/hyperlink" Target="https://advance.lexis.com/api/document?collection=legislation-ca&amp;id=urn:contentItem:5F41-1FG1-FC1F-M0TR-00000-00&amp;context=" TargetMode="External" /><Relationship Id="rId567" Type="http://schemas.openxmlformats.org/officeDocument/2006/relationships/hyperlink" Target="https://advance.lexis.com/api/document?collection=cases-ca&amp;id=urn:contentItem:5F8T-N3V1-JF75-M3X0-00000-00&amp;context=" TargetMode="External" /><Relationship Id="rId568" Type="http://schemas.openxmlformats.org/officeDocument/2006/relationships/hyperlink" Target="https://advance.lexis.com/api/document?collection=cases-ca&amp;id=urn:contentItem:5F8T-N3V1-JFKM-6015-00000-00&amp;context=" TargetMode="External" /><Relationship Id="rId569" Type="http://schemas.openxmlformats.org/officeDocument/2006/relationships/hyperlink" Target="https://advance.lexis.com/api/document?collection=cases-ca&amp;id=urn:contentItem:5F7T-S771-JJD0-G1KD-00000-00&amp;context=" TargetMode="External" /><Relationship Id="rId57" Type="http://schemas.openxmlformats.org/officeDocument/2006/relationships/hyperlink" Target="https://advance.lexis.com/api/document?collection=cases-ca&amp;id=urn:contentItem:5F7T-S731-FG12-62FX-00000-00&amp;context=" TargetMode="External" /><Relationship Id="rId570" Type="http://schemas.openxmlformats.org/officeDocument/2006/relationships/hyperlink" Target="https://advance.lexis.com/api/document?collection=cases-ca&amp;id=urn:contentItem:5F7T-S7F1-FJTD-G3FY-00000-00&amp;context=" TargetMode="External" /><Relationship Id="rId571" Type="http://schemas.openxmlformats.org/officeDocument/2006/relationships/hyperlink" Target="https://advance.lexis.com/api/document?collection=cases-ca&amp;id=urn:contentItem:5F7T-S7M1-JCRC-B1T0-00000-00&amp;context=" TargetMode="External" /><Relationship Id="rId572" Type="http://schemas.openxmlformats.org/officeDocument/2006/relationships/hyperlink" Target="https://advance.lexis.com/api/document?collection=cases-ca&amp;id=urn:contentItem:5F7T-S6R1-F4GK-M0T1-00000-00&amp;context=" TargetMode="External" /><Relationship Id="rId573" Type="http://schemas.openxmlformats.org/officeDocument/2006/relationships/hyperlink" Target="https://advance.lexis.com/api/document?collection=cases-ca&amp;id=urn:contentItem:5F7T-S6Y1-JNY7-X2DR-00000-00&amp;context=" TargetMode="External" /><Relationship Id="rId574" Type="http://schemas.openxmlformats.org/officeDocument/2006/relationships/header" Target="header85.xml" /><Relationship Id="rId575" Type="http://schemas.openxmlformats.org/officeDocument/2006/relationships/header" Target="header86.xml" /><Relationship Id="rId576" Type="http://schemas.openxmlformats.org/officeDocument/2006/relationships/footer" Target="footer85.xml" /><Relationship Id="rId577" Type="http://schemas.openxmlformats.org/officeDocument/2006/relationships/footer" Target="footer86.xml" /><Relationship Id="rId578" Type="http://schemas.openxmlformats.org/officeDocument/2006/relationships/header" Target="header87.xml" /><Relationship Id="rId579" Type="http://schemas.openxmlformats.org/officeDocument/2006/relationships/footer" Target="footer87.xml" /><Relationship Id="rId58" Type="http://schemas.openxmlformats.org/officeDocument/2006/relationships/hyperlink" Target="https://advance.lexis.com/api/document?collection=cases-ca&amp;id=urn:contentItem:5F8T-N3V1-FC1F-M4GN-00000-00&amp;context=" TargetMode="External" /><Relationship Id="rId580" Type="http://schemas.openxmlformats.org/officeDocument/2006/relationships/hyperlink" Target="https://advance.lexis.com/api/document?collection=cases-ca&amp;id=urn:contentItem:5TGV-PHG1-JB7K-22M0-00000-00&amp;context=" TargetMode="External" /><Relationship Id="rId581" Type="http://schemas.openxmlformats.org/officeDocument/2006/relationships/hyperlink" Target="https://advance.lexis.com/api/document?collection=cases-ca&amp;id=urn:contentItem:5MM5-X7R1-F4W2-60T3-00000-00&amp;context=" TargetMode="External" /><Relationship Id="rId582" Type="http://schemas.openxmlformats.org/officeDocument/2006/relationships/hyperlink" Target="https://advance.lexis.com/api/document?collection=cases-ca&amp;id=urn:contentItem:5F7T-S7J1-JYYX-623B-00000-00&amp;context=" TargetMode="External" /><Relationship Id="rId583" Type="http://schemas.openxmlformats.org/officeDocument/2006/relationships/hyperlink" Target="https://advance.lexis.com/api/document?collection=cases-ca&amp;id=urn:contentItem:5F7T-S761-FGJR-22SB-00000-00&amp;context=" TargetMode="External" /><Relationship Id="rId584" Type="http://schemas.openxmlformats.org/officeDocument/2006/relationships/hyperlink" Target="https://advance.lexis.com/api/document?collection=cases-ca&amp;id=urn:contentItem:5SB1-1471-FBV7-B2X8-00000-00&amp;context=" TargetMode="External" /><Relationship Id="rId585" Type="http://schemas.openxmlformats.org/officeDocument/2006/relationships/header" Target="header88.xml" /><Relationship Id="rId586" Type="http://schemas.openxmlformats.org/officeDocument/2006/relationships/header" Target="header89.xml" /><Relationship Id="rId587" Type="http://schemas.openxmlformats.org/officeDocument/2006/relationships/footer" Target="footer88.xml" /><Relationship Id="rId588" Type="http://schemas.openxmlformats.org/officeDocument/2006/relationships/footer" Target="footer89.xml" /><Relationship Id="rId589" Type="http://schemas.openxmlformats.org/officeDocument/2006/relationships/header" Target="header90.xml" /><Relationship Id="rId59" Type="http://schemas.openxmlformats.org/officeDocument/2006/relationships/hyperlink" Target="https://advance.lexis.com/api/document?collection=cases-ca&amp;id=urn:contentItem:5F7T-XPT1-F016-S02F-00000-00&amp;context=" TargetMode="External" /><Relationship Id="rId590" Type="http://schemas.openxmlformats.org/officeDocument/2006/relationships/footer" Target="footer90.xml" /><Relationship Id="rId591" Type="http://schemas.openxmlformats.org/officeDocument/2006/relationships/hyperlink" Target="https://advance.lexis.com/api/document?collection=cases-ca&amp;id=urn:contentItem:5K6Y-81N1-JFDC-X1V2-00000-00&amp;context=" TargetMode="External" /><Relationship Id="rId592" Type="http://schemas.openxmlformats.org/officeDocument/2006/relationships/hyperlink" Target="https://advance.lexis.com/api/document?collection=cases-ca&amp;id=urn:contentItem:5GCC-XVB1-JSXV-G04P-00000-00&amp;context=" TargetMode="External" /><Relationship Id="rId593" Type="http://schemas.openxmlformats.org/officeDocument/2006/relationships/hyperlink" Target="https://advance.lexis.com/api/document?collection=cases-ca&amp;id=urn:contentItem:5F8T-N3P1-FC6N-X1MN-00000-00&amp;context=" TargetMode="External" /><Relationship Id="rId594" Type="http://schemas.openxmlformats.org/officeDocument/2006/relationships/hyperlink" Target="https://advance.lexis.com/api/document?collection=cases-ca&amp;id=urn:contentItem:5F7T-S7M1-F4W2-6247-00000-00&amp;context=" TargetMode="External" /><Relationship Id="rId595" Type="http://schemas.openxmlformats.org/officeDocument/2006/relationships/hyperlink" Target="https://advance.lexis.com/api/document?collection=cases-ca&amp;id=urn:contentItem:5F7T-S6W1-JXNB-6262-00000-00&amp;context=" TargetMode="External" /><Relationship Id="rId596" Type="http://schemas.openxmlformats.org/officeDocument/2006/relationships/hyperlink" Target="https://advance.lexis.com/api/document?collection=cases-ca&amp;id=urn:contentItem:5F7T-S7F1-FFFC-B225-00000-00&amp;context=" TargetMode="External" /><Relationship Id="rId597" Type="http://schemas.openxmlformats.org/officeDocument/2006/relationships/header" Target="header91.xml" /><Relationship Id="rId598" Type="http://schemas.openxmlformats.org/officeDocument/2006/relationships/header" Target="header92.xml" /><Relationship Id="rId599" Type="http://schemas.openxmlformats.org/officeDocument/2006/relationships/footer" Target="footer91.xm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01-JJYN-B2JG-00000-00&amp;context=" TargetMode="External" /><Relationship Id="rId600" Type="http://schemas.openxmlformats.org/officeDocument/2006/relationships/footer" Target="footer92.xml" /><Relationship Id="rId601" Type="http://schemas.openxmlformats.org/officeDocument/2006/relationships/header" Target="header93.xml" /><Relationship Id="rId602" Type="http://schemas.openxmlformats.org/officeDocument/2006/relationships/footer" Target="footer93.xml" /><Relationship Id="rId603" Type="http://schemas.openxmlformats.org/officeDocument/2006/relationships/hyperlink" Target="https://advance.lexis.com/api/document?collection=cases-ca&amp;id=urn:contentItem:5F7T-S7M1-F4W2-627P-00000-00&amp;context=" TargetMode="External" /><Relationship Id="rId604" Type="http://schemas.openxmlformats.org/officeDocument/2006/relationships/hyperlink" Target="https://advance.lexis.com/api/document?collection=cases-ca&amp;id=urn:contentItem:5F7T-S7H1-F4GK-M3BG-00000-00&amp;context=" TargetMode="External" /><Relationship Id="rId605" Type="http://schemas.openxmlformats.org/officeDocument/2006/relationships/hyperlink" Target="https://advance.lexis.com/api/document?collection=cases-ca&amp;id=urn:contentItem:5F8T-N3R1-JNS1-M11K-00000-00&amp;context=" TargetMode="External" /><Relationship Id="rId606" Type="http://schemas.openxmlformats.org/officeDocument/2006/relationships/hyperlink" Target="https://advance.lexis.com/api/document?collection=cases-ca&amp;id=urn:contentItem:5F7T-S6S1-F60C-X0SM-00000-00&amp;context=" TargetMode="External" /><Relationship Id="rId607" Type="http://schemas.openxmlformats.org/officeDocument/2006/relationships/hyperlink" Target="https://advance.lexis.com/api/document?collection=cases-ca&amp;id=urn:contentItem:5F7T-S6R1-JGPY-X176-00000-00&amp;context=" TargetMode="External" /><Relationship Id="rId608" Type="http://schemas.openxmlformats.org/officeDocument/2006/relationships/hyperlink" Target="https://advance.lexis.com/api/document?collection=cases-ca&amp;id=urn:contentItem:5F7T-S7M1-F4W2-622C-00000-00&amp;context=" TargetMode="External" /><Relationship Id="rId609" Type="http://schemas.openxmlformats.org/officeDocument/2006/relationships/hyperlink" Target="https://advance.lexis.com/api/document?collection=cases-ca&amp;id=urn:contentItem:5F7T-S7J1-FGCG-S05D-00000-00&amp;context=" TargetMode="External" /><Relationship Id="rId61" Type="http://schemas.openxmlformats.org/officeDocument/2006/relationships/hyperlink" Target="https://advance.lexis.com/api/document?collection=cases-ca&amp;id=urn:contentItem:5F82-1SB1-JPP5-24MR-00000-00&amp;context=" TargetMode="External" /><Relationship Id="rId610" Type="http://schemas.openxmlformats.org/officeDocument/2006/relationships/hyperlink" Target="https://advance.lexis.com/api/document?collection=cases-ca&amp;id=urn:contentItem:5F16-9321-JJK6-S24M-00000-00&amp;context=" TargetMode="External" /><Relationship Id="rId611" Type="http://schemas.openxmlformats.org/officeDocument/2006/relationships/hyperlink" Target="https://advance.lexis.com/api/document?collection=cases-ca&amp;id=urn:contentItem:5F7T-S701-JF75-M4C5-00000-00&amp;context=" TargetMode="External" /><Relationship Id="rId612" Type="http://schemas.openxmlformats.org/officeDocument/2006/relationships/hyperlink" Target="https://advance.lexis.com/api/document?collection=cases-ca&amp;id=urn:contentItem:5F7T-S7H1-F016-S41S-00000-00&amp;context=" TargetMode="External" /><Relationship Id="rId613" Type="http://schemas.openxmlformats.org/officeDocument/2006/relationships/hyperlink" Target="https://advance.lexis.com/api/document?collection=cases-ca&amp;id=urn:contentItem:5F7T-S701-JK4W-M0N4-00000-00&amp;context=" TargetMode="External" /><Relationship Id="rId614" Type="http://schemas.openxmlformats.org/officeDocument/2006/relationships/hyperlink" Target="https://advance.lexis.com/api/document?collection=cases-ca&amp;id=urn:contentItem:5F7T-S711-JC0G-62YB-00000-00&amp;context=" TargetMode="External" /><Relationship Id="rId615" Type="http://schemas.openxmlformats.org/officeDocument/2006/relationships/hyperlink" Target="https://advance.lexis.com/api/document?collection=cases-ca&amp;id=urn:contentItem:5F7T-S771-JW5H-X23V-00000-00&amp;context=" TargetMode="External" /><Relationship Id="rId616" Type="http://schemas.openxmlformats.org/officeDocument/2006/relationships/hyperlink" Target="https://advance.lexis.com/api/document?collection=cases-ca&amp;id=urn:contentItem:5F7T-S731-FFFC-B0FH-00000-00&amp;context=" TargetMode="External" /><Relationship Id="rId617" Type="http://schemas.openxmlformats.org/officeDocument/2006/relationships/hyperlink" Target="https://advance.lexis.com/api/document?collection=cases-ca&amp;id=urn:contentItem:5F7T-S6V1-JTNR-M38Y-00000-00&amp;context=" TargetMode="External" /><Relationship Id="rId618" Type="http://schemas.openxmlformats.org/officeDocument/2006/relationships/hyperlink" Target="https://advance.lexis.com/api/document?collection=cases-ca&amp;id=urn:contentItem:5F7T-S6V1-F956-S05H-00000-00&amp;context=" TargetMode="External" /><Relationship Id="rId619" Type="http://schemas.openxmlformats.org/officeDocument/2006/relationships/hyperlink" Target="https://advance.lexis.com/api/document?collection=cases-ca&amp;id=urn:contentItem:5F7T-S6X1-F7ND-G3DV-00000-00&amp;context=" TargetMode="External" /><Relationship Id="rId62" Type="http://schemas.openxmlformats.org/officeDocument/2006/relationships/hyperlink" Target="https://advance.lexis.com/api/document?collection=cases-ca&amp;id=urn:contentItem:5F7V-3DJ1-FGY5-M1WP-00000-00&amp;context=" TargetMode="External" /><Relationship Id="rId620" Type="http://schemas.openxmlformats.org/officeDocument/2006/relationships/hyperlink" Target="https://advance.lexis.com/api/document?collection=cases-ca&amp;id=urn:contentItem:5F7T-S7K1-JNY7-X49B-00000-00&amp;context=" TargetMode="External" /><Relationship Id="rId621" Type="http://schemas.openxmlformats.org/officeDocument/2006/relationships/header" Target="header94.xml" /><Relationship Id="rId622" Type="http://schemas.openxmlformats.org/officeDocument/2006/relationships/header" Target="header95.xml" /><Relationship Id="rId623" Type="http://schemas.openxmlformats.org/officeDocument/2006/relationships/footer" Target="footer94.xml" /><Relationship Id="rId624" Type="http://schemas.openxmlformats.org/officeDocument/2006/relationships/footer" Target="footer95.xml" /><Relationship Id="rId625" Type="http://schemas.openxmlformats.org/officeDocument/2006/relationships/header" Target="header96.xml" /><Relationship Id="rId626" Type="http://schemas.openxmlformats.org/officeDocument/2006/relationships/footer" Target="footer96.xml" /><Relationship Id="rId627" Type="http://schemas.openxmlformats.org/officeDocument/2006/relationships/hyperlink" Target="https://advance.lexis.com/api/document?collection=cases-ca&amp;id=urn:contentItem:5J4V-Y9D1-DXPM-S4NP-00000-00&amp;context=" TargetMode="External" /><Relationship Id="rId628" Type="http://schemas.openxmlformats.org/officeDocument/2006/relationships/hyperlink" Target="https://advance.lexis.com/api/document?collection=legislation-ca&amp;id=urn:contentItem:5VYK-WB51-K054-G4Y8-00000-00&amp;context=" TargetMode="External" /><Relationship Id="rId629" Type="http://schemas.openxmlformats.org/officeDocument/2006/relationships/hyperlink" Target="https://advance.lexis.com/api/document?collection=cases-ca&amp;id=urn:contentItem:5F8P-SF81-F22N-X1M6-00000-00&amp;context=" TargetMode="External" /><Relationship Id="rId63" Type="http://schemas.openxmlformats.org/officeDocument/2006/relationships/hyperlink" Target="https://advance.lexis.com/api/document?collection=cases-ca&amp;id=urn:contentItem:5F7T-S6Y1-F06F-22X2-00000-00&amp;context=" TargetMode="External" /><Relationship Id="rId630" Type="http://schemas.openxmlformats.org/officeDocument/2006/relationships/hyperlink" Target="https://advance.lexis.com/api/document?collection=cases-ca&amp;id=urn:contentItem:5F8P-SDG1-JGPY-X311-00000-00&amp;context=" TargetMode="External" /><Relationship Id="rId631" Type="http://schemas.openxmlformats.org/officeDocument/2006/relationships/hyperlink" Target="https://advance.lexis.com/api/document?collection=cases-ca&amp;id=urn:contentItem:5F8P-SCM1-FD4T-B37B-00000-00&amp;context=" TargetMode="External" /><Relationship Id="rId632" Type="http://schemas.openxmlformats.org/officeDocument/2006/relationships/hyperlink" Target="https://advance.lexis.com/api/document?collection=cases-ca&amp;id=urn:contentItem:5F7T-XPT1-JP4G-635W-00000-00&amp;context=" TargetMode="External" /><Relationship Id="rId633" Type="http://schemas.openxmlformats.org/officeDocument/2006/relationships/hyperlink" Target="https://advance.lexis.com/api/document?collection=cases-ca&amp;id=urn:contentItem:5F7T-S701-JJ6S-61JN-00000-00&amp;context=" TargetMode="External" /><Relationship Id="rId634" Type="http://schemas.openxmlformats.org/officeDocument/2006/relationships/hyperlink" Target="https://advance.lexis.com/api/document?collection=cases-ca&amp;id=urn:contentItem:5F7H-KW81-JW5H-X0VK-00000-00&amp;context=" TargetMode="External" /><Relationship Id="rId635" Type="http://schemas.openxmlformats.org/officeDocument/2006/relationships/hyperlink" Target="https://advance.lexis.com/api/document?collection=cases-ca&amp;id=urn:contentItem:5F8P-SD11-FGJR-200G-00000-00&amp;context=" TargetMode="External" /><Relationship Id="rId636" Type="http://schemas.openxmlformats.org/officeDocument/2006/relationships/hyperlink" Target="https://advance.lexis.com/api/document?collection=cases-ca&amp;id=urn:contentItem:5F8P-SFY1-JTNR-M4DY-00000-00&amp;context=" TargetMode="External" /><Relationship Id="rId637" Type="http://schemas.openxmlformats.org/officeDocument/2006/relationships/hyperlink" Target="https://advance.lexis.com/api/document?collection=cases-ca&amp;id=urn:contentItem:5F8P-SDT1-JCJ5-24BN-00000-00&amp;context=" TargetMode="External" /><Relationship Id="rId638" Type="http://schemas.openxmlformats.org/officeDocument/2006/relationships/hyperlink" Target="https://advance.lexis.com/api/document?collection=cases-ca&amp;id=urn:contentItem:5F7T-S7C1-JCJ5-20TY-00000-00&amp;context=" TargetMode="External" /><Relationship Id="rId639" Type="http://schemas.openxmlformats.org/officeDocument/2006/relationships/hyperlink" Target="https://advance.lexis.com/api/document?collection=cases-ca&amp;id=urn:contentItem:5F7T-S741-F2F4-G2B8-00000-00&amp;context=" TargetMode="External" /><Relationship Id="rId64" Type="http://schemas.openxmlformats.org/officeDocument/2006/relationships/hyperlink" Target="https://advance.lexis.com/api/document?collection=cases-ca&amp;id=urn:contentItem:5F7T-S6S1-F60C-X0KK-00000-00&amp;context=" TargetMode="External" /><Relationship Id="rId640" Type="http://schemas.openxmlformats.org/officeDocument/2006/relationships/hyperlink" Target="https://advance.lexis.com/api/document?collection=cases-ca&amp;id=urn:contentItem:5GCC-XVB1-JGHR-M4B7-00000-00&amp;context=" TargetMode="External" /><Relationship Id="rId641" Type="http://schemas.openxmlformats.org/officeDocument/2006/relationships/header" Target="header97.xml" /><Relationship Id="rId642" Type="http://schemas.openxmlformats.org/officeDocument/2006/relationships/header" Target="header98.xml" /><Relationship Id="rId643" Type="http://schemas.openxmlformats.org/officeDocument/2006/relationships/footer" Target="footer97.xml" /><Relationship Id="rId644" Type="http://schemas.openxmlformats.org/officeDocument/2006/relationships/footer" Target="footer98.xml" /><Relationship Id="rId645" Type="http://schemas.openxmlformats.org/officeDocument/2006/relationships/header" Target="header99.xml" /><Relationship Id="rId646" Type="http://schemas.openxmlformats.org/officeDocument/2006/relationships/footer" Target="footer99.xml" /><Relationship Id="rId647" Type="http://schemas.openxmlformats.org/officeDocument/2006/relationships/hyperlink" Target="https://advance.lexis.com/api/document?collection=cases-ca&amp;id=urn:contentItem:5F8T-N3V1-JTGH-B1H3-00000-00&amp;context=" TargetMode="External" /><Relationship Id="rId648" Type="http://schemas.openxmlformats.org/officeDocument/2006/relationships/hyperlink" Target="https://advance.lexis.com/api/document?collection=cases-ca&amp;id=urn:contentItem:5F7T-S7B1-JSRM-608F-00000-00&amp;context=" TargetMode="External" /><Relationship Id="rId649" Type="http://schemas.openxmlformats.org/officeDocument/2006/relationships/hyperlink" Target="https://advance.lexis.com/api/document?collection=cases-ca&amp;id=urn:contentItem:5F7T-S7H1-FCSB-S3RC-00000-00&amp;context=" TargetMode="External" /><Relationship Id="rId65" Type="http://schemas.openxmlformats.org/officeDocument/2006/relationships/hyperlink" Target="https://advance.lexis.com/api/document?collection=cases-ca&amp;id=urn:contentItem:5F7T-S751-JBM1-M286-00000-00&amp;context=" TargetMode="External" /><Relationship Id="rId650" Type="http://schemas.openxmlformats.org/officeDocument/2006/relationships/hyperlink" Target="https://advance.lexis.com/api/document?collection=cases-ca&amp;id=urn:contentItem:5F7T-S7J1-JNS1-M21S-00000-00&amp;context=" TargetMode="External" /><Relationship Id="rId651" Type="http://schemas.openxmlformats.org/officeDocument/2006/relationships/hyperlink" Target="https://advance.lexis.com/api/document?collection=cases-ca&amp;id=urn:contentItem:5F7T-S6T1-F528-G11Y-00000-00&amp;context=" TargetMode="External" /><Relationship Id="rId652" Type="http://schemas.openxmlformats.org/officeDocument/2006/relationships/hyperlink" Target="https://advance.lexis.com/api/document?collection=cases-ca&amp;id=urn:contentItem:5F7T-S7G1-JNY7-X3R4-00000-00&amp;context=" TargetMode="External" /><Relationship Id="rId653" Type="http://schemas.openxmlformats.org/officeDocument/2006/relationships/hyperlink" Target="https://advance.lexis.com/api/document?collection=cases-ca&amp;id=urn:contentItem:5F7T-S7H1-FCSB-S3MD-00000-00&amp;context=" TargetMode="External" /><Relationship Id="rId654" Type="http://schemas.openxmlformats.org/officeDocument/2006/relationships/hyperlink" Target="https://advance.lexis.com/api/document?collection=cases-ca&amp;id=urn:contentItem:5F7T-S7H1-JCRC-B0R3-00000-00&amp;context=" TargetMode="External" /><Relationship Id="rId655" Type="http://schemas.openxmlformats.org/officeDocument/2006/relationships/hyperlink" Target="https://advance.lexis.com/api/document?collection=cases-ca&amp;id=urn:contentItem:5F7T-S771-F81W-22B3-00000-00&amp;context=" TargetMode="External" /><Relationship Id="rId656" Type="http://schemas.openxmlformats.org/officeDocument/2006/relationships/hyperlink" Target="https://advance.lexis.com/api/document?collection=cases-ca&amp;id=urn:contentItem:5F7T-S711-FJDY-X2XF-00000-00&amp;context=" TargetMode="External" /><Relationship Id="rId657" Type="http://schemas.openxmlformats.org/officeDocument/2006/relationships/hyperlink" Target="https://advance.lexis.com/api/document?collection=cases-ca&amp;id=urn:contentItem:5F7T-S711-JG02-S1KV-00000-00&amp;context=" TargetMode="External" /><Relationship Id="rId658" Type="http://schemas.openxmlformats.org/officeDocument/2006/relationships/hyperlink" Target="https://advance.lexis.com/api/document?collection=cases-ca&amp;id=urn:contentItem:5F7T-S6W1-JF75-M3BY-00000-00&amp;context=" TargetMode="External" /><Relationship Id="rId659" Type="http://schemas.openxmlformats.org/officeDocument/2006/relationships/header" Target="header100.xml" /><Relationship Id="rId66" Type="http://schemas.openxmlformats.org/officeDocument/2006/relationships/hyperlink" Target="https://advance.lexis.com/api/document?collection=cases-ca&amp;id=urn:contentItem:5F8P-SF81-JTGH-B4N5-00000-00&amp;context=" TargetMode="External" /><Relationship Id="rId660" Type="http://schemas.openxmlformats.org/officeDocument/2006/relationships/header" Target="header101.xml" /><Relationship Id="rId661" Type="http://schemas.openxmlformats.org/officeDocument/2006/relationships/footer" Target="footer100.xml" /><Relationship Id="rId662" Type="http://schemas.openxmlformats.org/officeDocument/2006/relationships/footer" Target="footer101.xml" /><Relationship Id="rId663" Type="http://schemas.openxmlformats.org/officeDocument/2006/relationships/header" Target="header102.xml" /><Relationship Id="rId664" Type="http://schemas.openxmlformats.org/officeDocument/2006/relationships/footer" Target="footer102.xml" /><Relationship Id="rId665" Type="http://schemas.openxmlformats.org/officeDocument/2006/relationships/hyperlink" Target="https://advance.lexis.com/api/document?collection=cases-ca&amp;id=urn:contentItem:5JY7-RCM1-DXHD-G2S4-00000-00&amp;context=" TargetMode="External" /><Relationship Id="rId666" Type="http://schemas.openxmlformats.org/officeDocument/2006/relationships/hyperlink" Target="https://advance.lexis.com/api/document?collection=cases-ca&amp;id=urn:contentItem:5F7T-S741-F528-G2FD-00000-00&amp;context=" TargetMode="External" /><Relationship Id="rId667" Type="http://schemas.openxmlformats.org/officeDocument/2006/relationships/hyperlink" Target="https://advance.lexis.com/api/document?collection=cases-ca&amp;id=urn:contentItem:5GCC-XVB1-JSXV-G03C-00000-00&amp;context=" TargetMode="External" /><Relationship Id="rId668" Type="http://schemas.openxmlformats.org/officeDocument/2006/relationships/hyperlink" Target="https://advance.lexis.com/api/document?collection=cases-ca&amp;id=urn:contentItem:5F8T-N3V1-JFKM-6070-00000-00&amp;context=" TargetMode="External" /><Relationship Id="rId669" Type="http://schemas.openxmlformats.org/officeDocument/2006/relationships/hyperlink" Target="https://advance.lexis.com/api/document?collection=cases-ca&amp;id=urn:contentItem:5F81-YGM1-JG02-S0TD-00000-00&amp;context=" TargetMode="External" /><Relationship Id="rId67" Type="http://schemas.openxmlformats.org/officeDocument/2006/relationships/hyperlink" Target="https://advance.lexis.com/api/document?collection=cases-ca&amp;id=urn:contentItem:5F16-9301-FCSB-S458-00000-00&amp;context=" TargetMode="External" /><Relationship Id="rId670" Type="http://schemas.openxmlformats.org/officeDocument/2006/relationships/hyperlink" Target="https://advance.lexis.com/api/document?collection=cases-ca&amp;id=urn:contentItem:5F8T-N3V1-FC1F-M469-00000-00&amp;context=" TargetMode="External" /><Relationship Id="rId671" Type="http://schemas.openxmlformats.org/officeDocument/2006/relationships/hyperlink" Target="https://advance.lexis.com/api/document?collection=cases-ca&amp;id=urn:contentItem:5F8T-N3V1-FC1F-M49J-00000-00&amp;context=" TargetMode="External" /><Relationship Id="rId672" Type="http://schemas.openxmlformats.org/officeDocument/2006/relationships/header" Target="header103.xml" /><Relationship Id="rId673" Type="http://schemas.openxmlformats.org/officeDocument/2006/relationships/header" Target="header104.xml" /><Relationship Id="rId674" Type="http://schemas.openxmlformats.org/officeDocument/2006/relationships/footer" Target="footer103.xml" /><Relationship Id="rId675" Type="http://schemas.openxmlformats.org/officeDocument/2006/relationships/footer" Target="footer104.xml" /><Relationship Id="rId676" Type="http://schemas.openxmlformats.org/officeDocument/2006/relationships/header" Target="header105.xml" /><Relationship Id="rId677" Type="http://schemas.openxmlformats.org/officeDocument/2006/relationships/footer" Target="footer105.xml" /><Relationship Id="rId678" Type="http://schemas.openxmlformats.org/officeDocument/2006/relationships/hyperlink" Target="https://advance.lexis.com/api/document?collection=cases-ca&amp;id=urn:contentItem:5F7T-S7C1-FGRY-B0MS-00000-00&amp;context=" TargetMode="External" /><Relationship Id="rId679" Type="http://schemas.openxmlformats.org/officeDocument/2006/relationships/hyperlink" Target="https://advance.lexis.com/api/document?collection=cases-ca&amp;id=urn:contentItem:5F7T-S701-JGPY-X1FM-00000-00&amp;context=" TargetMode="External" /><Relationship Id="rId68" Type="http://schemas.openxmlformats.org/officeDocument/2006/relationships/hyperlink" Target="https://advance.lexis.com/api/document?collection=cases-ca&amp;id=urn:contentItem:5F7T-S7C1-FCSB-S2J3-00000-00&amp;context=" TargetMode="External" /><Relationship Id="rId680" Type="http://schemas.openxmlformats.org/officeDocument/2006/relationships/hyperlink" Target="https://advance.lexis.com/api/document?collection=cases-ca&amp;id=urn:contentItem:5F7T-S751-JCJ5-246W-00000-00&amp;context=" TargetMode="External" /><Relationship Id="rId681" Type="http://schemas.openxmlformats.org/officeDocument/2006/relationships/hyperlink" Target="https://advance.lexis.com/api/document?collection=cases-ca&amp;id=urn:contentItem:5F7T-S781-F900-G10J-00000-00&amp;context=" TargetMode="External" /><Relationship Id="rId682" Type="http://schemas.openxmlformats.org/officeDocument/2006/relationships/header" Target="header106.xml" /><Relationship Id="rId683" Type="http://schemas.openxmlformats.org/officeDocument/2006/relationships/header" Target="header107.xml" /><Relationship Id="rId684" Type="http://schemas.openxmlformats.org/officeDocument/2006/relationships/footer" Target="footer106.xml" /><Relationship Id="rId685" Type="http://schemas.openxmlformats.org/officeDocument/2006/relationships/footer" Target="footer107.xml" /><Relationship Id="rId686" Type="http://schemas.openxmlformats.org/officeDocument/2006/relationships/header" Target="header108.xml" /><Relationship Id="rId687" Type="http://schemas.openxmlformats.org/officeDocument/2006/relationships/footer" Target="footer108.xml" /><Relationship Id="rId688" Type="http://schemas.openxmlformats.org/officeDocument/2006/relationships/hyperlink" Target="https://advance.lexis.com/api/document?collection=cases-ca&amp;id=urn:contentItem:5F7T-S7D1-JXG3-X0TB-00000-00&amp;context=" TargetMode="External" /><Relationship Id="rId689" Type="http://schemas.openxmlformats.org/officeDocument/2006/relationships/hyperlink" Target="https://advance.lexis.com/api/document?collection=legislation-ca&amp;id=urn:contentItem:5F41-1FH1-F361-M0HJ-00000-00&amp;context=" TargetMode="External" /><Relationship Id="rId69" Type="http://schemas.openxmlformats.org/officeDocument/2006/relationships/hyperlink" Target="https://advance.lexis.com/api/document?collection=cases-ca&amp;id=urn:contentItem:5F8P-SGB1-JBT7-X34P-00000-00&amp;context=" TargetMode="External" /><Relationship Id="rId690" Type="http://schemas.openxmlformats.org/officeDocument/2006/relationships/hyperlink" Target="https://advance.lexis.com/api/document?collection=cases-ca&amp;id=urn:contentItem:5F7T-S751-JP4G-61DG-00000-00&amp;context=" TargetMode="External" /><Relationship Id="rId691" Type="http://schemas.openxmlformats.org/officeDocument/2006/relationships/header" Target="header109.xml" /><Relationship Id="rId692" Type="http://schemas.openxmlformats.org/officeDocument/2006/relationships/header" Target="header110.xml" /><Relationship Id="rId693" Type="http://schemas.openxmlformats.org/officeDocument/2006/relationships/footer" Target="footer109.xml" /><Relationship Id="rId694" Type="http://schemas.openxmlformats.org/officeDocument/2006/relationships/footer" Target="footer110.xml" /><Relationship Id="rId695" Type="http://schemas.openxmlformats.org/officeDocument/2006/relationships/header" Target="header111.xml" /><Relationship Id="rId696" Type="http://schemas.openxmlformats.org/officeDocument/2006/relationships/footer" Target="footer111.xml" /><Relationship Id="rId697" Type="http://schemas.openxmlformats.org/officeDocument/2006/relationships/hyperlink" Target="https://advance.lexis.com/api/document?collection=cases-ca&amp;id=urn:contentItem:5F7T-S7C1-JS0R-22D7-00000-00&amp;context=" TargetMode="External" /><Relationship Id="rId698" Type="http://schemas.openxmlformats.org/officeDocument/2006/relationships/hyperlink" Target="https://advance.lexis.com/api/document?collection=cases-ca&amp;id=urn:contentItem:5F7F-5RF1-F4W2-607W-00000-00&amp;context=" TargetMode="External" /><Relationship Id="rId699" Type="http://schemas.openxmlformats.org/officeDocument/2006/relationships/hyperlink" Target="https://advance.lexis.com/api/document?collection=cases-ca&amp;id=urn:contentItem:5F16-9301-JS0R-203K-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8T-N3V1-FC1F-M4C7-00000-00&amp;context=" TargetMode="External" /><Relationship Id="rId700" Type="http://schemas.openxmlformats.org/officeDocument/2006/relationships/hyperlink" Target="https://advance.lexis.com/api/document?collection=cases-ca&amp;id=urn:contentItem:5F16-9301-FD4T-B1T3-00000-00&amp;context=" TargetMode="External" /><Relationship Id="rId701" Type="http://schemas.openxmlformats.org/officeDocument/2006/relationships/hyperlink" Target="https://advance.lexis.com/api/document?collection=cases-ca&amp;id=urn:contentItem:5F7T-S6Y1-DY33-B036-00000-00&amp;context=" TargetMode="External" /><Relationship Id="rId702" Type="http://schemas.openxmlformats.org/officeDocument/2006/relationships/hyperlink" Target="https://advance.lexis.com/api/document?collection=cases-ca&amp;id=urn:contentItem:5F7T-S7B1-JSRM-60H4-00000-00&amp;context=" TargetMode="External" /><Relationship Id="rId703" Type="http://schemas.openxmlformats.org/officeDocument/2006/relationships/hyperlink" Target="https://advance.lexis.com/api/document?collection=cases-ca&amp;id=urn:contentItem:5F7T-S771-JN14-G27W-00000-00&amp;context=" TargetMode="External" /><Relationship Id="rId704" Type="http://schemas.openxmlformats.org/officeDocument/2006/relationships/hyperlink" Target="https://advance.lexis.com/api/document?collection=cases-ca&amp;id=urn:contentItem:5F7T-S701-F8KH-X150-00000-00&amp;context=" TargetMode="External" /><Relationship Id="rId705" Type="http://schemas.openxmlformats.org/officeDocument/2006/relationships/hyperlink" Target="https://advance.lexis.com/api/document?collection=cases-ca&amp;id=urn:contentItem:5F7T-S6Y1-JTNR-M4CY-00000-00&amp;context=" TargetMode="External" /><Relationship Id="rId706" Type="http://schemas.openxmlformats.org/officeDocument/2006/relationships/header" Target="header112.xml" /><Relationship Id="rId707" Type="http://schemas.openxmlformats.org/officeDocument/2006/relationships/header" Target="header113.xml" /><Relationship Id="rId708" Type="http://schemas.openxmlformats.org/officeDocument/2006/relationships/footer" Target="footer112.xml" /><Relationship Id="rId709" Type="http://schemas.openxmlformats.org/officeDocument/2006/relationships/footer" Target="footer113.xml" /><Relationship Id="rId71" Type="http://schemas.openxmlformats.org/officeDocument/2006/relationships/hyperlink" Target="https://advance.lexis.com/api/document?collection=cases-ca&amp;id=urn:contentItem:5F8T-N3V1-JTGH-B16N-00000-00&amp;context=" TargetMode="External" /><Relationship Id="rId710" Type="http://schemas.openxmlformats.org/officeDocument/2006/relationships/header" Target="header114.xml" /><Relationship Id="rId711" Type="http://schemas.openxmlformats.org/officeDocument/2006/relationships/footer" Target="footer114.xml" /><Relationship Id="rId712" Type="http://schemas.openxmlformats.org/officeDocument/2006/relationships/hyperlink" Target="https://advance.lexis.com/api/document?collection=cases-ca&amp;id=urn:contentItem:5F7T-S7F1-JK4W-M1WD-00000-00&amp;context=" TargetMode="External" /><Relationship Id="rId713" Type="http://schemas.openxmlformats.org/officeDocument/2006/relationships/hyperlink" Target="https://advance.lexis.com/api/document?collection=cases-ca&amp;id=urn:contentItem:5K6Y-81M1-JGPY-X1N1-00000-00&amp;context=" TargetMode="External" /><Relationship Id="rId714" Type="http://schemas.openxmlformats.org/officeDocument/2006/relationships/image" Target="media/image1.jpeg" /><Relationship Id="rId715" Type="http://schemas.openxmlformats.org/officeDocument/2006/relationships/hyperlink" Target="https://advance.lexis.com/api/document?collection=cases-ca&amp;id=urn:contentItem:5F7T-S7H1-JG02-S3RS-00000-00&amp;context=" TargetMode="External" /><Relationship Id="rId716" Type="http://schemas.openxmlformats.org/officeDocument/2006/relationships/hyperlink" Target="https://advance.lexis.com/api/document?collection=cases-ca&amp;id=urn:contentItem:5F7T-S6S1-JTNR-M1S4-00000-00&amp;context=" TargetMode="External" /><Relationship Id="rId717" Type="http://schemas.openxmlformats.org/officeDocument/2006/relationships/hyperlink" Target="https://advance.lexis.com/api/document?collection=cases-ca&amp;id=urn:contentItem:5F8T-N3R1-FBV7-B08V-00000-00&amp;context=" TargetMode="External" /><Relationship Id="rId718" Type="http://schemas.openxmlformats.org/officeDocument/2006/relationships/hyperlink" Target="https://advance.lexis.com/api/document?collection=cases-ca&amp;id=urn:contentItem:5F7T-S7D1-FC6N-X0DR-00000-00&amp;context=" TargetMode="External" /><Relationship Id="rId719" Type="http://schemas.openxmlformats.org/officeDocument/2006/relationships/header" Target="header115.xml" /><Relationship Id="rId72" Type="http://schemas.openxmlformats.org/officeDocument/2006/relationships/hyperlink" Target="https://advance.lexis.com/api/document?collection=cases-ca&amp;id=urn:contentItem:5F8T-N3V1-FH4C-X24M-00000-00&amp;context=" TargetMode="External" /><Relationship Id="rId720" Type="http://schemas.openxmlformats.org/officeDocument/2006/relationships/header" Target="header116.xml" /><Relationship Id="rId721" Type="http://schemas.openxmlformats.org/officeDocument/2006/relationships/footer" Target="footer115.xml" /><Relationship Id="rId722" Type="http://schemas.openxmlformats.org/officeDocument/2006/relationships/footer" Target="footer116.xml" /><Relationship Id="rId723" Type="http://schemas.openxmlformats.org/officeDocument/2006/relationships/header" Target="header117.xml" /><Relationship Id="rId724" Type="http://schemas.openxmlformats.org/officeDocument/2006/relationships/footer" Target="footer117.xml" /><Relationship Id="rId725" Type="http://schemas.openxmlformats.org/officeDocument/2006/relationships/hyperlink" Target="https://advance.lexis.com/api/document?collection=cases-ca&amp;id=urn:contentItem:5F7T-S791-JCJ5-2509-00000-00&amp;context=" TargetMode="External" /><Relationship Id="rId726" Type="http://schemas.openxmlformats.org/officeDocument/2006/relationships/hyperlink" Target="https://advance.lexis.com/api/document?collection=cases-ca&amp;id=urn:contentItem:5F7T-S751-JP4G-618T-00000-00&amp;context=" TargetMode="External" /><Relationship Id="rId727" Type="http://schemas.openxmlformats.org/officeDocument/2006/relationships/hyperlink" Target="https://advance.lexis.com/api/document?collection=cases-ca&amp;id=urn:contentItem:5F8T-N3S1-JT99-24PB-00000-00&amp;context=" TargetMode="External" /><Relationship Id="rId728" Type="http://schemas.openxmlformats.org/officeDocument/2006/relationships/hyperlink" Target="https://advance.lexis.com/api/document?collection=cases-ca&amp;id=urn:contentItem:5F8T-N3T1-JJSF-23KM-00000-00&amp;context=" TargetMode="External" /><Relationship Id="rId729" Type="http://schemas.openxmlformats.org/officeDocument/2006/relationships/hyperlink" Target="https://advance.lexis.com/api/document?collection=cases-ca&amp;id=urn:contentItem:5F7T-S741-FJM6-61JR-00000-00&amp;context=" TargetMode="External" /><Relationship Id="rId73" Type="http://schemas.openxmlformats.org/officeDocument/2006/relationships/header" Target="header7.xml" /><Relationship Id="rId730" Type="http://schemas.openxmlformats.org/officeDocument/2006/relationships/hyperlink" Target="https://advance.lexis.com/api/document?collection=cases-ca&amp;id=urn:contentItem:5F7T-S761-JS5Y-B1DW-00000-00&amp;context=" TargetMode="External" /><Relationship Id="rId731" Type="http://schemas.openxmlformats.org/officeDocument/2006/relationships/hyperlink" Target="https://advance.lexis.com/api/document?collection=cases-ca&amp;id=urn:contentItem:5F8T-N3T1-JJSF-23BN-00000-00&amp;context=" TargetMode="External" /><Relationship Id="rId732" Type="http://schemas.openxmlformats.org/officeDocument/2006/relationships/hyperlink" Target="https://advance.lexis.com/api/document?collection=cases-ca&amp;id=urn:contentItem:5F8T-N3V1-JFKM-608J-00000-00&amp;context=" TargetMode="External" /><Relationship Id="rId733" Type="http://schemas.openxmlformats.org/officeDocument/2006/relationships/hyperlink" Target="https://advance.lexis.com/api/document?collection=cases-ca&amp;id=urn:contentItem:5F7T-S6X1-K0BB-S057-00000-00&amp;context=" TargetMode="External" /><Relationship Id="rId734" Type="http://schemas.openxmlformats.org/officeDocument/2006/relationships/hyperlink" Target="https://advance.lexis.com/api/document?collection=cases-ca&amp;id=urn:contentItem:5F7T-S771-F81W-22N3-00000-00&amp;context=" TargetMode="External" /><Relationship Id="rId735" Type="http://schemas.openxmlformats.org/officeDocument/2006/relationships/hyperlink" Target="https://advance.lexis.com/api/document?collection=cases-ca&amp;id=urn:contentItem:5F7T-S701-JJ6S-61FW-00000-00&amp;context=" TargetMode="External" /><Relationship Id="rId736" Type="http://schemas.openxmlformats.org/officeDocument/2006/relationships/hyperlink" Target="https://advance.lexis.com/api/document?collection=cases-ca&amp;id=urn:contentItem:5F8T-N3V1-JF75-M3GT-00000-00&amp;context=" TargetMode="External" /><Relationship Id="rId737" Type="http://schemas.openxmlformats.org/officeDocument/2006/relationships/hyperlink" Target="https://advance.lexis.com/api/document?collection=cases-ca&amp;id=urn:contentItem:5F8T-N3S1-JBDT-B087-00000-00&amp;context=" TargetMode="External" /><Relationship Id="rId738" Type="http://schemas.openxmlformats.org/officeDocument/2006/relationships/hyperlink" Target="https://advance.lexis.com/api/document?collection=cases-ca&amp;id=urn:contentItem:5F7T-S781-FH4C-X2R3-00000-00&amp;context=" TargetMode="External" /><Relationship Id="rId739" Type="http://schemas.openxmlformats.org/officeDocument/2006/relationships/hyperlink" Target="https://advance.lexis.com/api/document?collection=cases-ca&amp;id=urn:contentItem:5F8T-N3V1-FC1F-M41S-00000-00&amp;context=" TargetMode="External" /><Relationship Id="rId74" Type="http://schemas.openxmlformats.org/officeDocument/2006/relationships/header" Target="header8.xml" /><Relationship Id="rId740" Type="http://schemas.openxmlformats.org/officeDocument/2006/relationships/hyperlink" Target="https://advance.lexis.com/api/document?collection=cases-ca&amp;id=urn:contentItem:5F8T-N3V1-FC1F-M456-00000-00&amp;context=" TargetMode="External" /><Relationship Id="rId741" Type="http://schemas.openxmlformats.org/officeDocument/2006/relationships/hyperlink" Target="https://advance.lexis.com/api/document?collection=cases-ca&amp;id=urn:contentItem:5F8T-N3V1-JF75-M3J7-00000-00&amp;context=" TargetMode="External" /><Relationship Id="rId742" Type="http://schemas.openxmlformats.org/officeDocument/2006/relationships/hyperlink" Target="https://advance.lexis.com/api/document?collection=cases-ca&amp;id=urn:contentItem:5F8T-N3V1-FC1F-M3Y3-00000-00&amp;context=" TargetMode="External" /><Relationship Id="rId743" Type="http://schemas.openxmlformats.org/officeDocument/2006/relationships/header" Target="header118.xml" /><Relationship Id="rId744" Type="http://schemas.openxmlformats.org/officeDocument/2006/relationships/header" Target="header119.xml" /><Relationship Id="rId745" Type="http://schemas.openxmlformats.org/officeDocument/2006/relationships/footer" Target="footer118.xml" /><Relationship Id="rId746" Type="http://schemas.openxmlformats.org/officeDocument/2006/relationships/footer" Target="footer119.xml" /><Relationship Id="rId747" Type="http://schemas.openxmlformats.org/officeDocument/2006/relationships/header" Target="header120.xml" /><Relationship Id="rId748" Type="http://schemas.openxmlformats.org/officeDocument/2006/relationships/footer" Target="footer120.xml" /><Relationship Id="rId749" Type="http://schemas.openxmlformats.org/officeDocument/2006/relationships/hyperlink" Target="https://advance.lexis.com/api/document?collection=cases-ca&amp;id=urn:contentItem:5F7T-S7D1-JS5Y-B21Y-00000-00&amp;context=" TargetMode="External" /><Relationship Id="rId75" Type="http://schemas.openxmlformats.org/officeDocument/2006/relationships/footer" Target="footer7.xml" /><Relationship Id="rId750" Type="http://schemas.openxmlformats.org/officeDocument/2006/relationships/hyperlink" Target="https://advance.lexis.com/api/document?collection=cases-ca&amp;id=urn:contentItem:5K6Y-81M1-F65M-61HF-00000-00&amp;context=" TargetMode="External" /><Relationship Id="rId751" Type="http://schemas.openxmlformats.org/officeDocument/2006/relationships/hyperlink" Target="https://advance.lexis.com/api/document?collection=cases-ca&amp;id=urn:contentItem:5F7T-S7C1-JXG3-X0CY-00000-00&amp;context=" TargetMode="External" /><Relationship Id="rId752" Type="http://schemas.openxmlformats.org/officeDocument/2006/relationships/hyperlink" Target="https://advance.lexis.com/api/document?collection=cases-ca&amp;id=urn:contentItem:5F7T-S7C1-F4NT-X329-00000-00&amp;context=" TargetMode="External" /><Relationship Id="rId753" Type="http://schemas.openxmlformats.org/officeDocument/2006/relationships/hyperlink" Target="https://advance.lexis.com/api/document?collection=cases-ca&amp;id=urn:contentItem:5F7T-S7B1-F7ND-G55T-00000-00&amp;context=" TargetMode="External" /><Relationship Id="rId754" Type="http://schemas.openxmlformats.org/officeDocument/2006/relationships/hyperlink" Target="https://advance.lexis.com/api/document?collection=cases-ca&amp;id=urn:contentItem:5F7T-S781-JC5P-G1D9-00000-00&amp;context=" TargetMode="External" /><Relationship Id="rId755" Type="http://schemas.openxmlformats.org/officeDocument/2006/relationships/hyperlink" Target="https://advance.lexis.com/api/document?collection=cases-ca&amp;id=urn:contentItem:5F7T-S771-F81W-22HW-00000-00&amp;context=" TargetMode="External" /><Relationship Id="rId756" Type="http://schemas.openxmlformats.org/officeDocument/2006/relationships/hyperlink" Target="https://advance.lexis.com/api/document?collection=cases-ca&amp;id=urn:contentItem:5F7T-S7C1-F30T-B26K-00000-00&amp;context=" TargetMode="External" /><Relationship Id="rId757" Type="http://schemas.openxmlformats.org/officeDocument/2006/relationships/hyperlink" Target="https://advance.lexis.com/api/document?collection=cases-ca&amp;id=urn:contentItem:5F7T-S7C1-F7VM-S3BJ-00000-00&amp;context=" TargetMode="External" /><Relationship Id="rId758" Type="http://schemas.openxmlformats.org/officeDocument/2006/relationships/header" Target="header121.xml" /><Relationship Id="rId759" Type="http://schemas.openxmlformats.org/officeDocument/2006/relationships/header" Target="header122.xml" /><Relationship Id="rId76" Type="http://schemas.openxmlformats.org/officeDocument/2006/relationships/footer" Target="footer8.xml" /><Relationship Id="rId760" Type="http://schemas.openxmlformats.org/officeDocument/2006/relationships/footer" Target="footer121.xml" /><Relationship Id="rId761" Type="http://schemas.openxmlformats.org/officeDocument/2006/relationships/footer" Target="footer122.xml" /><Relationship Id="rId762" Type="http://schemas.openxmlformats.org/officeDocument/2006/relationships/header" Target="header123.xml" /><Relationship Id="rId763" Type="http://schemas.openxmlformats.org/officeDocument/2006/relationships/footer" Target="footer123.xml" /><Relationship Id="rId764" Type="http://schemas.openxmlformats.org/officeDocument/2006/relationships/hyperlink" Target="https://advance.lexis.com/api/document?collection=cases-ca&amp;id=urn:contentItem:5SJ0-7CG1-JNJT-B07K-00000-00&amp;context=" TargetMode="External" /><Relationship Id="rId765" Type="http://schemas.openxmlformats.org/officeDocument/2006/relationships/hyperlink" Target="https://advance.lexis.com/api/document?collection=legislation-ca&amp;id=urn:contentItem:5F3B-B911-DXWW-228R-00000-00&amp;context=" TargetMode="External" /><Relationship Id="rId766" Type="http://schemas.openxmlformats.org/officeDocument/2006/relationships/hyperlink" Target="https://advance.lexis.com/api/document?collection=legislation-ca&amp;id=urn:contentItem:5MTG-54W1-DYFH-X1ST-00000-00&amp;context=" TargetMode="External" /><Relationship Id="rId767" Type="http://schemas.openxmlformats.org/officeDocument/2006/relationships/hyperlink" Target="https://advance.lexis.com/api/document?collection=legislation-ca&amp;id=urn:contentItem:5VYK-WB61-JJD0-G4F3-00000-00&amp;context=" TargetMode="External" /><Relationship Id="rId768" Type="http://schemas.openxmlformats.org/officeDocument/2006/relationships/hyperlink" Target="https://advance.lexis.com/api/document?collection=cases-ca&amp;id=urn:contentItem:5F8T-N3T1-JJSF-23F8-00000-00&amp;context=" TargetMode="External" /><Relationship Id="rId769" Type="http://schemas.openxmlformats.org/officeDocument/2006/relationships/hyperlink" Target="https://advance.lexis.com/api/document?collection=cases-ca&amp;id=urn:contentItem:5F8T-N3T1-JFKM-6519-00000-00&amp;context=" TargetMode="External" /><Relationship Id="rId77" Type="http://schemas.openxmlformats.org/officeDocument/2006/relationships/header" Target="header9.xml" /><Relationship Id="rId770" Type="http://schemas.openxmlformats.org/officeDocument/2006/relationships/hyperlink" Target="https://advance.lexis.com/api/document?collection=cases-ca&amp;id=urn:contentItem:5F8T-N3V1-JTGH-B1GF-00000-00&amp;context=" TargetMode="External" /><Relationship Id="rId771" Type="http://schemas.openxmlformats.org/officeDocument/2006/relationships/hyperlink" Target="https://advance.lexis.com/api/document?collection=cases-ca&amp;id=urn:contentItem:5MSM-NR71-JW5H-X2HR-00000-00&amp;context=" TargetMode="External" /><Relationship Id="rId772" Type="http://schemas.openxmlformats.org/officeDocument/2006/relationships/hyperlink" Target="https://advance.lexis.com/api/document?collection=cases-ca&amp;id=urn:contentItem:5F8T-N3T1-JGHR-M27Y-00000-00&amp;context=" TargetMode="External" /><Relationship Id="rId773" Type="http://schemas.openxmlformats.org/officeDocument/2006/relationships/hyperlink" Target="https://advance.lexis.com/api/document?collection=cases-ca&amp;id=urn:contentItem:5F16-93D1-FGCG-S2HV-00000-00&amp;context=" TargetMode="External" /><Relationship Id="rId774" Type="http://schemas.openxmlformats.org/officeDocument/2006/relationships/hyperlink" Target="https://advance.lexis.com/api/document?collection=cases-ca&amp;id=urn:contentItem:5F81-VJS1-FFFC-B2CT-00000-00&amp;context=" TargetMode="External" /><Relationship Id="rId775" Type="http://schemas.openxmlformats.org/officeDocument/2006/relationships/hyperlink" Target="https://advance.lexis.com/api/document?collection=cases-ca&amp;id=urn:contentItem:5F16-92Y1-JS5Y-B020-00000-00&amp;context=" TargetMode="External" /><Relationship Id="rId776" Type="http://schemas.openxmlformats.org/officeDocument/2006/relationships/hyperlink" Target="https://advance.lexis.com/api/document?collection=cases-ca&amp;id=urn:contentItem:5F8T-N3V1-FH4C-X247-00000-00&amp;context=" TargetMode="External" /><Relationship Id="rId777" Type="http://schemas.openxmlformats.org/officeDocument/2006/relationships/hyperlink" Target="https://advance.lexis.com/api/document?collection=cases-ca&amp;id=urn:contentItem:5F7T-S7M1-JNCK-22D3-00000-00&amp;context=" TargetMode="External" /><Relationship Id="rId778" Type="http://schemas.openxmlformats.org/officeDocument/2006/relationships/hyperlink" Target="https://advance.lexis.com/api/document?collection=cases-ca&amp;id=urn:contentItem:5F7T-S7K1-DY33-B1VY-00000-00&amp;context=" TargetMode="External" /><Relationship Id="rId779" Type="http://schemas.openxmlformats.org/officeDocument/2006/relationships/hyperlink" Target="https://advance.lexis.com/api/document?collection=cases-ca&amp;id=urn:contentItem:5F16-9361-K0HK-21HT-00000-00&amp;context=" TargetMode="External" /><Relationship Id="rId78" Type="http://schemas.openxmlformats.org/officeDocument/2006/relationships/footer" Target="footer9.xml" /><Relationship Id="rId780" Type="http://schemas.openxmlformats.org/officeDocument/2006/relationships/hyperlink" Target="https://advance.lexis.com/api/document?collection=cases-ca&amp;id=urn:contentItem:5F8T-N3V1-JF75-M3B2-00000-00&amp;context=" TargetMode="External" /><Relationship Id="rId781" Type="http://schemas.openxmlformats.org/officeDocument/2006/relationships/hyperlink" Target="https://advance.lexis.com/api/document?collection=cases-ca&amp;id=urn:contentItem:5F8T-N3V1-FC1F-M3W9-00000-00&amp;context=" TargetMode="External" /><Relationship Id="rId782" Type="http://schemas.openxmlformats.org/officeDocument/2006/relationships/hyperlink" Target="https://advance.lexis.com/api/document?collection=cases-ca&amp;id=urn:contentItem:5F7T-S7H1-JFSV-G34D-00000-00&amp;context=" TargetMode="External" /><Relationship Id="rId783" Type="http://schemas.openxmlformats.org/officeDocument/2006/relationships/hyperlink" Target="https://advance.lexis.com/api/document?collection=cases-ca&amp;id=urn:contentItem:5F7T-S6Y1-JNY7-X2P3-00000-00&amp;context=" TargetMode="External" /><Relationship Id="rId784" Type="http://schemas.openxmlformats.org/officeDocument/2006/relationships/hyperlink" Target="https://advance.lexis.com/api/document?collection=cases-ca&amp;id=urn:contentItem:5F7T-S711-JNS1-M0XF-00000-00&amp;context=" TargetMode="External" /><Relationship Id="rId785" Type="http://schemas.openxmlformats.org/officeDocument/2006/relationships/hyperlink" Target="https://advance.lexis.com/api/document?collection=cases-ca&amp;id=urn:contentItem:5F7T-S7M1-JPP5-22TG-00000-00&amp;context=" TargetMode="External" /><Relationship Id="rId786" Type="http://schemas.openxmlformats.org/officeDocument/2006/relationships/hyperlink" Target="https://advance.lexis.com/api/document?collection=cases-ca&amp;id=urn:contentItem:5F7T-S6W1-F5T5-M1WC-00000-00&amp;context=" TargetMode="External" /><Relationship Id="rId787" Type="http://schemas.openxmlformats.org/officeDocument/2006/relationships/hyperlink" Target="https://advance.lexis.com/api/document?collection=cases-ca&amp;id=urn:contentItem:5F8T-N3V1-FH4C-X252-00000-00&amp;context=" TargetMode="External" /><Relationship Id="rId788" Type="http://schemas.openxmlformats.org/officeDocument/2006/relationships/hyperlink" Target="https://advance.lexis.com/api/document?collection=cases-ca&amp;id=urn:contentItem:5F7T-S7N1-JGHR-M38N-00000-00&amp;context=" TargetMode="External" /><Relationship Id="rId789" Type="http://schemas.openxmlformats.org/officeDocument/2006/relationships/hyperlink" Target="https://advance.lexis.com/api/document?collection=cases-ca&amp;id=urn:contentItem:5F7T-S7D1-FFFC-B1DT-00000-00&amp;context=" TargetMode="External" /><Relationship Id="rId79" Type="http://schemas.openxmlformats.org/officeDocument/2006/relationships/hyperlink" Target="https://advance.lexis.com/api/document?collection=cases-ca&amp;id=urn:contentItem:5F7T-S7B1-FH4C-X38W-00000-00&amp;context=" TargetMode="External" /><Relationship Id="rId790" Type="http://schemas.openxmlformats.org/officeDocument/2006/relationships/hyperlink" Target="https://advance.lexis.com/api/document?collection=cases-ca&amp;id=urn:contentItem:5F7T-S7F1-FJTD-G3D8-00000-00&amp;context=" TargetMode="External" /><Relationship Id="rId791" Type="http://schemas.openxmlformats.org/officeDocument/2006/relationships/hyperlink" Target="https://advance.lexis.com/api/document?collection=cases-ca&amp;id=urn:contentItem:5GCC-XVC1-JSRM-60MF-00000-00&amp;context=" TargetMode="External" /><Relationship Id="rId792" Type="http://schemas.openxmlformats.org/officeDocument/2006/relationships/hyperlink" Target="https://advance.lexis.com/api/document?collection=cases-ca&amp;id=urn:contentItem:5F7T-S7D1-FCSB-S2PB-00000-00&amp;context=" TargetMode="External" /><Relationship Id="rId793" Type="http://schemas.openxmlformats.org/officeDocument/2006/relationships/hyperlink" Target="https://advance.lexis.com/api/document?collection=cases-ca&amp;id=urn:contentItem:5F7T-S6W1-JB7K-21C9-00000-00&amp;context=" TargetMode="External" /><Relationship Id="rId794" Type="http://schemas.openxmlformats.org/officeDocument/2006/relationships/hyperlink" Target="https://advance.lexis.com/api/document?collection=cases-ca&amp;id=urn:contentItem:5F7T-S7G1-JPP5-21VM-00000-00&amp;context=" TargetMode="External" /><Relationship Id="rId795" Type="http://schemas.openxmlformats.org/officeDocument/2006/relationships/hyperlink" Target="https://advance.lexis.com/api/document?collection=cases-ca&amp;id=urn:contentItem:5F7T-S751-JX3N-B0V9-00000-00&amp;context=" TargetMode="External" /><Relationship Id="rId796" Type="http://schemas.openxmlformats.org/officeDocument/2006/relationships/hyperlink" Target="https://advance.lexis.com/api/document?collection=cases-ca&amp;id=urn:contentItem:5F7T-S771-JJD0-G1MG-00000-00&amp;context=" TargetMode="External" /><Relationship Id="rId797" Type="http://schemas.openxmlformats.org/officeDocument/2006/relationships/hyperlink" Target="https://advance.lexis.com/api/document?collection=cases-ca&amp;id=urn:contentItem:5F7T-S7D1-DY89-M489-00000-00&amp;context=" TargetMode="External" /><Relationship Id="rId798" Type="http://schemas.openxmlformats.org/officeDocument/2006/relationships/hyperlink" Target="https://advance.lexis.com/api/document?collection=cases-ca&amp;id=urn:contentItem:5F7T-S7C1-F7VM-S39J-00000-00&amp;context=" TargetMode="External" /><Relationship Id="rId799" Type="http://schemas.openxmlformats.org/officeDocument/2006/relationships/hyperlink" Target="https://advance.lexis.com/api/document?collection=cases-ca&amp;id=urn:contentItem:5F8T-N3V1-JTGH-B10F-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81-VJW1-FGY5-M2K3-00000-00&amp;context=" TargetMode="External" /><Relationship Id="rId800" Type="http://schemas.openxmlformats.org/officeDocument/2006/relationships/hyperlink" Target="https://advance.lexis.com/api/document?collection=cases-ca&amp;id=urn:contentItem:5F7T-S721-F956-S1DP-00000-00&amp;context=" TargetMode="External" /><Relationship Id="rId801" Type="http://schemas.openxmlformats.org/officeDocument/2006/relationships/hyperlink" Target="https://advance.lexis.com/api/document?collection=cases-ca&amp;id=urn:contentItem:5F7T-S741-F2F4-G2KN-00000-00&amp;context=" TargetMode="External" /><Relationship Id="rId802" Type="http://schemas.openxmlformats.org/officeDocument/2006/relationships/hyperlink" Target="https://advance.lexis.com/api/document?collection=cases-ca&amp;id=urn:contentItem:5F7T-S771-JWBS-61VY-00000-00&amp;context=" TargetMode="External" /><Relationship Id="rId803" Type="http://schemas.openxmlformats.org/officeDocument/2006/relationships/header" Target="header124.xml" /><Relationship Id="rId804" Type="http://schemas.openxmlformats.org/officeDocument/2006/relationships/header" Target="header125.xml" /><Relationship Id="rId805" Type="http://schemas.openxmlformats.org/officeDocument/2006/relationships/footer" Target="footer124.xml" /><Relationship Id="rId806" Type="http://schemas.openxmlformats.org/officeDocument/2006/relationships/footer" Target="footer125.xml" /><Relationship Id="rId807" Type="http://schemas.openxmlformats.org/officeDocument/2006/relationships/header" Target="header126.xml" /><Relationship Id="rId808" Type="http://schemas.openxmlformats.org/officeDocument/2006/relationships/footer" Target="footer126.xml" /><Relationship Id="rId809" Type="http://schemas.openxmlformats.org/officeDocument/2006/relationships/hyperlink" Target="https://advance.lexis.com/api/document?collection=cases-ca&amp;id=urn:contentItem:5F7T-S7M1-JNCK-22TM-00000-00&amp;context=" TargetMode="External" /><Relationship Id="rId81" Type="http://schemas.openxmlformats.org/officeDocument/2006/relationships/hyperlink" Target="https://advance.lexis.com/api/document?collection=cases-ca&amp;id=urn:contentItem:5F8T-N3T1-JJSF-23MT-00000-00&amp;context=" TargetMode="External" /><Relationship Id="rId810" Type="http://schemas.openxmlformats.org/officeDocument/2006/relationships/hyperlink" Target="https://advance.lexis.com/api/document?collection=legislation-ca&amp;id=urn:contentItem:5F41-1FG1-F4NT-X092-00000-00&amp;context=" TargetMode="External" /><Relationship Id="rId811" Type="http://schemas.openxmlformats.org/officeDocument/2006/relationships/hyperlink" Target="https://advance.lexis.com/api/document?collection=cases-ca&amp;id=urn:contentItem:5F7T-S7C1-JSRM-60TH-00000-00&amp;context=" TargetMode="External" /><Relationship Id="rId812" Type="http://schemas.openxmlformats.org/officeDocument/2006/relationships/hyperlink" Target="https://advance.lexis.com/api/document?collection=cases-ca&amp;id=urn:contentItem:5F7T-S7H1-JFKM-6275-00000-00&amp;context=" TargetMode="External" /><Relationship Id="rId813" Type="http://schemas.openxmlformats.org/officeDocument/2006/relationships/hyperlink" Target="https://advance.lexis.com/api/document?collection=cases-ca&amp;id=urn:contentItem:5F81-WC31-F5KY-B4VP-00000-00&amp;context=" TargetMode="External" /><Relationship Id="rId814" Type="http://schemas.openxmlformats.org/officeDocument/2006/relationships/hyperlink" Target="https://advance.lexis.com/api/document?collection=cases-ca&amp;id=urn:contentItem:5F7T-S7F1-FJTD-G3CT-00000-00&amp;context=" TargetMode="External" /><Relationship Id="rId815" Type="http://schemas.openxmlformats.org/officeDocument/2006/relationships/hyperlink" Target="https://advance.lexis.com/api/document?collection=cases-ca&amp;id=urn:contentItem:5F7T-S7F1-F7VM-S40K-00000-00&amp;context=" TargetMode="External" /><Relationship Id="rId816" Type="http://schemas.openxmlformats.org/officeDocument/2006/relationships/hyperlink" Target="https://advance.lexis.com/api/document?collection=cases-ca&amp;id=urn:contentItem:5F82-1SH1-JCBX-S3GJ-00000-00&amp;context=" TargetMode="External" /><Relationship Id="rId817" Type="http://schemas.openxmlformats.org/officeDocument/2006/relationships/hyperlink" Target="https://advance.lexis.com/api/document?collection=cases-ca&amp;id=urn:contentItem:5F7T-S6T1-F361-M02B-00000-00&amp;context=" TargetMode="External" /><Relationship Id="rId818" Type="http://schemas.openxmlformats.org/officeDocument/2006/relationships/hyperlink" Target="https://advance.lexis.com/api/document?collection=cases-ca&amp;id=urn:contentItem:5F7T-S7K1-DY33-B1VH-00000-00&amp;context=" TargetMode="External" /><Relationship Id="rId819" Type="http://schemas.openxmlformats.org/officeDocument/2006/relationships/hyperlink" Target="https://advance.lexis.com/api/document?collection=cases-ca&amp;id=urn:contentItem:5F8T-N3S1-JBDT-B0CD-00000-00&amp;context=" TargetMode="External" /><Relationship Id="rId82" Type="http://schemas.openxmlformats.org/officeDocument/2006/relationships/hyperlink" Target="https://advance.lexis.com/api/document?collection=cases-ca&amp;id=urn:contentItem:5F7T-S6W1-JF75-M2W8-00000-00&amp;context=" TargetMode="External" /><Relationship Id="rId820" Type="http://schemas.openxmlformats.org/officeDocument/2006/relationships/hyperlink" Target="https://advance.lexis.com/api/document?collection=cases-ca&amp;id=urn:contentItem:5F8T-N3V1-FC1F-M48G-00000-00&amp;context=" TargetMode="External" /><Relationship Id="rId821" Type="http://schemas.openxmlformats.org/officeDocument/2006/relationships/hyperlink" Target="https://advance.lexis.com/api/document?collection=cases-ca&amp;id=urn:contentItem:5F8T-N3V1-JTGH-B0YP-00000-00&amp;context=" TargetMode="External" /><Relationship Id="rId822" Type="http://schemas.openxmlformats.org/officeDocument/2006/relationships/hyperlink" Target="https://advance.lexis.com/api/document?collection=cases-ca&amp;id=urn:contentItem:5F7T-S7D1-JG02-S320-00000-00&amp;context=" TargetMode="External" /><Relationship Id="rId823" Type="http://schemas.openxmlformats.org/officeDocument/2006/relationships/hyperlink" Target="https://advance.lexis.com/api/document?collection=cases-ca&amp;id=urn:contentItem:5F7V-3DG1-JJK6-S3K7-00000-00&amp;context=" TargetMode="External" /><Relationship Id="rId824" Type="http://schemas.openxmlformats.org/officeDocument/2006/relationships/hyperlink" Target="https://advance.lexis.com/api/document?collection=cases-ca&amp;id=urn:contentItem:5F7V-3DG1-JJK6-S3YV-00000-00&amp;context=" TargetMode="External" /><Relationship Id="rId825" Type="http://schemas.openxmlformats.org/officeDocument/2006/relationships/hyperlink" Target="https://advance.lexis.com/api/document?collection=cases-ca&amp;id=urn:contentItem:5F8T-N3S1-JT99-24N1-00000-00&amp;context=" TargetMode="External" /><Relationship Id="rId826" Type="http://schemas.openxmlformats.org/officeDocument/2006/relationships/hyperlink" Target="https://advance.lexis.com/api/document?collection=cases-ca&amp;id=urn:contentItem:5F7T-S7F1-DXWW-23FX-00000-00&amp;context=" TargetMode="External" /><Relationship Id="rId827" Type="http://schemas.openxmlformats.org/officeDocument/2006/relationships/hyperlink" Target="https://advance.lexis.com/api/document?collection=cases-ca&amp;id=urn:contentItem:5F7H-KW71-JFDC-X04P-00000-00&amp;context=" TargetMode="External" /><Relationship Id="rId828" Type="http://schemas.openxmlformats.org/officeDocument/2006/relationships/hyperlink" Target="https://advance.lexis.com/api/document?collection=cases-ca&amp;id=urn:contentItem:5F8P-SBV1-DXWW-2288-00000-00&amp;context=" TargetMode="External" /><Relationship Id="rId829" Type="http://schemas.openxmlformats.org/officeDocument/2006/relationships/hyperlink" Target="https://advance.lexis.com/api/document?collection=cases-ca&amp;id=urn:contentItem:5F7T-S7H1-K054-G21B-00000-00&amp;context=" TargetMode="External" /><Relationship Id="rId83" Type="http://schemas.openxmlformats.org/officeDocument/2006/relationships/hyperlink" Target="https://advance.lexis.com/api/document?collection=cases-ca&amp;id=urn:contentItem:5F8P-SCM1-DY33-B544-00000-00&amp;context=" TargetMode="External" /><Relationship Id="rId830" Type="http://schemas.openxmlformats.org/officeDocument/2006/relationships/hyperlink" Target="https://advance.lexis.com/api/document?collection=cases-ca&amp;id=urn:contentItem:5F8N-K751-F22N-X21X-00000-00&amp;context=" TargetMode="External" /><Relationship Id="rId831" Type="http://schemas.openxmlformats.org/officeDocument/2006/relationships/hyperlink" Target="https://advance.lexis.com/api/document?collection=cases-ca&amp;id=urn:contentItem:5F8P-SBV1-DYMS-62WF-00000-00&amp;context=" TargetMode="External" /><Relationship Id="rId832" Type="http://schemas.openxmlformats.org/officeDocument/2006/relationships/hyperlink" Target="https://advance.lexis.com/api/document?collection=cases-ca&amp;id=urn:contentItem:5F7T-S711-JNS1-M10Y-00000-00&amp;context=" TargetMode="External" /><Relationship Id="rId833" Type="http://schemas.openxmlformats.org/officeDocument/2006/relationships/hyperlink" Target="https://advance.lexis.com/api/document?collection=cases-ca&amp;id=urn:contentItem:5F7T-S761-JS5Y-B1R2-00000-00&amp;context=" TargetMode="External" /><Relationship Id="rId834" Type="http://schemas.openxmlformats.org/officeDocument/2006/relationships/hyperlink" Target="https://advance.lexis.com/api/document?collection=cases-ca&amp;id=urn:contentItem:5F7T-S7H1-JG02-S3GM-00000-00&amp;context=" TargetMode="External" /><Relationship Id="rId835" Type="http://schemas.openxmlformats.org/officeDocument/2006/relationships/hyperlink" Target="https://advance.lexis.com/api/document?collection=cases-ca&amp;id=urn:contentItem:5F7T-S6W1-JB7K-21K5-00000-00&amp;context=" TargetMode="External" /><Relationship Id="rId836" Type="http://schemas.openxmlformats.org/officeDocument/2006/relationships/hyperlink" Target="https://advance.lexis.com/api/document?collection=cases-ca&amp;id=urn:contentItem:5F7T-S701-JBT7-X299-00000-00&amp;context=" TargetMode="External" /><Relationship Id="rId837" Type="http://schemas.openxmlformats.org/officeDocument/2006/relationships/hyperlink" Target="https://advance.lexis.com/api/document?collection=cases-ca&amp;id=urn:contentItem:5F7T-S731-F60C-X119-00000-00&amp;context=" TargetMode="External" /><Relationship Id="rId838" Type="http://schemas.openxmlformats.org/officeDocument/2006/relationships/hyperlink" Target="https://advance.lexis.com/api/document?collection=cases-ca&amp;id=urn:contentItem:5F8P-SCJ1-F27X-600J-00000-00&amp;context=" TargetMode="External" /><Relationship Id="rId839" Type="http://schemas.openxmlformats.org/officeDocument/2006/relationships/hyperlink" Target="https://advance.lexis.com/api/document?collection=cases-ca&amp;id=urn:contentItem:5F7T-S6Y1-F4GK-M1V7-00000-00&amp;context=" TargetMode="External" /><Relationship Id="rId84" Type="http://schemas.openxmlformats.org/officeDocument/2006/relationships/hyperlink" Target="https://advance.lexis.com/api/document?collection=cases-ca&amp;id=urn:contentItem:5F8T-N3T1-JJSF-23J1-00000-00&amp;context=" TargetMode="External" /><Relationship Id="rId840" Type="http://schemas.openxmlformats.org/officeDocument/2006/relationships/hyperlink" Target="https://advance.lexis.com/api/document?collection=cases-ca&amp;id=urn:contentItem:5F8T-N3V1-JF75-M3CS-00000-00&amp;context=" TargetMode="External" /><Relationship Id="rId841" Type="http://schemas.openxmlformats.org/officeDocument/2006/relationships/hyperlink" Target="https://advance.lexis.com/api/document?collection=cases-ca&amp;id=urn:contentItem:5F8T-N3T1-JFKM-650V-00000-00&amp;context=" TargetMode="External" /><Relationship Id="rId842" Type="http://schemas.openxmlformats.org/officeDocument/2006/relationships/hyperlink" Target="https://advance.lexis.com/api/document?collection=cases-ca&amp;id=urn:contentItem:5F8T-N3V1-JFKM-601D-00000-00&amp;context=" TargetMode="External" /><Relationship Id="rId843" Type="http://schemas.openxmlformats.org/officeDocument/2006/relationships/hyperlink" Target="https://advance.lexis.com/api/document?collection=cases-ca&amp;id=urn:contentItem:5F7T-S7D1-JG02-S30F-00000-00&amp;context=" TargetMode="External" /><Relationship Id="rId844" Type="http://schemas.openxmlformats.org/officeDocument/2006/relationships/hyperlink" Target="https://advance.lexis.com/api/document?collection=cases-ca&amp;id=urn:contentItem:5F7T-S6Y1-JNY7-X2JX-00000-00&amp;context=" TargetMode="External" /><Relationship Id="rId845" Type="http://schemas.openxmlformats.org/officeDocument/2006/relationships/hyperlink" Target="https://advance.lexis.com/api/document?collection=cases-ca&amp;id=urn:contentItem:5F7T-S751-JGHR-M1T1-00000-00&amp;context=" TargetMode="External" /><Relationship Id="rId846" Type="http://schemas.openxmlformats.org/officeDocument/2006/relationships/hyperlink" Target="https://advance.lexis.com/api/document?collection=cases-ca&amp;id=urn:contentItem:5F7T-S6X1-F7ND-G3RP-00000-00&amp;context=" TargetMode="External" /><Relationship Id="rId847" Type="http://schemas.openxmlformats.org/officeDocument/2006/relationships/hyperlink" Target="https://advance.lexis.com/api/document?collection=cases-ca&amp;id=urn:contentItem:5F8T-N3R1-JJSF-22GB-00000-00&amp;context=" TargetMode="External" /><Relationship Id="rId848" Type="http://schemas.openxmlformats.org/officeDocument/2006/relationships/hyperlink" Target="https://advance.lexis.com/api/document?collection=cases-ca&amp;id=urn:contentItem:5F7T-XPW1-JCJ5-227V-00000-00&amp;context=" TargetMode="External" /><Relationship Id="rId849" Type="http://schemas.openxmlformats.org/officeDocument/2006/relationships/hyperlink" Target="https://advance.lexis.com/api/document?collection=cases-ca&amp;id=urn:contentItem:5F81-VJX1-FGY5-M382-00000-00&amp;context=" TargetMode="External" /><Relationship Id="rId85" Type="http://schemas.openxmlformats.org/officeDocument/2006/relationships/hyperlink" Target="https://advance.lexis.com/api/document?collection=cases-ca&amp;id=urn:contentItem:5F8T-N3V1-JF75-M3H4-00000-00&amp;context=" TargetMode="External" /><Relationship Id="rId850" Type="http://schemas.openxmlformats.org/officeDocument/2006/relationships/hyperlink" Target="https://advance.lexis.com/api/document?collection=cases-ca&amp;id=urn:contentItem:5F8T-N3R1-JJSF-22SB-00000-00&amp;context=" TargetMode="External" /><Relationship Id="rId851" Type="http://schemas.openxmlformats.org/officeDocument/2006/relationships/hyperlink" Target="https://advance.lexis.com/api/document?collection=cases-ca&amp;id=urn:contentItem:5F8T-N3S1-JBDT-B00P-00000-00&amp;context=" TargetMode="External" /><Relationship Id="rId852" Type="http://schemas.openxmlformats.org/officeDocument/2006/relationships/hyperlink" Target="https://advance.lexis.com/api/document?collection=cases-ca&amp;id=urn:contentItem:5F7T-S6Y1-F65M-602X-00000-00&amp;context=" TargetMode="External" /><Relationship Id="rId853" Type="http://schemas.openxmlformats.org/officeDocument/2006/relationships/hyperlink" Target="https://advance.lexis.com/api/document?collection=cases-ca&amp;id=urn:contentItem:5F7T-S6W1-F5T5-M1RG-00000-00&amp;context=" TargetMode="External" /><Relationship Id="rId854" Type="http://schemas.openxmlformats.org/officeDocument/2006/relationships/hyperlink" Target="https://advance.lexis.com/api/document?collection=cases-ca&amp;id=urn:contentItem:5F8P-SBV1-JXNB-634M-00000-00&amp;context=" TargetMode="External" /><Relationship Id="rId855" Type="http://schemas.openxmlformats.org/officeDocument/2006/relationships/hyperlink" Target="https://advance.lexis.com/api/document?collection=cases-ca&amp;id=urn:contentItem:5F7T-S711-F5KY-B10P-00000-00&amp;context=" TargetMode="External" /><Relationship Id="rId856" Type="http://schemas.openxmlformats.org/officeDocument/2006/relationships/hyperlink" Target="https://advance.lexis.com/api/document?collection=cases-ca&amp;id=urn:contentItem:5F7T-S7D1-JN6B-S0XD-00000-00&amp;context=" TargetMode="External" /><Relationship Id="rId857" Type="http://schemas.openxmlformats.org/officeDocument/2006/relationships/hyperlink" Target="https://advance.lexis.com/api/document?collection=cases-ca&amp;id=urn:contentItem:5F8T-N3V1-JTGH-B192-00000-00&amp;context=" TargetMode="External" /><Relationship Id="rId858" Type="http://schemas.openxmlformats.org/officeDocument/2006/relationships/hyperlink" Target="https://advance.lexis.com/api/document?collection=cases-ca&amp;id=urn:contentItem:5F16-9341-JF1Y-B43S-00000-00&amp;context=" TargetMode="External" /><Relationship Id="rId859" Type="http://schemas.openxmlformats.org/officeDocument/2006/relationships/hyperlink" Target="https://advance.lexis.com/api/document?collection=cases-ca&amp;id=urn:contentItem:5F7T-XPW1-F65M-62S2-00000-00&amp;context=" TargetMode="External" /><Relationship Id="rId86" Type="http://schemas.openxmlformats.org/officeDocument/2006/relationships/hyperlink" Target="https://advance.lexis.com/api/document?collection=cases-ca&amp;id=urn:contentItem:5F8T-N3V1-JF75-M3M7-00000-00&amp;context=" TargetMode="External" /><Relationship Id="rId860" Type="http://schemas.openxmlformats.org/officeDocument/2006/relationships/hyperlink" Target="https://advance.lexis.com/api/document?collection=cases-ca&amp;id=urn:contentItem:5F7T-S6X1-FJDY-X14M-00000-00&amp;context=" TargetMode="External" /><Relationship Id="rId861" Type="http://schemas.openxmlformats.org/officeDocument/2006/relationships/header" Target="header127.xml" /><Relationship Id="rId862" Type="http://schemas.openxmlformats.org/officeDocument/2006/relationships/header" Target="header128.xml" /><Relationship Id="rId863" Type="http://schemas.openxmlformats.org/officeDocument/2006/relationships/footer" Target="footer127.xml" /><Relationship Id="rId864" Type="http://schemas.openxmlformats.org/officeDocument/2006/relationships/footer" Target="footer128.xml" /><Relationship Id="rId865" Type="http://schemas.openxmlformats.org/officeDocument/2006/relationships/header" Target="header129.xml" /><Relationship Id="rId866" Type="http://schemas.openxmlformats.org/officeDocument/2006/relationships/footer" Target="footer129.xml" /><Relationship Id="rId867" Type="http://schemas.openxmlformats.org/officeDocument/2006/relationships/hyperlink" Target="https://advance.lexis.com/api/document?collection=cases-ca&amp;id=urn:contentItem:5F7T-S781-F7G6-637H-00000-00&amp;context=" TargetMode="External" /><Relationship Id="rId868" Type="http://schemas.openxmlformats.org/officeDocument/2006/relationships/hyperlink" Target="https://advance.lexis.com/api/document?collection=cases-ca&amp;id=urn:contentItem:5F7T-S731-JC0G-63FP-00000-00&amp;context=" TargetMode="External" /><Relationship Id="rId869" Type="http://schemas.openxmlformats.org/officeDocument/2006/relationships/hyperlink" Target="https://advance.lexis.com/api/document?collection=cases-ca&amp;id=urn:contentItem:5F7T-S6Y1-F7G6-62X1-00000-00&amp;context=" TargetMode="External" /><Relationship Id="rId87" Type="http://schemas.openxmlformats.org/officeDocument/2006/relationships/hyperlink" Target="https://advance.lexis.com/api/document?collection=cases-ca&amp;id=urn:contentItem:5F8T-N3V1-JF75-M3TD-00000-00&amp;context=" TargetMode="External" /><Relationship Id="rId870" Type="http://schemas.openxmlformats.org/officeDocument/2006/relationships/hyperlink" Target="https://advance.lexis.com/api/document?collection=cases-ca&amp;id=urn:contentItem:5F7T-S6Y1-JPP5-21C9-00000-00&amp;context=" TargetMode="External" /><Relationship Id="rId871" Type="http://schemas.openxmlformats.org/officeDocument/2006/relationships/hyperlink" Target="https://advance.lexis.com/api/document?collection=cases-ca&amp;id=urn:contentItem:5F7F-5RG1-JG02-S0VV-00000-00&amp;context=" TargetMode="External" /><Relationship Id="rId872" Type="http://schemas.openxmlformats.org/officeDocument/2006/relationships/hyperlink" Target="https://advance.lexis.com/api/document?collection=cases-ca&amp;id=urn:contentItem:5F8T-N3V1-FC1F-M428-00000-00&amp;context=" TargetMode="External" /><Relationship Id="rId873" Type="http://schemas.openxmlformats.org/officeDocument/2006/relationships/header" Target="header130.xml" /><Relationship Id="rId874" Type="http://schemas.openxmlformats.org/officeDocument/2006/relationships/header" Target="header131.xml" /><Relationship Id="rId875" Type="http://schemas.openxmlformats.org/officeDocument/2006/relationships/footer" Target="footer130.xml" /><Relationship Id="rId876" Type="http://schemas.openxmlformats.org/officeDocument/2006/relationships/footer" Target="footer131.xml" /><Relationship Id="rId877" Type="http://schemas.openxmlformats.org/officeDocument/2006/relationships/header" Target="header132.xml" /><Relationship Id="rId878" Type="http://schemas.openxmlformats.org/officeDocument/2006/relationships/footer" Target="footer132.xml" /><Relationship Id="rId879" Type="http://schemas.openxmlformats.org/officeDocument/2006/relationships/hyperlink" Target="https://advance.lexis.com/api/document?collection=cases-ca&amp;id=urn:contentItem:5JGN-CPP1-JWR6-S269-00000-00&amp;context=" TargetMode="External" /><Relationship Id="rId88" Type="http://schemas.openxmlformats.org/officeDocument/2006/relationships/hyperlink" Target="https://advance.lexis.com/api/document?collection=cases-ca&amp;id=urn:contentItem:5F8T-N3V1-JF75-M3WV-00000-00&amp;context=" TargetMode="External" /><Relationship Id="rId880" Type="http://schemas.openxmlformats.org/officeDocument/2006/relationships/hyperlink" Target="https://advance.lexis.com/api/document?collection=legislation-ca&amp;id=urn:contentItem:5F41-1FG1-FBN1-20XP-00000-00&amp;context=" TargetMode="External" /><Relationship Id="rId881" Type="http://schemas.openxmlformats.org/officeDocument/2006/relationships/hyperlink" Target="https://advance.lexis.com/api/document?collection=legislation-ca&amp;id=urn:contentItem:5F41-1FJ1-JPGX-S03R-00000-00&amp;context=" TargetMode="External" /><Relationship Id="rId882" Type="http://schemas.openxmlformats.org/officeDocument/2006/relationships/hyperlink" Target="https://advance.lexis.com/api/document?collection=legislation-ca&amp;id=urn:contentItem:5F41-1FJ1-F2TK-202K-00000-00&amp;context=" TargetMode="External" /><Relationship Id="rId883" Type="http://schemas.openxmlformats.org/officeDocument/2006/relationships/hyperlink" Target="https://advance.lexis.com/api/document?collection=cases-ca&amp;id=urn:contentItem:5F7T-S7N1-F57G-S2PF-00000-00&amp;context=" TargetMode="External" /><Relationship Id="rId884" Type="http://schemas.openxmlformats.org/officeDocument/2006/relationships/hyperlink" Target="https://advance.lexis.com/api/document?collection=cases-ca&amp;id=urn:contentItem:5HX7-VJ11-FCSB-S3YR-00000-00&amp;context=" TargetMode="External" /><Relationship Id="rId885" Type="http://schemas.openxmlformats.org/officeDocument/2006/relationships/hyperlink" Target="https://advance.lexis.com/api/document?collection=cases-ca&amp;id=urn:contentItem:5GCC-XVB1-JSXV-G090-00000-00&amp;context=" TargetMode="External" /><Relationship Id="rId886" Type="http://schemas.openxmlformats.org/officeDocument/2006/relationships/hyperlink" Target="https://advance.lexis.com/api/document?collection=cases-ca&amp;id=urn:contentItem:5F7T-S7G1-FCYK-206N-00000-00&amp;context=" TargetMode="External" /><Relationship Id="rId887" Type="http://schemas.openxmlformats.org/officeDocument/2006/relationships/hyperlink" Target="https://advance.lexis.com/api/document?collection=cases-ca&amp;id=urn:contentItem:5F7T-S7H1-JCRC-B120-00000-00&amp;context=" TargetMode="External" /><Relationship Id="rId888" Type="http://schemas.openxmlformats.org/officeDocument/2006/relationships/hyperlink" Target="https://advance.lexis.com/api/document?collection=cases-ca&amp;id=urn:contentItem:5F8T-N3V1-FH4C-X221-00000-00&amp;context=" TargetMode="External" /><Relationship Id="rId889" Type="http://schemas.openxmlformats.org/officeDocument/2006/relationships/hyperlink" Target="https://advance.lexis.com/api/document?collection=cases-ca&amp;id=urn:contentItem:5F8T-N3V1-FH4C-X1WY-00000-00&amp;context=" TargetMode="External" /><Relationship Id="rId89" Type="http://schemas.openxmlformats.org/officeDocument/2006/relationships/hyperlink" Target="https://advance.lexis.com/api/document?collection=cases-ca&amp;id=urn:contentItem:5F7T-S751-JP4G-61C9-00000-00&amp;context=" TargetMode="External" /><Relationship Id="rId890" Type="http://schemas.openxmlformats.org/officeDocument/2006/relationships/hyperlink" Target="https://advance.lexis.com/api/document?collection=cases-ca&amp;id=urn:contentItem:5FX0-MRR1-JSJC-X155-00000-00&amp;context=" TargetMode="External" /><Relationship Id="rId891" Type="http://schemas.openxmlformats.org/officeDocument/2006/relationships/hyperlink" Target="https://advance.lexis.com/api/document?collection=cases-ca&amp;id=urn:contentItem:5GCC-XVB1-FK0M-S4T8-00000-00&amp;context=" TargetMode="External" /><Relationship Id="rId892" Type="http://schemas.openxmlformats.org/officeDocument/2006/relationships/hyperlink" Target="https://advance.lexis.com/api/document?collection=cases-ca&amp;id=urn:contentItem:5F7T-S7K1-JNY7-X4JT-00000-00&amp;context=" TargetMode="External" /><Relationship Id="rId893" Type="http://schemas.openxmlformats.org/officeDocument/2006/relationships/hyperlink" Target="https://advance.lexis.com/api/document?collection=cases-ca&amp;id=urn:contentItem:5F8N-K701-JJ1H-X3MN-00000-00&amp;context=" TargetMode="External" /><Relationship Id="rId894" Type="http://schemas.openxmlformats.org/officeDocument/2006/relationships/hyperlink" Target="https://advance.lexis.com/api/document?collection=cases-ca&amp;id=urn:contentItem:5F7T-S7H1-K054-G2BW-00000-00&amp;context=" TargetMode="External" /><Relationship Id="rId895" Type="http://schemas.openxmlformats.org/officeDocument/2006/relationships/hyperlink" Target="https://advance.lexis.com/api/document?collection=cases-ca&amp;id=urn:contentItem:5FX0-K921-F06F-2169-00000-00&amp;context=" TargetMode="External" /><Relationship Id="rId896" Type="http://schemas.openxmlformats.org/officeDocument/2006/relationships/hyperlink" Target="https://advance.lexis.com/api/document?collection=cases-ca&amp;id=urn:contentItem:5F8N-K6T1-JNS1-M2CF-00000-00&amp;context=" TargetMode="External" /><Relationship Id="rId897" Type="http://schemas.openxmlformats.org/officeDocument/2006/relationships/hyperlink" Target="https://advance.lexis.com/api/document?collection=cases-ca&amp;id=urn:contentItem:5F8T-N3S1-JBDT-B0G3-00000-00&amp;context=" TargetMode="External" /><Relationship Id="rId898" Type="http://schemas.openxmlformats.org/officeDocument/2006/relationships/hyperlink" Target="https://advance.lexis.com/api/document?collection=cases-ca&amp;id=urn:contentItem:5F8T-N3V1-FC1F-M40G-00000-00&amp;context=" TargetMode="External" /><Relationship Id="rId899" Type="http://schemas.openxmlformats.org/officeDocument/2006/relationships/hyperlink" Target="https://advance.lexis.com/api/document?collection=cases-ca&amp;id=urn:contentItem:5F7T-S7G1-JX3N-B23H-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6W1-F528-G1TM-00000-00&amp;context=" TargetMode="External" /><Relationship Id="rId900" Type="http://schemas.openxmlformats.org/officeDocument/2006/relationships/hyperlink" Target="https://advance.lexis.com/api/document?collection=cases-ca&amp;id=urn:contentItem:5F7T-S7H1-JFSV-G2PY-00000-00&amp;context=" TargetMode="External" /><Relationship Id="rId901" Type="http://schemas.openxmlformats.org/officeDocument/2006/relationships/hyperlink" Target="https://advance.lexis.com/api/document?collection=cases-ca&amp;id=urn:contentItem:5F8T-N3S1-JBDT-B0DG-00000-00&amp;context=" TargetMode="External" /><Relationship Id="rId902" Type="http://schemas.openxmlformats.org/officeDocument/2006/relationships/hyperlink" Target="https://advance.lexis.com/api/document?collection=cases-ca&amp;id=urn:contentItem:5F7T-S7H1-JCRC-B13S-00000-00&amp;context=" TargetMode="External" /><Relationship Id="rId903" Type="http://schemas.openxmlformats.org/officeDocument/2006/relationships/hyperlink" Target="https://advance.lexis.com/api/document?collection=cases-ca&amp;id=urn:contentItem:5F7T-S741-F57G-S1F9-00000-00&amp;context=" TargetMode="External" /><Relationship Id="rId904" Type="http://schemas.openxmlformats.org/officeDocument/2006/relationships/hyperlink" Target="https://advance.lexis.com/api/document?collection=cases-ca&amp;id=urn:contentItem:5F7T-S751-JX3N-B15G-00000-00&amp;context=" TargetMode="External" /><Relationship Id="rId905" Type="http://schemas.openxmlformats.org/officeDocument/2006/relationships/hyperlink" Target="https://advance.lexis.com/api/document?collection=cases-ca&amp;id=urn:contentItem:5F7T-S711-JB2B-S15F-00000-00&amp;context=" TargetMode="External" /><Relationship Id="rId906" Type="http://schemas.openxmlformats.org/officeDocument/2006/relationships/hyperlink" Target="https://advance.lexis.com/api/document?collection=cases-ca&amp;id=urn:contentItem:5F7T-S751-FJDY-X433-00000-00&amp;context=" TargetMode="External" /><Relationship Id="rId907" Type="http://schemas.openxmlformats.org/officeDocument/2006/relationships/hyperlink" Target="https://advance.lexis.com/api/document?collection=cases-ca&amp;id=urn:contentItem:5F8T-N3V1-FC1F-M476-00000-00&amp;context=" TargetMode="External" /><Relationship Id="rId908" Type="http://schemas.openxmlformats.org/officeDocument/2006/relationships/hyperlink" Target="https://advance.lexis.com/api/document?collection=cases-ca&amp;id=urn:contentItem:5F7T-S7G1-JNY7-X40P-00000-00&amp;context=" TargetMode="External" /><Relationship Id="rId909" Type="http://schemas.openxmlformats.org/officeDocument/2006/relationships/hyperlink" Target="https://advance.lexis.com/api/document?collection=cases-ca&amp;id=urn:contentItem:5F7T-S7B1-JSRM-6080-00000-00&amp;context=" TargetMode="External" /><Relationship Id="rId91" Type="http://schemas.openxmlformats.org/officeDocument/2006/relationships/hyperlink" Target="https://advance.lexis.com/api/document?collection=cases-ca&amp;id=urn:contentItem:5F7T-S741-DY89-M3HK-00000-00&amp;context=" TargetMode="External" /><Relationship Id="rId910" Type="http://schemas.openxmlformats.org/officeDocument/2006/relationships/hyperlink" Target="https://advance.lexis.com/api/document?collection=cases-ca&amp;id=urn:contentItem:5F7T-S7P1-JCRC-B22V-00000-00&amp;context=" TargetMode="External" /><Relationship Id="rId911" Type="http://schemas.openxmlformats.org/officeDocument/2006/relationships/hyperlink" Target="https://advance.lexis.com/api/document?collection=cases-ca&amp;id=urn:contentItem:5F7T-S6V1-JWR6-S16K-00000-00&amp;context=" TargetMode="External" /><Relationship Id="rId912" Type="http://schemas.openxmlformats.org/officeDocument/2006/relationships/hyperlink" Target="https://advance.lexis.com/api/document?collection=cases-ca&amp;id=urn:contentItem:5H8B-4TV1-F8SS-64D2-00000-00&amp;context=" TargetMode="External" /><Relationship Id="rId913" Type="http://schemas.openxmlformats.org/officeDocument/2006/relationships/hyperlink" Target="https://advance.lexis.com/api/document?collection=cases-ca&amp;id=urn:contentItem:5F7T-S6W1-FBFS-S125-00000-00&amp;context=" TargetMode="External" /><Relationship Id="rId914" Type="http://schemas.openxmlformats.org/officeDocument/2006/relationships/hyperlink" Target="https://advance.lexis.com/api/document?collection=cases-ca&amp;id=urn:contentItem:5F7T-S6X1-FBN1-20SM-00000-00&amp;context=" TargetMode="External" /><Relationship Id="rId915" Type="http://schemas.openxmlformats.org/officeDocument/2006/relationships/hyperlink" Target="https://advance.lexis.com/api/document?collection=cases-ca&amp;id=urn:contentItem:5F7T-S7N1-JW09-M0YW-00000-00&amp;context=" TargetMode="External" /><Relationship Id="rId916" Type="http://schemas.openxmlformats.org/officeDocument/2006/relationships/hyperlink" Target="https://advance.lexis.com/api/document?collection=cases-ca&amp;id=urn:contentItem:5F8P-SF71-FGCG-S3N1-00000-00&amp;context=" TargetMode="External" /><Relationship Id="rId917" Type="http://schemas.openxmlformats.org/officeDocument/2006/relationships/hyperlink" Target="https://advance.lexis.com/api/document?collection=cases-ca&amp;id=urn:contentItem:5F8P-SGC1-JG02-S2R8-00000-00&amp;context=" TargetMode="External" /><Relationship Id="rId918" Type="http://schemas.openxmlformats.org/officeDocument/2006/relationships/hyperlink" Target="https://advance.lexis.com/api/document?collection=cases-ca&amp;id=urn:contentItem:5F8P-SFM1-JJYN-B4CF-00000-00&amp;context=" TargetMode="External" /><Relationship Id="rId919" Type="http://schemas.openxmlformats.org/officeDocument/2006/relationships/hyperlink" Target="https://advance.lexis.com/api/document?collection=cases-ca&amp;id=urn:contentItem:5F82-1SB1-JP4G-64M7-00000-00&amp;context=" TargetMode="External" /><Relationship Id="rId92" Type="http://schemas.openxmlformats.org/officeDocument/2006/relationships/hyperlink" Target="https://advance.lexis.com/api/document?collection=cases-ca&amp;id=urn:contentItem:5F7T-S771-JJD0-G15X-00000-00&amp;context=" TargetMode="External" /><Relationship Id="rId920" Type="http://schemas.openxmlformats.org/officeDocument/2006/relationships/hyperlink" Target="https://advance.lexis.com/api/document?collection=cases-ca&amp;id=urn:contentItem:5F8T-N3V1-FC1F-M4BS-00000-00&amp;context=" TargetMode="External" /><Relationship Id="rId921" Type="http://schemas.openxmlformats.org/officeDocument/2006/relationships/hyperlink" Target="https://advance.lexis.com/api/document?collection=cases-ca&amp;id=urn:contentItem:5F7T-S731-JC0G-63HG-00000-00&amp;context=" TargetMode="External" /><Relationship Id="rId922" Type="http://schemas.openxmlformats.org/officeDocument/2006/relationships/header" Target="header133.xml" /><Relationship Id="rId923" Type="http://schemas.openxmlformats.org/officeDocument/2006/relationships/header" Target="header134.xml" /><Relationship Id="rId924" Type="http://schemas.openxmlformats.org/officeDocument/2006/relationships/footer" Target="footer133.xml" /><Relationship Id="rId925" Type="http://schemas.openxmlformats.org/officeDocument/2006/relationships/footer" Target="footer134.xml" /><Relationship Id="rId926" Type="http://schemas.openxmlformats.org/officeDocument/2006/relationships/header" Target="header135.xml" /><Relationship Id="rId927" Type="http://schemas.openxmlformats.org/officeDocument/2006/relationships/footer" Target="footer135.xml" /><Relationship Id="rId928" Type="http://schemas.openxmlformats.org/officeDocument/2006/relationships/hyperlink" Target="https://advance.lexis.com/api/document?collection=cases-ca&amp;id=urn:contentItem:5F7T-S7M1-F4W2-625D-00000-00&amp;context=" TargetMode="External" /><Relationship Id="rId929" Type="http://schemas.openxmlformats.org/officeDocument/2006/relationships/hyperlink" Target="https://advance.lexis.com/api/document?collection=cases-ca&amp;id=urn:contentItem:5F7T-S711-JNY7-X38K-00000-00&amp;context=" TargetMode="External" /><Relationship Id="rId93" Type="http://schemas.openxmlformats.org/officeDocument/2006/relationships/hyperlink" Target="https://advance.lexis.com/api/document?collection=cases-ca&amp;id=urn:contentItem:5F8P-SDD1-JFSV-G3CB-00000-00&amp;context=" TargetMode="External" /><Relationship Id="rId930" Type="http://schemas.openxmlformats.org/officeDocument/2006/relationships/hyperlink" Target="https://advance.lexis.com/api/document?collection=cases-ca&amp;id=urn:contentItem:5F8T-N3V1-JTGH-B17G-00000-00&amp;context=" TargetMode="External" /><Relationship Id="rId931" Type="http://schemas.openxmlformats.org/officeDocument/2006/relationships/hyperlink" Target="https://advance.lexis.com/api/document?collection=cases-ca&amp;id=urn:contentItem:5F7T-XPT1-JSXV-G3PY-00000-00&amp;context=" TargetMode="External" /><Relationship Id="rId932" Type="http://schemas.openxmlformats.org/officeDocument/2006/relationships/hyperlink" Target="https://advance.lexis.com/api/document?collection=cases-ca&amp;id=urn:contentItem:5F7T-S6T1-FJTD-G1PG-00000-00&amp;context=" TargetMode="External" /><Relationship Id="rId933" Type="http://schemas.openxmlformats.org/officeDocument/2006/relationships/hyperlink" Target="https://advance.lexis.com/api/document?collection=cases-ca&amp;id=urn:contentItem:5F7H-KW51-JX8W-M1W0-00000-00&amp;context=" TargetMode="External" /><Relationship Id="rId934" Type="http://schemas.openxmlformats.org/officeDocument/2006/relationships/hyperlink" Target="https://advance.lexis.com/api/document?collection=cases-ca&amp;id=urn:contentItem:5F16-93F1-FGY5-M204-00000-00&amp;context=" TargetMode="External" /><Relationship Id="rId935" Type="http://schemas.openxmlformats.org/officeDocument/2006/relationships/hyperlink" Target="https://advance.lexis.com/api/document?collection=cases-ca&amp;id=urn:contentItem:5F16-9301-JC5P-G1JC-00000-00&amp;context=" TargetMode="External" /><Relationship Id="rId936" Type="http://schemas.openxmlformats.org/officeDocument/2006/relationships/hyperlink" Target="https://advance.lexis.com/api/document?collection=cases-ca&amp;id=urn:contentItem:5F8P-SGB1-F873-B2JF-00000-00&amp;context=" TargetMode="External" /><Relationship Id="rId937" Type="http://schemas.openxmlformats.org/officeDocument/2006/relationships/hyperlink" Target="https://advance.lexis.com/api/document?collection=cases-ca&amp;id=urn:contentItem:5F8P-SGC1-JG02-S2MG-00000-00&amp;context=" TargetMode="External" /><Relationship Id="rId938" Type="http://schemas.openxmlformats.org/officeDocument/2006/relationships/hyperlink" Target="https://advance.lexis.com/api/document?collection=cases-ca&amp;id=urn:contentItem:5F7T-XPW1-F1WF-M324-00000-00&amp;context=" TargetMode="External" /><Relationship Id="rId939" Type="http://schemas.openxmlformats.org/officeDocument/2006/relationships/hyperlink" Target="https://advance.lexis.com/api/document?collection=cases-ca&amp;id=urn:contentItem:5F7T-S7B1-FH4C-X3KR-00000-00&amp;context=" TargetMode="External" /><Relationship Id="rId94" Type="http://schemas.openxmlformats.org/officeDocument/2006/relationships/hyperlink" Target="https://advance.lexis.com/api/document?collection=cases-ca&amp;id=urn:contentItem:5F8P-SDD1-JFSV-G3BV-00000-00&amp;context=" TargetMode="External" /><Relationship Id="rId940" Type="http://schemas.openxmlformats.org/officeDocument/2006/relationships/hyperlink" Target="https://advance.lexis.com/api/document?collection=cases-ca&amp;id=urn:contentItem:5F7V-3DJ1-F30T-B3K1-00000-00&amp;context=" TargetMode="External" /><Relationship Id="rId941" Type="http://schemas.openxmlformats.org/officeDocument/2006/relationships/hyperlink" Target="https://advance.lexis.com/api/document?collection=cases-ca&amp;id=urn:contentItem:5F7T-S7F1-FJTD-G3C6-00000-00&amp;context=" TargetMode="External" /><Relationship Id="rId942" Type="http://schemas.openxmlformats.org/officeDocument/2006/relationships/header" Target="header136.xml" /><Relationship Id="rId943" Type="http://schemas.openxmlformats.org/officeDocument/2006/relationships/header" Target="header137.xml" /><Relationship Id="rId944" Type="http://schemas.openxmlformats.org/officeDocument/2006/relationships/footer" Target="footer136.xml" /><Relationship Id="rId945" Type="http://schemas.openxmlformats.org/officeDocument/2006/relationships/footer" Target="footer137.xml" /><Relationship Id="rId946" Type="http://schemas.openxmlformats.org/officeDocument/2006/relationships/header" Target="header138.xml" /><Relationship Id="rId947" Type="http://schemas.openxmlformats.org/officeDocument/2006/relationships/footer" Target="footer138.xml" /><Relationship Id="rId948" Type="http://schemas.openxmlformats.org/officeDocument/2006/relationships/hyperlink" Target="https://advance.lexis.com/api/document?collection=cases-ca&amp;id=urn:contentItem:5X70-16K1-JJ1H-X4XB-00000-00&amp;context=" TargetMode="External" /><Relationship Id="rId949" Type="http://schemas.openxmlformats.org/officeDocument/2006/relationships/hyperlink" Target="https://advance.lexis.com/api/document?collection=cases-ca&amp;id=urn:contentItem:5F7T-S7K1-F528-G2XC-00000-00&amp;context=" TargetMode="External" /><Relationship Id="rId95" Type="http://schemas.openxmlformats.org/officeDocument/2006/relationships/header" Target="header10.xml" /><Relationship Id="rId950" Type="http://schemas.openxmlformats.org/officeDocument/2006/relationships/hyperlink" Target="https://advance.lexis.com/api/document?collection=cases-ca&amp;id=urn:contentItem:5F7T-S7M1-F4W2-626V-00000-00&amp;context=" TargetMode="External" /><Relationship Id="rId951" Type="http://schemas.openxmlformats.org/officeDocument/2006/relationships/hyperlink" Target="https://advance.lexis.com/api/document?collection=cases-ca&amp;id=urn:contentItem:5K9P-92K1-F1H1-217H-00000-00&amp;context=" TargetMode="External" /><Relationship Id="rId952" Type="http://schemas.openxmlformats.org/officeDocument/2006/relationships/hyperlink" Target="https://advance.lexis.com/api/document?collection=cases-ca&amp;id=urn:contentItem:5F7T-S7M1-JJK6-S222-00000-00&amp;context=" TargetMode="External" /><Relationship Id="rId953" Type="http://schemas.openxmlformats.org/officeDocument/2006/relationships/hyperlink" Target="https://advance.lexis.com/api/document?collection=cases-ca&amp;id=urn:contentItem:5F8T-N3V1-FH4C-X20M-00000-00&amp;context=" TargetMode="External" /><Relationship Id="rId954" Type="http://schemas.openxmlformats.org/officeDocument/2006/relationships/hyperlink" Target="https://advance.lexis.com/api/document?collection=cases-ca&amp;id=urn:contentItem:5F7T-S7G1-JWR6-S1MK-00000-00&amp;context=" TargetMode="External" /><Relationship Id="rId955" Type="http://schemas.openxmlformats.org/officeDocument/2006/relationships/hyperlink" Target="https://advance.lexis.com/api/document?collection=cases-ca&amp;id=urn:contentItem:5F7T-S6S1-DXHD-G0S7-00000-00&amp;context=" TargetMode="External" /><Relationship Id="rId956" Type="http://schemas.openxmlformats.org/officeDocument/2006/relationships/hyperlink" Target="https://advance.lexis.com/api/document?collection=cases-ca&amp;id=urn:contentItem:5F7T-S6V1-JFKM-6133-00000-00&amp;context=" TargetMode="External" /><Relationship Id="rId957" Type="http://schemas.openxmlformats.org/officeDocument/2006/relationships/hyperlink" Target="https://advance.lexis.com/api/document?collection=cases-ca&amp;id=urn:contentItem:5F7T-S6T1-FJTD-G1NJ-00000-00&amp;context=" TargetMode="External" /><Relationship Id="rId958" Type="http://schemas.openxmlformats.org/officeDocument/2006/relationships/hyperlink" Target="https://advance.lexis.com/api/document?collection=cases-ca&amp;id=urn:contentItem:5F7T-S7C1-F30T-B283-00000-00&amp;context=" TargetMode="External" /><Relationship Id="rId959" Type="http://schemas.openxmlformats.org/officeDocument/2006/relationships/hyperlink" Target="https://advance.lexis.com/api/document?collection=cases-ca&amp;id=urn:contentItem:5P57-9BJ1-FCSB-S43T-00000-00&amp;context=" TargetMode="External" /><Relationship Id="rId96" Type="http://schemas.openxmlformats.org/officeDocument/2006/relationships/header" Target="header11.xml" /><Relationship Id="rId960" Type="http://schemas.openxmlformats.org/officeDocument/2006/relationships/hyperlink" Target="https://advance.lexis.com/api/document?collection=cases-ca&amp;id=urn:contentItem:5F7T-S7J1-JGBH-B29D-00000-00&amp;context=" TargetMode="External" /><Relationship Id="rId961" Type="http://schemas.openxmlformats.org/officeDocument/2006/relationships/hyperlink" Target="https://advance.lexis.com/api/document?collection=cases-ca&amp;id=urn:contentItem:5F7T-S7K1-JWXF-218V-00000-00&amp;context=" TargetMode="External" /><Relationship Id="rId962" Type="http://schemas.openxmlformats.org/officeDocument/2006/relationships/hyperlink" Target="https://advance.lexis.com/api/document?collection=cases-ca&amp;id=urn:contentItem:5F7T-S7N1-JWR6-S2G6-00000-00&amp;context=" TargetMode="External" /><Relationship Id="rId963" Type="http://schemas.openxmlformats.org/officeDocument/2006/relationships/hyperlink" Target="https://advance.lexis.com/api/document?collection=cases-ca&amp;id=urn:contentItem:5GCC-XVB1-FK0M-S50G-00000-00&amp;context=" TargetMode="External" /><Relationship Id="rId964" Type="http://schemas.openxmlformats.org/officeDocument/2006/relationships/hyperlink" Target="https://advance.lexis.com/api/document?collection=cases-ca&amp;id=urn:contentItem:5F7T-S7N1-F57G-S2DN-00000-00&amp;context=" TargetMode="External" /><Relationship Id="rId965" Type="http://schemas.openxmlformats.org/officeDocument/2006/relationships/hyperlink" Target="https://advance.lexis.com/api/document?collection=cases-ca&amp;id=urn:contentItem:5F7T-S771-JSJC-X05N-00000-00&amp;context=" TargetMode="External" /><Relationship Id="rId966" Type="http://schemas.openxmlformats.org/officeDocument/2006/relationships/hyperlink" Target="https://advance.lexis.com/api/document?collection=cases-ca&amp;id=urn:contentItem:5RTY-1871-JCBX-S0TB-00000-00&amp;context=" TargetMode="External" /><Relationship Id="rId967" Type="http://schemas.openxmlformats.org/officeDocument/2006/relationships/header" Target="header139.xml" /><Relationship Id="rId968" Type="http://schemas.openxmlformats.org/officeDocument/2006/relationships/header" Target="header140.xml" /><Relationship Id="rId969" Type="http://schemas.openxmlformats.org/officeDocument/2006/relationships/footer" Target="footer139.xml" /><Relationship Id="rId97" Type="http://schemas.openxmlformats.org/officeDocument/2006/relationships/footer" Target="footer10.xml" /><Relationship Id="rId970" Type="http://schemas.openxmlformats.org/officeDocument/2006/relationships/footer" Target="footer140.xml" /><Relationship Id="rId971" Type="http://schemas.openxmlformats.org/officeDocument/2006/relationships/header" Target="header141.xml" /><Relationship Id="rId972" Type="http://schemas.openxmlformats.org/officeDocument/2006/relationships/footer" Target="footer141.xml" /><Relationship Id="rId973" Type="http://schemas.openxmlformats.org/officeDocument/2006/relationships/hyperlink" Target="https://advance.lexis.com/api/document?collection=cases-ca&amp;id=urn:contentItem:5F7T-S781-F27X-616M-00000-00&amp;context=" TargetMode="External" /><Relationship Id="rId974" Type="http://schemas.openxmlformats.org/officeDocument/2006/relationships/hyperlink" Target="https://advance.lexis.com/api/document?collection=cases-ca&amp;id=urn:contentItem:5F7T-S781-F7G6-63PY-00000-00&amp;context=" TargetMode="External" /><Relationship Id="rId975" Type="http://schemas.openxmlformats.org/officeDocument/2006/relationships/hyperlink" Target="https://advance.lexis.com/api/document?collection=cases-ca&amp;id=urn:contentItem:5F7T-S711-JNY7-X33J-00000-00&amp;context=" TargetMode="External" /><Relationship Id="rId976" Type="http://schemas.openxmlformats.org/officeDocument/2006/relationships/hyperlink" Target="https://advance.lexis.com/api/document?collection=cases-ca&amp;id=urn:contentItem:5F7T-S6T1-JT99-216D-00000-00&amp;context=" TargetMode="External" /><Relationship Id="rId977" Type="http://schemas.openxmlformats.org/officeDocument/2006/relationships/hyperlink" Target="https://advance.lexis.com/api/document?collection=cases-ca&amp;id=urn:contentItem:5F7T-S6T1-FJTD-G1BM-00000-00&amp;context=" TargetMode="External" /><Relationship Id="rId978" Type="http://schemas.openxmlformats.org/officeDocument/2006/relationships/hyperlink" Target="https://advance.lexis.com/api/document?collection=cases-ca&amp;id=urn:contentItem:5F8T-N3T1-JFKM-6549-00000-00&amp;context=" TargetMode="External" /><Relationship Id="rId979" Type="http://schemas.openxmlformats.org/officeDocument/2006/relationships/hyperlink" Target="https://advance.lexis.com/api/document?collection=cases-ca&amp;id=urn:contentItem:5F7T-S6R1-DXWW-231D-00000-00&amp;context=" TargetMode="External" /><Relationship Id="rId98" Type="http://schemas.openxmlformats.org/officeDocument/2006/relationships/footer" Target="footer11.xml" /><Relationship Id="rId980" Type="http://schemas.openxmlformats.org/officeDocument/2006/relationships/hyperlink" Target="https://advance.lexis.com/api/document?collection=cases-ca&amp;id=urn:contentItem:5F7T-S6Y1-F4GK-M1WJ-00000-00&amp;context=" TargetMode="External" /><Relationship Id="rId981" Type="http://schemas.openxmlformats.org/officeDocument/2006/relationships/header" Target="header142.xml" /><Relationship Id="rId982" Type="http://schemas.openxmlformats.org/officeDocument/2006/relationships/header" Target="header143.xml" /><Relationship Id="rId983" Type="http://schemas.openxmlformats.org/officeDocument/2006/relationships/footer" Target="footer142.xml" /><Relationship Id="rId984" Type="http://schemas.openxmlformats.org/officeDocument/2006/relationships/footer" Target="footer143.xml" /><Relationship Id="rId985" Type="http://schemas.openxmlformats.org/officeDocument/2006/relationships/header" Target="header144.xml" /><Relationship Id="rId986" Type="http://schemas.openxmlformats.org/officeDocument/2006/relationships/footer" Target="footer144.xml" /><Relationship Id="rId987" Type="http://schemas.openxmlformats.org/officeDocument/2006/relationships/hyperlink" Target="https://advance.lexis.com/api/document?collection=cases-ca&amp;id=urn:contentItem:5F7T-S7J1-JYYX-625B-00000-00&amp;context=" TargetMode="External" /><Relationship Id="rId988" Type="http://schemas.openxmlformats.org/officeDocument/2006/relationships/hyperlink" Target="https://advance.lexis.com/api/document?collection=cases-ca&amp;id=urn:contentItem:5F7T-S7M1-JPP5-22SN-00000-00&amp;context=" TargetMode="External" /><Relationship Id="rId989" Type="http://schemas.openxmlformats.org/officeDocument/2006/relationships/hyperlink" Target="https://advance.lexis.com/api/document?collection=cases-ca&amp;id=urn:contentItem:5F7T-S761-JS5Y-B1G8-00000-00&amp;context=" TargetMode="External" /><Relationship Id="rId99" Type="http://schemas.openxmlformats.org/officeDocument/2006/relationships/header" Target="header12.xml" /><Relationship Id="rId990" Type="http://schemas.openxmlformats.org/officeDocument/2006/relationships/hyperlink" Target="https://advance.lexis.com/api/document?collection=cases-ca&amp;id=urn:contentItem:5F7T-S741-F528-G2J5-00000-00&amp;context=" TargetMode="External" /><Relationship Id="rId991" Type="http://schemas.openxmlformats.org/officeDocument/2006/relationships/hyperlink" Target="https://advance.lexis.com/api/document?collection=cases-ca&amp;id=urn:contentItem:5F7T-S7J1-JYYX-62HT-00000-00&amp;context=" TargetMode="External" /><Relationship Id="rId992" Type="http://schemas.openxmlformats.org/officeDocument/2006/relationships/hyperlink" Target="https://advance.lexis.com/api/document?collection=cases-ca&amp;id=urn:contentItem:5F7T-S7C1-JSRM-60TP-00000-00&amp;context=" TargetMode="External" /><Relationship Id="rId993" Type="http://schemas.openxmlformats.org/officeDocument/2006/relationships/hyperlink" Target="https://advance.lexis.com/api/document?collection=cases-ca&amp;id=urn:contentItem:5F7T-S7N1-F57G-S2HF-00000-00&amp;context=" TargetMode="External" /><Relationship Id="rId994" Type="http://schemas.openxmlformats.org/officeDocument/2006/relationships/hyperlink" Target="https://advance.lexis.com/api/document?collection=cases-ca&amp;id=urn:contentItem:5F7T-S7M1-JCRC-B1T2-00000-00&amp;context=" TargetMode="External" /><Relationship Id="rId995" Type="http://schemas.openxmlformats.org/officeDocument/2006/relationships/hyperlink" Target="https://advance.lexis.com/api/document?collection=cases-ca&amp;id=urn:contentItem:5F7T-S7F1-JK4W-M1CF-00000-00&amp;context=" TargetMode="External" /><Relationship Id="rId996" Type="http://schemas.openxmlformats.org/officeDocument/2006/relationships/hyperlink" Target="https://advance.lexis.com/api/document?collection=cases-ca&amp;id=urn:contentItem:5F7T-S7M1-DYMS-6201-00000-00&amp;context=" TargetMode="External" /><Relationship Id="rId997" Type="http://schemas.openxmlformats.org/officeDocument/2006/relationships/hyperlink" Target="https://advance.lexis.com/api/document?collection=cases-ca&amp;id=urn:contentItem:5F7T-S7N1-F06F-24BC-00000-00&amp;context=" TargetMode="External" /><Relationship Id="rId998" Type="http://schemas.openxmlformats.org/officeDocument/2006/relationships/hyperlink" Target="https://advance.lexis.com/api/document?collection=cases-ca&amp;id=urn:contentItem:5F7T-S7J1-JGBH-B2JY-00000-00&amp;context=" TargetMode="External" /><Relationship Id="rId999" Type="http://schemas.openxmlformats.org/officeDocument/2006/relationships/hyperlink" Target="https://advance.lexis.com/api/document?collection=cases-ca&amp;id=urn:contentItem:5F7T-S7B1-FH4C-X381-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Litton v. Braithwaite, [2006] B.C.J. No. 2633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115046707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