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7 -->
  <w:body>
    <w:p>
      <w:pPr>
        <w:rPr>
          <w:rFonts w:ascii="arial" w:eastAsia="arial" w:hAnsi="arial" w:cs="arial"/>
          <w:sz w:val="20"/>
          <w:lang w:val="en-US" w:eastAsia="en-US" w:bidi="ar-SA"/>
        </w:rPr>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 w:history="1">
        <w:r>
          <w:rPr>
            <w:rFonts w:ascii="arial" w:eastAsia="arial" w:hAnsi="arial" w:cs="arial"/>
            <w:b/>
            <w:bCs/>
            <w:i/>
            <w:color w:val="0077CC"/>
            <w:kern w:val="32"/>
            <w:sz w:val="28"/>
            <w:szCs w:val="32"/>
            <w:u w:val="single"/>
            <w:shd w:val="clear" w:color="auto" w:fill="FFFFFF"/>
            <w:lang w:val="en-US" w:eastAsia="en-US" w:bidi="ar-SA"/>
          </w:rPr>
          <w:t>Fillion (Guardian ad litem of) v. Balko, [2003] B.C.J. No. 621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Prince George,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Chamberlist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December 10,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17,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Prince George Registry No. 13101</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[2003] B.C.J. No. 621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2003 BCSC 419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121 A.C.W.S. (3d) 1058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Brandy Lee Marie Fillion, an infant by her Guardian ad litem, Charlene La Plante, plaintiff, and Corene Marless Balko and Carolyn Marie Balko,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25" style="position:absolute;z-index:2516582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0" w:name="Keywords"/>
      <w:bookmarkEnd w:id="0"/>
      <w:r>
        <w:rPr>
          <w:rFonts w:ascii="arial" w:eastAsia="arial" w:hAnsi="arial" w:cs="arial"/>
          <w:b/>
          <w:color w:val="000000"/>
          <w:sz w:val="20"/>
          <w:lang w:val="en-US" w:eastAsia="en-US" w:bidi="ar-SA"/>
        </w:rPr>
        <w:t xml:space="preserve">Damage awards — Injury and death — Leg injuries — Knee — Aggravation of pre-existing condition — General damage awards — Pain and suffering, loss of amenities and other nonpecuniary damages — Loss of earning capacity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Failure to take remedial action — Apportionment of fault.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 w:name="Case Summary"/>
            <w:bookmarkEnd w:id="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Fillion for an assessment of damages against the defendant Balko. This application resulted from a motor vehicle accident that occurred on December 28, 2000. Fillion, who was then 14 years old, was a passenger in a truck that was driven by her grandfather. They were struck by a truck driven by Balko as they proceeded through an intersection. Their truck spun around and struck a telephone pole. Fillion was not wearing a seatbelt. She was thrown against the dashboard when the truck hit the pole. She suffered injuries to her head, neck, low back and left shoulder. The impact aggravated a pre-existing condition of her left knee. Fillion suffered from headaches after the accident. Prior to the accident Fillion had been involved in basketball and volleyball. She was unable to participate in these activities after the accident because of the injury to her knee. Fillion's neck, lower back and left shoulder injuries were resolved within a few months. The headaches were expected to continue for three years. They were not debilitating but affected her twice a week. The aggravation of her pre-existing symptomatic left knee problem would likely continue into the future. This problem was not debilitating, and occurred after strenuous physical exercise. The problem was causally connected to the accident.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 w:name="Holdings of Court"/>
            <w:bookmarkEnd w:id="2"/>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Fillion was awarded nonpecuniary damages of $22,000. This award was reduced by 20 per cent. Fillion was contributorily negligent because she did not wear a seatbelt. Net damages were $18,000. No award was made for loss of opportunity or for loss of future earning capacity. Fillion failed to prove that she suffered a permanent impairment that limited her capacity to perform certain activities or that made her less capable to earn employment income. The knee problem caused by the accident was not permanent.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 w:name="Legislation Cited"/>
      <w:bookmarkEnd w:id="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26" style="position:absolute;z-index:2517094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18A.</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4" w:name="Counsel"/>
      <w:bookmarkEnd w:id="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27" style="position:absolute;z-index:2517606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 VanDelft, for the plaintiff. I. Henderson, for the defendants.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5" w:name="Judgment"/>
      <w:bookmarkEnd w:id="5"/>
      <w:r>
        <w:pict>
          <v:line id="_x0000_s1028" style="position:absolute;z-index:25181184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6" w:name="CHAMBERLIST J."/>
            <w:bookmarkEnd w:id="6"/>
            <w:r>
              <w:rPr>
                <w:rFonts w:ascii="arial" w:eastAsia="arial" w:hAnsi="arial" w:cs="arial"/>
                <w:b/>
                <w:color w:val="000000"/>
                <w:sz w:val="30"/>
                <w:lang w:val="en-US" w:eastAsia="en-US" w:bidi="ar-SA"/>
              </w:rPr>
              <w:t>CHAMBERLIST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application by the plaintiff, pursuant to R. 18A, to assess damages for personal injuries sustained by Brandy Lee Marie Fillion, an infant plaintiff; liability for the accident having been admitted by the defendants. Counsel are in agreement that damages should be assessed and that the assessment is suitable for a R. 18A determination.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This action arises as a result of a motor vehicle accident on December 28th, 2000. At the time, the 14 year old infant plaintiff was a front seat passenger in a pick-up truck driven by her grandfather. As her grandfather and the infant plaintiff were proceeding through the intersection at 20th Avenue and Spruce Street in the City of Prince George, Province of British Columbia, they were struck by a pick-up truck owned by Corene Marless Balko and driven by the defendant Carolyn Marie Balko. Although the impact was almost head on, it was more of a side T-bone impact. The pick-up truck in which Brandy was a passenger was impacted on the left front fender and grill causing it to spin around and strike a telephone pole. The infant plaintiff was not wearing a seatbelt. On the initial impact, the infant plaintiff was flung to her left towards her grandfather, seated in the driver's seat, and she made contact with him. As a result of the pick-up truck striking the telephone pole, the infant plaintiff was thrown forward into the dashboard of the truck. By the plaintiff's own words she definitely recalled her knees striking the dashboard "hard".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As a result of the accident the infant plaintiff suffered injuries to her head, neck, low back, and left shoulder; and aggravated a pre-existing condition of her left knee. Following the accident she was taken to the emergency room at the Prince George Regional Hospital where she was seen by Dr. Tony Eckersley. It was determined that there had been no loss of consciousness. When helped out of the car, she complained of a painful left knee, left elbow and left flank. Dr. Eckersley noted on his examination that the plaintiff was alert and that there was a full range of movement of her neck and she was non-tender in her cervical spine. A left arm bruise at mid-humerus was noted and she was tender at the left elbow. Examination of her left knee disclosed tenderness over the left kneecap.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following day she was seen at the Nechako Walk-in Clinic by Dr. Anne Pousette. Dr. Pousette reported Brandy complained of left arm and shoulder pain; neck pain, especially on the left; low back pain and increased pain in her left knee from the previous day. Although full movement was noted, her neck had spasm in the left sided muscles. There were no neurological complaints noted by Dr. Pousette. Dr. Pousette advised continuing the ibuprofen which she had been prescribed by Dr. Eckersley. Thereafter she was seen on January 2nd, 2001 by Dr. Tom Young.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She was next seen on January 11th, 2001, by Dr. Liam Higgins, her family physician, who again noted complaints of some pain in her neck, left arm and left knee. He reported that, on examination, her cervical spine had good range of movement in all directions and that examination of her left knee showed a full range of movement. He noted a slight bruise on her left knee. Examination of her back revealed slight tenderness in the upper thoracic spine. At that time she was advised by Dr. Higgins to continue with her regime which had been prescribed by Dr. Pousette on December 29th; namely, the continuation of the ibuprofen; ice to her knee, back, neck and chest; and, gentle movement of her neck and shoulders.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his February 20th, 2001, medical report Dr. Higgins concluded his report with the following diagnosis and prognosis: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Diagnosis - multiple soft tissue injuries especially of her cervical spine, thoracic spine, and of her left elbow and left knee. Prognosis - I feel that her prognosis is good. I have not seen her since that time and I assume she is doing ok. Certainly, none of these injuries should causes [sic] long term sequillae. She did have a problem with her left knee from a previous accident prior to this accident and her symptoms related to the previous accident may have been aggravated by this accident. All in all, however, I feel that both her short and long term prognosis are good.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 medical report of Janet Ames, MD, a specialist in sport medicine was also filed on behalf of the plaintiff. Her report is dated April 9th, 2001. She reports that she first saw the infant plaintiff on November 30th, 2000, regarding complaints concerning her left knee. This consultation pre-dates the motor vehicle accident we are dealing with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Upon being referred by Dr. Higgins following the motor vehicle accident, she assessed the infant plaintiff on January 8th and 29th, 2001. She noted Brandy to be complaining of low back pain at that time, but it was not assessed by Dr. Ames. She did not see the infant plaintiff after the January 29th, 2001 visit.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her report of April 9th, 2001, Dr. Ames referred to her first assessment on November 30th, 2000. At that time the infant plaintiff was complaining of left knee pain. Dr. Ames reports that she found it difficult at that time to make a diagnosis based on the plaintiff's history but concluded that her problem at that time to be mainly with her patello femoral joint and particularly the medial patellar retinaculum. She also noted pes anserinitis which she indicated was "quite common with this alignment". Dr. Ames prescribed Naprosyn 375 mg. twice a day for one month to settle the pain; gentle consistent activity; and, the use of good supportive shoes. She reported, in her opinion of April 9th, 2001, that x-rays taken at the time were interpreted as negative.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Thereafter, she saw the infant plaintiff on January 8th, 2001, relative to complaints related to this motor vehicle accident. She comments in her report that the plaintiff did not take the Naprosyn regularly as the plaintiff thought it was causing gastrointestinal upset and reported that Brandy had told her on that day that the left knee was improving until the date of the accident. She describes Brandy disclosing to her that she hit both her knees, quite hard, on the dashboard. Dr. Ames reports that on January 8th, 2001, the infant plaintiff advised her that everything was improving except that her left knee still hurt. When Dr. Ames examined the plaintiff on January 8th, 2001, she found there was a full range of motion to her left knee. She did, however, note mild soft tissue swelling, tenderness and a few fading bruises in the area of the medial patellar retinaculum. She also noted discomfort with stressing the patellofemoral joint. She found the physical findings to be the same on the left knee as the right knee although there was not as much tenderness to palpation or bruises on the right knee.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On January 8th, 2001, she concluded that the plaintiff had traumatic patellofemoral pain syndrome and that hitting her knees on the dashboard increased the pre-existing problem, which she found was likely patellofemoral pain. She advised the plaintiff to not participate in physical education classes but to ice her knees regularly.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plaintiff was again seen by Dr. Ames on January 29th, 2001. At that time the infant plaintiff was continuing to complain of anterior left knee pain, but although not participating in physical education was not icing her knees regularly as requested by Dr. Ames on January 8th, 2001. Dr. Ames reports the infant plaintiff commenting to her that her left knee was slowly improving. At that time Dr. Ames referred the infant plaintiff to physiotherapy. She again reports advising the infant plaintiff to ice her knees regularly.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At page 2 of her April 29, 2001 report, Dr. Ames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working diagnosis at this time is left patellofemoral pain syndrome that predates the motor vehicle accident of December 28th, 2000. On history from Brandy the left knee pain increased after the motor vehicle accident and when I saw her last on January 29th it was slowly improving. Brandy has significant underlying malalignment, which contributes to patellofemoral pain syndrome. The use of orthotics would improve the patellar tracking when the orthotics are worn. Prior to the motor vehicle accident orthotics were suggested however, there was a problem with coverage.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Relative to prognosis Dr. Ames said this at p. 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terms of prognosis, patellofemoral pain is usually worse through the teenage years and the normal course is for the pain to settle or at least become well-controlled with regular activity and strengthening. Brandy should recover from the traumatic patellofemoral pain syndrome related to the motor vehicle accident. This would normally take, at the longest, six months. If the pain persists and there are physical findings on examination to support an intra-articular problem further investigation may be required. This would likely take the form of an MRI. I do not anticipate referral to an orthopedic surgeon to consider an arthroscopy although this is a possibility. In terms of future treatment, she would benefit from semirigid orthotics to improve the patellar tracking and a commitment to a program of strengthening exercises and regular activity eg. swimming and cycling.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Dr. Higgins on October 5th, 2001 provided an updated medical-legal report with respect to the infant plaintiff. He reported attending on the infant plaintiff on February 26th, March 5th, May 14th and 28th, and September 10th, 2001. The March 5th attendance was relative to a diagnosis of tension headache, and on May 28th the infant plaintiff attended with further complaints of a severe headache, which was again diagnosed as being a tension headache and for which she was prescribed Tylenol #3. The September 10th, 2001, visit was also with respect to complaints of ongoing headaches. The September 19th, 2001, visit was again with respect to a complaint of her left knee swelling up after activity. Dr. Higgins again examined her knee but made no referral to an orthopedic surgeon. He reports that on September 19th, 2001, he could not find any major abnormality on examination and concluded it was safe just to keep an eye on her, but to limit her gym activities for a month or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With respect to subjective and objective complaints, Dr. Higgins stated, at para. 2 of his October 5th, 2001, medical/legal opinion: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 As far as her motor vehicle accident is concerned, it is possible some of her recent tension headaches could have been aggravated if she hit her head during the accident. There is no definite history of a head injury at the time. I feel that no further investigations of her headaches is [sic] required. Also, the only other complaint which she seems to have ongoing is her left knee and that has been referred to already. She probably has patello-femeral syndrome.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Under diagnosis and prognosis he opines: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diagnosis is chronic soft tissue injury of her knee, chronic headache possibly related to her MVA. The prognosis, in my opinion, is excellent.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her affidavit no. 2, the plaintiff advised of experiencing daily pain in her neck for approximately two months post-accident, and that by the end of February 2001 her neck pain had virtually disappeared and, according to her, had not re-occurred as of September 2002. She also indicated that the pain in her left elbow and shoulders, as well as the bruises on her left side, had resolved approximately two to three weeks after the accident. Relative to pain in her lower back, she says that this has gradually improved but when lifting heavier objects she still suffers pain to her lower back. With respect to her left knee, she says that she was unable to bend her knee and used crutches from time-to-time to walk. She was on crutches for approximately one week after returning to school in mid- January 2001 following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Prior to the accident, Brandy had been involved in basketball and volleyball. In March 2001, she tried out for her school basketball team but was unable to continue her first practice because she found her left knee would lock up or become swollen after any physical activity. She reports that since the accident the injury to her left knee has not resolved. She reports that in the summer of 2001 she attempted to ride a horse but after a few minutes of riding she determined that it was too painful to continue. In October of 2001, she attempted to try out for her school's rugby team but was unable to continue because her left knee would again lock up when she tried to run on it. She also advises that she is unable to play basketball or participate in a physical education class because of her left knee. In the summer of 2002, she again attempted to ride a horse but was unable to continue because of her left knee.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Since the accident, walking for extended periods of time will result in her knee becoming swollen. In May of 2002, an aunt showed her how to massage and manipulate her knee to unlock it and she finds that this has been working in reducing her knee pain. She reports feeling a snapping or popping type of sensation. She has a sensation of her bones inside her knee joint rubbing together and creating a friction that causes pain in her knee. She says that although she did suffer a left knee injury in September 2000, the pain in her left knee has increased dramatically since the accident. She reports that prior to this accident she was still able to run and participate in physical activities without significant left knee pain, but since the accident has been unable to do so. Following the accident she experienced headaches "almost every day for approximately four months" and that after the four month period she would be subject to headaches three or four times a week. In September 2002, she was still getting headaches but only once or twice per week. She describes the headaches as starting in the back of her head, on the left side, and moving behind her eyes. She would rest in the dark while the headaches subsided. The headaches would last anywhere between 15 minutes and two hours. She reports the headaches coming on when she is exposed to certain smells or experiences excessive noise, such as the noise of young children or heavy traffic sounds.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infant plaintiff was assessed by Dr. Gordon Robinson at the request of the defendant. Dr. Robinson is a specialist in neurology and headache disorders. He found there to be no apparent deficits in attention, language or memory of the infant plaintiff. He concluded, based on the history provided to him and a review of the medical history of the infant plaintiff, that it was probable that she struck the side of her head during the accident, and it was probable that she sustained a mild closed-head injury (concussion).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At the time of his report, being March 25, 2002, Dr. Robinson noted that her headaches have "gradually improved and are now less frequent and of quite brief duration". He noted, at the time of his interview on March 8, 2002, that she continued to complain of neck pain. Because her headaches are relatively short in duration, he did not feel that the use of drugs normally associated with migraine headaches would be helpful. He does, however, comment that a "trial of daily medication, such as amitriptyline (Elavil) may be useful". He comments that this drug can be helpful for recurrent headaches, sleep disruption and mood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his concluding remarks, Dr. Robinson comments: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believe that her headaches and neck pain will gradually improve. Headaches will become less frequent and severe over the next two to three years and beyond that time probably resolve or occur no more than once or twice in a month. It is possible that she will continue to have her current level of disability beyond this time, although I believe it probable that there will gradually be near or complete resolution.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Her complaints of neck pain may be more long lasting. This does not appear to have shown the improvement that her headaches have over the last year. I believe it possible that neck pain will continue to be present over the next two to three years and continue to bother her, particularly with sleep disruption. I believe it possible that there will be improvement or even resolution during this time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With respect to her work history, the plaintiff says that prior to the accident she did not have any formal work, but since the accident has been working part-time as a babysitter and anticipates working part-time in that vocation during the present school year. She reports that her intention is to become a licensed hairdresser.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infant plaintiff was born December 3rd, 1986, and at the time of this application for judgment was 16 years of age. She lives at home with her mother, Charlene LaPlante and is awaiting placement in a class for learning disabled students. The learning disability the infant plaintiff suffers from is unrelated to this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infant plaintiff has had difficulty at school, and problems with reading and math. I have concluded that her desire to be a hairdresser is realistic and is a vocation that would be available to her. Regretfully, she has not adhered to medical advice with respect to medication or the exercise regime recommended by Dr. Ames. I find that to some extent the recovery contemplated by Dr. Ames is taking place. I note from the plaintiff's examination for discovery, conducted September 5, 2001, some 8 1/2 months post-accident, she commented that her knee was not giving out as much then as it did before, although she does state that the knee, at the time, was swelling almost every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Also, at her examination for discovery, she was asked questions relative to icing her knee. She volunteered that she was told to ice her knee every three or four hours every day. When asked if she was doing that, she responded - "not lately, I haven't". When asked why, she answered - "I don't know".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necessary inference that I draw from this admission is that the pain in her left knee, as at September 2001, was not debilitating. Likewise, the infant plaintiff did not exercise in accordance with the regime recommended by her medical advisors when they recommended exercises, such as swimming. The plaintiff did not attend the swimming pool on a regular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plaintiff, although prescribed ibuprofen, was not taking them in September 2001 when she was examined for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Against this background, I know turn to an assessment of the plaintiff's damages as claimed.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As a result of the accident, the plaintiff claims non-pecuniary damages, loss of opportunity or loss of future earning capacity, and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The defence submits that any award for non-pecuniary damages should be reduced by the infant plaintiff's failure to mitigate, in that she did not follow medical advice, and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plaintiff in that she was not utilizing the seatbelt provided in the pick-up truck. In addition, the defence submits that the claim for loss of opportunity/loss of future earning capacity ought to be dismissed, or alternatively, a minor award made for this contingency. The defence further submits that the claim for special damages, representing a knee brace, ought to be dismissed as that recommendation from Dr. Ames was suggested prior to the motor vehicle accident to help the plaintiff's pre-existing problem with her left knee.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 am satisfied on all the evidence that the infant plaintiff suffered injuries to her head, neck, low back, left shoulder and knee. Her neck, low back and left shoulder resolved within a few months. However, she has continued to suffer from headaches since the date of her accident. Her headaches have, however, continued to persist, and on the best evidence available, will likely continue for the next two to three years. They are not debilitating headaches but will affect her once or twice per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Likewise, the aggravation of her pre-existing symptomatic left knee problem is likely to continue into the future. With respect to her left knee problems, I find that they are not debilitating and generally only occur after strenuous physical exercise. I do find, however, that the plaintiff's present condition with respect to her knee has, on the evidence, been causally connected to the motor vehicle accident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Recently, our Court of Appeal, in Hosak v. Hirst, </w:t>
      </w:r>
      <w:hyperlink r:id="rId11" w:history="1">
        <w:r>
          <w:rPr>
            <w:rFonts w:ascii="arial" w:eastAsia="arial" w:hAnsi="arial" w:cs="arial"/>
            <w:i/>
            <w:color w:val="0077CC"/>
            <w:sz w:val="20"/>
            <w:u w:val="single"/>
            <w:shd w:val="clear" w:color="auto" w:fill="FFFFFF"/>
            <w:lang w:val="en-US" w:eastAsia="en-US" w:bidi="ar-SA"/>
          </w:rPr>
          <w:t>[2003] B.C.J. No. 107</w:t>
        </w:r>
      </w:hyperlink>
      <w:r>
        <w:rPr>
          <w:rFonts w:ascii="arial" w:eastAsia="arial" w:hAnsi="arial" w:cs="arial"/>
          <w:color w:val="000000"/>
          <w:sz w:val="20"/>
          <w:lang w:val="en-US" w:eastAsia="en-US" w:bidi="ar-SA"/>
        </w:rPr>
        <w:t>, had occasion to comment on the legal principles that are applied when a tortious act materially contributes to a non-tortious condition. At p. 8 of that decision, Rowles J., speaking for a unanimous court, said this at para. 8 and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 In this case, the facts relevant to the issue of causation had to be determined with reference to the legal principles that are applied when a tortious act materially contributes to a non-tortious condition. Those principles were summarized in Athey v. Leonati, </w:t>
      </w:r>
      <w:hyperlink r:id="rId12"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commencing at p. 466, and are set out below:</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[13] Causation is established where the plaintiff proves to the civil standard on a balance of probabilities that the defendant caused or contributed to the injury: . .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 The general, but not conclusive, test for causation is the "but for" test, which requires the plaintiff to show that the injury would not have occurred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 .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 The "but for" test is unworkable in some circumstances, so the courts have recognized that causation is established where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"materially contributed" to the occurrence of the injury: . . . A contributing factor is material if it falls outside the de minimis range: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[17] It is not now necessary, nor has it ever been, for the plaintiff to establish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sole cause of the injury. There will frequently be a myriad of other background events which were necessary preconditions to the injury occurring. . . . As long as a defendant is part of the cause of an injury, the defendant is liable, even though his act alone was not enough to create the injury. There is no basis for a reduction of liability because of the existence of other preconditions: defendants remain liable for all injuries caused or contributed to by their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[18] This proposition has long been established in the jurisprudence. Lord Reid stated in McGhee v. National Coal Board, [1972] 3 All E.R. 1008, at p. 1010:</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It has always been the law that a pursuer succeeds if he can shew that fault of the defender caused or materially contributed to his injury. There may have been two separate causes but it is enough if one of the causes arose from fault of the defender. The pursuer does not have to prove that this cause would of itself have been enough to cause him injury.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[19] The law does not excuse a defendant from liability merely because other causal factors for which he is not responsible also helped produce the harm: . . . It is sufficient if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a cause of the harm: . .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 This position is entrenched in our law and there is no reason at present to depart from it. If the law permitted apportionment between tortious causes and non-tortious causes, a plaintiff could recover 100 percent of his or her loss only when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sole cause of the injuries. Since most events are the result of a complex set of causes, there will frequently be non-tortious causes contributing to the injury. Defendants could frequently and easily identify non-tortious contributing causes, so plaintiffs would rarely receive full compensation even after proving that the defendant caused the injury. This would be contrary to established principles and the essential purpose of tort law, which is to restore the plaintiff to the position he or she would have enjoyed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of Major J.]</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 The way in which a pre-existing condition may be relevant to the assessment of damages, as opposed to the issue of causation, is explained in Athey v. Leonati, supra, under the heading "The Thin Skull and 'Crumbling Skull' Doctrines", commencing at p. 473:</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[34] . . . The "crumbling skull" doctrine is an awkward label for a fairly simple idea. It is named after the well-known "thin skull" rule, which makes the tortfeasor liable for the plaintiff's injuries even if the injuries are unexpectedly severe owing to a pre-existing condition. The tortfeasor must take his or her victim as the tortfeasor finds the victim, and is therefore liable even though the plaintiff's losses are more dramatic than they would be for the average person.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[35] The co-called "crumbling skull" rule simply recognizes that the pre-existing condition was inherent in the plaintiff's "original position". The defendant need not put the plaintiff in a position better than his or her original position. The defendant is liable for the injuries caused, even if they are extreme, but need not compensate the plaintiff for any debilitating effects of the pre-existing condition which the plaintiff would have experienced anyway. The defendant is liable for the additional damage but not the pre-existing damage: . .. Likewise, if there is a measurable risk that the pre-existing condition would have detrimentally affected the plaintiff in the future, regardless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then this can be taken into account in reducing the overall award: . . . This is consistent with the general rule that the plaintiff must be returned to the position he would have been in, with all of its attendant risks and shortcomings, and not a better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of Major J.]</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At para. 70, and following, Justice Rowles had this to say: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[70] In my respectful view, the submissions made on behalf of the respondent to support the trial judge's conclusion on the issue of causation are not of assistance because the submissions fail to recognize that the respondent is liable for any injuries caused or contributed to by 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that the presence of other non-tortious contributing causes does not reduce the extent of the liability. In Athey v. Leonati, supra, Major J. made plain that our law does not permit apportionment between tortious causes and non-tortious causes. In this case, what the appellant had to establish was that the accident caused or contributed to the activation or aggravation of the pre-existing spondylosis. The appellant did not have to show that it was the only cause but that it was a cause. Once the burden of proof is met, causation must be accepted as a certainty.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[71] What the respondent's submissions fail to recognize is that loss cannot be apportioned according to the degree of causation where the loss is created by tortious and non-tortious causes.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[72] A basic principle of tort law is that the plaintiff must be placed in the position he or she would have been in absent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However, the defendant is not required to put the plaintiff in a position better than his or her original position. The defendant is liable for the injuries causes, even if they are extreme, but need not compensate the plaintiff for any debilitating effects of the pre-existing condition which the plaintiff would have experienced anyway. The defendant is liable for the additional damage but not the pre-existing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that case, the injuries sustained by the plaintiff, Hosak, were asymptomatic at the time of the accident. I appreciate that the problems the plaintiff had with her left knee, at the time of the accident in this case, were symptomatic as revealed by Dr. Higgins' clinical records, which indicate attendances by the plaintiff as early as July 21, 2000, when she was first complaining of a sore left knee. Another entry in the clinical records indicates that she attended on September 7, 2002, complaining of a painful left knee. At that time Dr. Higgins made a note of probable patello-femeral syndrome and prescribed physiotherapy.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Similar entries are noted in visits by the plaintiff to Dr. Higgins on October 10, October 30 and November 14, when continued references are made to her left knee.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Notwithstanding that the problems with the plaintiff's knee were symptomatic at the time of the accident, that alone is not sufficient to simply state that there is no causal connection between the motor vehicle accident and the pain now being experienced by the plaintiff. Her evidence, at discovery and in her affidavit material, has always been consistent with respect to the movement of her body following impact. I have already referred to her description of her body movement contained in her affidavit. That description is consistent with the evidence given at her discovery, where in answer to question 60: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419"/>
        <w:gridCol w:w="419"/>
        <w:gridCol w:w="523"/>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41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60</w:t>
            </w:r>
          </w:p>
        </w:tc>
        <w:tc>
          <w:tcPr>
            <w:tcW w:w="51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What happened to your body, did it get moved around?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When it happened I flew over towards my grandfather, and then we hit shoulders together and then my elbow hit the steering wheel and my left knee hit the dash and my whole body flew into the dash.</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fact remains that the defendant's actions aggravated an existing symptomatic problem in the plaintiff's left knee and those actions, I find, to fall outside the de minimis range referred to by Major J. in Athey v. Leonati.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There is no doubt, from a review of the photographs, that the impact was substantial.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The application of the "crumbling skull" rule set out by Major J. in Athey v. Leonati, supra, referred to by Rowles J.A., requires that I make an award for damages, which includes the aggravation of the knee injury, but not to the extent that the defendant is made liable for the pre-existing damage. At the same time, given that the condition was symptomatic at the time of the accident, I must take into account, because of the opinions expressed pre-accident by Dr. Ames and by Dr. Higgins, the risk that the pre-existing condition would have detrimentally affected the plaintiff in the future regardless of the plaintiff's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this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On this basis I have concluded that an appropriate award for non-pecuniary damages would have been $22,000.00 absent any finding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&amp; FAILURE TO MITIGATE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Generally, with respect to the failure to wear a seatbelt the defence must establish that the plaintiff was not wearing a seatbelt and was not justified in riding without one. Secondly, it has to show, by way of evidence, that the absence of a seatbelt caused or contributed to the injury. This is usually done by expert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Here, the plaintiff has acknowledged that she was not wearing a seatbelt. There was, however, no expert evidence tendered to establish that the absence of the seatbelt caused or contributed to the injury. Although generally the court will rely on expert evidence, it is not entirely necessary where common sense and the evidence clearly show that the use of a seatbelt would have, to some extent, precluded the damages suffered.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In Pharand (Next friend of) v. Banks, </w:t>
      </w:r>
      <w:hyperlink r:id="rId13" w:history="1">
        <w:r>
          <w:rPr>
            <w:rFonts w:ascii="arial" w:eastAsia="arial" w:hAnsi="arial" w:cs="arial"/>
            <w:i/>
            <w:color w:val="0077CC"/>
            <w:sz w:val="20"/>
            <w:u w:val="single"/>
            <w:shd w:val="clear" w:color="auto" w:fill="FFFFFF"/>
            <w:lang w:val="en-US" w:eastAsia="en-US" w:bidi="ar-SA"/>
          </w:rPr>
          <w:t>[1983] B.C.J. No. 1048</w:t>
        </w:r>
      </w:hyperlink>
      <w:r>
        <w:rPr>
          <w:rFonts w:ascii="arial" w:eastAsia="arial" w:hAnsi="arial" w:cs="arial"/>
          <w:color w:val="000000"/>
          <w:sz w:val="20"/>
          <w:lang w:val="en-US" w:eastAsia="en-US" w:bidi="ar-SA"/>
        </w:rPr>
        <w:t>, Vancouver Registry No. B811017, McLachlin J. (as she then was) had occasion to deal with the court's ability to make its own conclusions without expert evidence. At para. 19 of that decision, after referring to the evidence of an expert in reconstruction and his opinion, said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 I accept this conclusion as justified on the physical evidence of the accident. It also seems to me a matter of common sense to infer that the twisting or rotation which caused the fracture sustained by Miss Pharand occurred in the course of her being thrown from the passenger seat into the space between the two seats where she was found after the accident. Accordingly, I find that in all probability Miss Pharand would not have sustained the injury which she in fact sustained had she been wearing a lap-belt. I further find that had she been wearing a lap-belt, the injuries she sustained would in all probability have been insignificant.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In this case the evidence is clear from the admissions of the plaintiff regarding her body movement at impact. I find that had she been wearing a properly adjusted seatbelt neither her knees nor her body would have contacted the dashboard. I reject the plaintiff's argument that this was primarily a side-impact accident where the seatbelts would have not been of any assistance or little assistance in retarding the physical motions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In my view the failure to utilize the seatbelt was a major contributing factor to the principle injury sustained by the plaintiff, and in the circumstances, expert evidence is not required to substantiate the extent to which the use of the seatbelt would have lessened the plaintiff's injuries.</w:t>
      </w:r>
      <w:bookmarkStart w:id="7" w:name="Backward_fnref_fnr-1"/>
      <w:hyperlink w:anchor="Forward_fnref_fnr-1" w:history="1">
        <w:r>
          <w:rPr>
            <w:rFonts w:ascii="arial" w:eastAsia="arial" w:hAnsi="arial" w:cs="arial"/>
            <w:b/>
            <w:color w:val="BE161D"/>
            <w:sz w:val="20"/>
            <w:shd w:val="clear" w:color="auto" w:fill="FFFFFF"/>
            <w:vertAlign w:val="superscript"/>
            <w:lang w:val="en-US" w:eastAsia="en-US" w:bidi="ar-SA"/>
          </w:rPr>
          <w:t>1</w:t>
        </w:r>
      </w:hyperlink>
      <w:bookmarkEnd w:id="7"/>
      <w:r>
        <w:rPr>
          <w:rFonts w:ascii="arial" w:eastAsia="arial" w:hAnsi="arial" w:cs="arial"/>
          <w:color w:val="000000"/>
          <w:sz w:val="20"/>
          <w:lang w:val="en-US" w:eastAsia="en-US" w:bidi="ar-SA"/>
        </w:rPr>
        <w:t xml:space="preserve"> As a result, I find the plaintiff contributorily negligent and responsible for her injuries to the extent of 20% because of her failure to use the seatbelt available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FAILURE TO MITIGATE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onus is on the defendant to establish that the plaintiff's pain and suffering could have been reduced by following the recommendations of her treating health professionals. While the plaintiff did not adhere to the regime recommended, she did embark on a self-help therapy regime utilizing the methodology recommended by her unnamed aunt. No serious objection or concern was noted by the defence with respect to that therapy. In all of these circumstances, I find that the defence has not made out a failure to mitigate.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LOSS OF OPPORTUNITY/LOSS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infant plaintiff is currently aged 15 and is a grade 9 student. She aspires to be a hairdresser. Her struggles in school would indicate this to be a reasonable goal.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On the evidence, her headaches could possibly endure for another two to three years, when she would be 17 or 18 years old and in grade 11 or 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motor vehicle accident did not create her knee problems, which I found to have been aggravated by the motor vehicle accident. There is also no reason to believe that the plaintiff's knee problems are permanent.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In Pallos v. Insurance Co. of British Columbia</w:t>
      </w:r>
      <w:bookmarkStart w:id="8" w:name="Backward_fnref_fnr-2"/>
      <w:hyperlink w:anchor="Forward_fnref_fnr-2" w:history="1">
        <w:r>
          <w:rPr>
            <w:rFonts w:ascii="arial" w:eastAsia="arial" w:hAnsi="arial" w:cs="arial"/>
            <w:b/>
            <w:color w:val="BE161D"/>
            <w:sz w:val="20"/>
            <w:shd w:val="clear" w:color="auto" w:fill="FFFFFF"/>
            <w:vertAlign w:val="superscript"/>
            <w:lang w:val="en-US" w:eastAsia="en-US" w:bidi="ar-SA"/>
          </w:rPr>
          <w:t>2</w:t>
        </w:r>
      </w:hyperlink>
      <w:bookmarkEnd w:id="8"/>
      <w:r>
        <w:rPr>
          <w:rFonts w:ascii="arial" w:eastAsia="arial" w:hAnsi="arial" w:cs="arial"/>
          <w:color w:val="000000"/>
          <w:sz w:val="20"/>
          <w:lang w:val="en-US" w:eastAsia="en-US" w:bidi="ar-SA"/>
        </w:rPr>
        <w:t>, the court considered the evidential burden which falls on the plaintiff to succeed in obtaining damages under this head. At para. 23 and following, the court said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23 The plaintiff also contends, that in limiting his consideration to the test set out in Steenblok v. Funk, </w:t>
      </w:r>
      <w:hyperlink r:id="rId14" w:history="1">
        <w:r>
          <w:rPr>
            <w:rFonts w:ascii="arial" w:eastAsia="arial" w:hAnsi="arial" w:cs="arial"/>
            <w:i/>
            <w:color w:val="0077CC"/>
            <w:sz w:val="20"/>
            <w:u w:val="single"/>
            <w:shd w:val="clear" w:color="auto" w:fill="FFFFFF"/>
            <w:lang w:val="en-US" w:eastAsia="en-US" w:bidi="ar-SA"/>
          </w:rPr>
          <w:t>[1990] B.C.J. No. 1158</w:t>
        </w:r>
      </w:hyperlink>
      <w:r>
        <w:rPr>
          <w:rFonts w:ascii="arial" w:eastAsia="arial" w:hAnsi="arial" w:cs="arial"/>
          <w:color w:val="000000"/>
          <w:sz w:val="20"/>
          <w:lang w:val="en-US" w:eastAsia="en-US" w:bidi="ar-SA"/>
        </w:rPr>
        <w:t xml:space="preserve">, the trial judge overlooked another, and more appropriate, test in claims of this sort. Counsel referred us to Brown v. Golaiy, </w:t>
      </w:r>
      <w:hyperlink r:id="rId15" w:history="1">
        <w:r>
          <w:rPr>
            <w:rFonts w:ascii="arial" w:eastAsia="arial" w:hAnsi="arial" w:cs="arial"/>
            <w:i/>
            <w:color w:val="0077CC"/>
            <w:sz w:val="20"/>
            <w:u w:val="single"/>
            <w:shd w:val="clear" w:color="auto" w:fill="FFFFFF"/>
            <w:lang w:val="en-US" w:eastAsia="en-US" w:bidi="ar-SA"/>
          </w:rPr>
          <w:t>[1985] B.C.J. No. 31</w:t>
        </w:r>
      </w:hyperlink>
      <w:r>
        <w:rPr>
          <w:rFonts w:ascii="arial" w:eastAsia="arial" w:hAnsi="arial" w:cs="arial"/>
          <w:color w:val="000000"/>
          <w:sz w:val="20"/>
          <w:lang w:val="en-US" w:eastAsia="en-US" w:bidi="ar-SA"/>
        </w:rPr>
        <w:t xml:space="preserve"> (13 December 1985), Vancouver Reg. No. B831458 (S.C.); Andrews et al v. Grand &amp; Toy Alta. Ltd. et al., </w:t>
      </w:r>
      <w:hyperlink r:id="rId16"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xml:space="preserve">, </w:t>
      </w:r>
      <w:hyperlink r:id="rId16" w:history="1">
        <w:r>
          <w:rPr>
            <w:rFonts w:ascii="arial" w:eastAsia="arial" w:hAnsi="arial" w:cs="arial"/>
            <w:i/>
            <w:color w:val="0077CC"/>
            <w:sz w:val="20"/>
            <w:u w:val="single"/>
            <w:shd w:val="clear" w:color="auto" w:fill="FFFFFF"/>
            <w:lang w:val="en-US" w:eastAsia="en-US" w:bidi="ar-SA"/>
          </w:rPr>
          <w:t>83 D.L.R. (3d) 452</w:t>
        </w:r>
      </w:hyperlink>
      <w:r>
        <w:rPr>
          <w:rFonts w:ascii="arial" w:eastAsia="arial" w:hAnsi="arial" w:cs="arial"/>
          <w:color w:val="000000"/>
          <w:sz w:val="20"/>
          <w:lang w:val="en-US" w:eastAsia="en-US" w:bidi="ar-SA"/>
        </w:rPr>
        <w:t xml:space="preserve">, </w:t>
      </w:r>
      <w:hyperlink r:id="rId16" w:history="1">
        <w:r>
          <w:rPr>
            <w:rFonts w:ascii="arial" w:eastAsia="arial" w:hAnsi="arial" w:cs="arial"/>
            <w:i/>
            <w:color w:val="0077CC"/>
            <w:sz w:val="20"/>
            <w:u w:val="single"/>
            <w:shd w:val="clear" w:color="auto" w:fill="FFFFFF"/>
            <w:lang w:val="en-US" w:eastAsia="en-US" w:bidi="ar-SA"/>
          </w:rPr>
          <w:t>[1978] 1 W.W.R. 577</w:t>
        </w:r>
      </w:hyperlink>
      <w:r>
        <w:rPr>
          <w:rFonts w:ascii="arial" w:eastAsia="arial" w:hAnsi="arial" w:cs="arial"/>
          <w:color w:val="000000"/>
          <w:sz w:val="20"/>
          <w:lang w:val="en-US" w:eastAsia="en-US" w:bidi="ar-SA"/>
        </w:rPr>
        <w:t xml:space="preserve">, </w:t>
      </w:r>
      <w:hyperlink r:id="rId16" w:history="1">
        <w:r>
          <w:rPr>
            <w:rFonts w:ascii="arial" w:eastAsia="arial" w:hAnsi="arial" w:cs="arial"/>
            <w:i/>
            <w:color w:val="0077CC"/>
            <w:sz w:val="20"/>
            <w:u w:val="single"/>
            <w:shd w:val="clear" w:color="auto" w:fill="FFFFFF"/>
            <w:lang w:val="en-US" w:eastAsia="en-US" w:bidi="ar-SA"/>
          </w:rPr>
          <w:t>8 A.R. 182</w:t>
        </w:r>
      </w:hyperlink>
      <w:r>
        <w:rPr>
          <w:rFonts w:ascii="arial" w:eastAsia="arial" w:hAnsi="arial" w:cs="arial"/>
          <w:color w:val="000000"/>
          <w:sz w:val="20"/>
          <w:lang w:val="en-US" w:eastAsia="en-US" w:bidi="ar-SA"/>
        </w:rPr>
        <w:t xml:space="preserve">, </w:t>
      </w:r>
      <w:hyperlink r:id="rId16" w:history="1">
        <w:r>
          <w:rPr>
            <w:rFonts w:ascii="arial" w:eastAsia="arial" w:hAnsi="arial" w:cs="arial"/>
            <w:i/>
            <w:color w:val="0077CC"/>
            <w:sz w:val="20"/>
            <w:u w:val="single"/>
            <w:shd w:val="clear" w:color="auto" w:fill="FFFFFF"/>
            <w:lang w:val="en-US" w:eastAsia="en-US" w:bidi="ar-SA"/>
          </w:rPr>
          <w:t>3 C.C.L.T. 225</w:t>
        </w:r>
      </w:hyperlink>
      <w:r>
        <w:rPr>
          <w:rFonts w:ascii="arial" w:eastAsia="arial" w:hAnsi="arial" w:cs="arial"/>
          <w:color w:val="000000"/>
          <w:sz w:val="20"/>
          <w:lang w:val="en-US" w:eastAsia="en-US" w:bidi="ar-SA"/>
        </w:rPr>
        <w:t xml:space="preserve">, </w:t>
      </w:r>
      <w:hyperlink r:id="rId16" w:history="1">
        <w:r>
          <w:rPr>
            <w:rFonts w:ascii="arial" w:eastAsia="arial" w:hAnsi="arial" w:cs="arial"/>
            <w:i/>
            <w:color w:val="0077CC"/>
            <w:sz w:val="20"/>
            <w:u w:val="single"/>
            <w:shd w:val="clear" w:color="auto" w:fill="FFFFFF"/>
            <w:lang w:val="en-US" w:eastAsia="en-US" w:bidi="ar-SA"/>
          </w:rPr>
          <w:t>19 N.R. 50</w:t>
        </w:r>
      </w:hyperlink>
      <w:r>
        <w:rPr>
          <w:rFonts w:ascii="arial" w:eastAsia="arial" w:hAnsi="arial" w:cs="arial"/>
          <w:color w:val="000000"/>
          <w:sz w:val="20"/>
          <w:lang w:val="en-US" w:eastAsia="en-US" w:bidi="ar-SA"/>
        </w:rPr>
        <w:t xml:space="preserve">; Earnshaw v. Despins </w:t>
      </w:r>
      <w:hyperlink r:id="rId17" w:history="1">
        <w:r>
          <w:rPr>
            <w:rFonts w:ascii="arial" w:eastAsia="arial" w:hAnsi="arial" w:cs="arial"/>
            <w:i/>
            <w:color w:val="0077CC"/>
            <w:sz w:val="20"/>
            <w:u w:val="single"/>
            <w:shd w:val="clear" w:color="auto" w:fill="FFFFFF"/>
            <w:lang w:val="en-US" w:eastAsia="en-US" w:bidi="ar-SA"/>
          </w:rPr>
          <w:t>(1990), 45 B.C.L.R. (2d) 380</w:t>
        </w:r>
      </w:hyperlink>
      <w:r>
        <w:rPr>
          <w:rFonts w:ascii="arial" w:eastAsia="arial" w:hAnsi="arial" w:cs="arial"/>
          <w:color w:val="000000"/>
          <w:sz w:val="20"/>
          <w:lang w:val="en-US" w:eastAsia="en-US" w:bidi="ar-SA"/>
        </w:rPr>
        <w:t xml:space="preserve"> (C.A.); and Palmer v. Goodall </w:t>
      </w:r>
      <w:hyperlink r:id="rId18" w:history="1">
        <w:r>
          <w:rPr>
            <w:rFonts w:ascii="arial" w:eastAsia="arial" w:hAnsi="arial" w:cs="arial"/>
            <w:i/>
            <w:color w:val="0077CC"/>
            <w:sz w:val="20"/>
            <w:u w:val="single"/>
            <w:shd w:val="clear" w:color="auto" w:fill="FFFFFF"/>
            <w:lang w:val="en-US" w:eastAsia="en-US" w:bidi="ar-SA"/>
          </w:rPr>
          <w:t>(1991), 53 B.C.L.R. (2d) 44</w:t>
        </w:r>
      </w:hyperlink>
      <w:r>
        <w:rPr>
          <w:rFonts w:ascii="arial" w:eastAsia="arial" w:hAnsi="arial" w:cs="arial"/>
          <w:color w:val="000000"/>
          <w:sz w:val="20"/>
          <w:lang w:val="en-US" w:eastAsia="en-US" w:bidi="ar-SA"/>
        </w:rPr>
        <w:t xml:space="preserve"> (C.A.).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24 In addition to those cases cited by counsel, I would also refer to Kwei v. Boisclair </w:t>
      </w:r>
      <w:hyperlink r:id="rId19" w:history="1">
        <w:r>
          <w:rPr>
            <w:rFonts w:ascii="arial" w:eastAsia="arial" w:hAnsi="arial" w:cs="arial"/>
            <w:i/>
            <w:color w:val="0077CC"/>
            <w:sz w:val="20"/>
            <w:u w:val="single"/>
            <w:shd w:val="clear" w:color="auto" w:fill="FFFFFF"/>
            <w:lang w:val="en-US" w:eastAsia="en-US" w:bidi="ar-SA"/>
          </w:rPr>
          <w:t>(1991), 60 B.C.L.R. (2d) 393</w:t>
        </w:r>
      </w:hyperlink>
      <w:r>
        <w:rPr>
          <w:rFonts w:ascii="arial" w:eastAsia="arial" w:hAnsi="arial" w:cs="arial"/>
          <w:color w:val="000000"/>
          <w:sz w:val="20"/>
          <w:lang w:val="en-US" w:eastAsia="en-US" w:bidi="ar-SA"/>
        </w:rPr>
        <w:t xml:space="preserve"> (C.A.). There Mr. Justice Taggart quoted with approval from Brown v. Golaiy (supra) as follows (at. P. 399):</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means by which the value of the lost, or impaired, asset is to be assessed varies of course from case to case. Some of the considerations to take into account in making that assessment include whether:</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been rendered less capable overall from earning income from all types of employment;</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marketable or attractive as an employee to potential employers;</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lost the ability to take advantage of all job opportunities which might otherwise have been open to him, had he not been injured; and</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valuable to himself as a person capable of earning income in a competitive labour market.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25 In Palmer v. Goodall (supra) Madam Justice Southin said at p. 59:</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Because it is impairment that is being redressed, even a plaintiff who is apparently going to be able to earn as much as he could have earned if not injured or who, with retraining, on the balance of probabilities will be able to do so, is entitled to some compensation for the impairment. He is entitled to it because for the rest of his life some occupations will be closed to him and it is impossible to say that over his working life the impairment will not harm his income earning ability.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26 In Earnshaw v. Despins (supra) Madam Justice Southin said (at p. 399):</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my opinion, the true questions the jury must address in a claim such as this are:</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Has the plaintiff's earning capacity been impaired to any degree by his injuries?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so, what amount in the light of all the evidence should be awarded for that impairment?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Dickson J., as he then was, said in Andrews v. Grant &amp; Toy (Alta.) Ltd., </w:t>
      </w:r>
      <w:hyperlink r:id="rId16"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xml:space="preserve"> at 251:</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 . It is not loss of earnings but rather, loss of earning capacity for which compensation must be made . . . A capital asset has been lost: what was its value?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catastrophic injury cases, the whole of the capital asset is lost. But there may be much less serious injuries which cause permanent impairment although the loss cannot be determined with any degree of exactitude.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learned judge ought to have addressed the question as one of impairment and pointed out that there was evidence of a limitation on earning ability. The jury might well have rejected the plaintiff's inordinate claim but appreciated that there are jobs now closed to the plaintiff which, as he grew older, he might have chosen and given him something more for that and future care than slightly under $12,000.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As I have said, this difficulty with the charge was not raised by counsel for the plaintiff with the learned trial judge. Indeed, he did not raise it before 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What is required to be established by the plaintiff is some permanent impairment which has limited Ms. Fillion's capacity to perform certain activities or has rendered her less capable from earning income from all types of employment. On the authorities, the threshold is not great. There need only be a "real possibility" or a "substantial possibility" of such a future event. In this case, that low threshold has not been crossed by the plaintiff on the evidence before me. I therefore do not find any damages accruing to the plaintiff under this 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COSTS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The plaintiff was recommended a knee brace by Dr. Ames prior to the motor vehicle accident. It had a cost of approximately $1,000. Financial circumstances prevented her from obtaining this device. The defence submits that, as it was recommended prior to the accident, no allowance should be made for it in these reasons. I have found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contributed to the plaintiff's ongoing knee problems. It seems to me that there should be an award representing a contribution to the cost of a knee brace given that finding. I accordingly award $500 to the plaintiff for special damages relating to her obtaining a suitable knee brace.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In summary, the defendant is obligated to the plaintiff in the amounts of $22,000 representing non-pecuniary damages and $500 representing special damages, exclusive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These amounts shall be reduced by the sum of 20% representing the plaintiff's failure to wear a seatbelt; yielding total net damages in the amount of $18,000.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Unless the parties otherwise wish to address the issue of costs, the plaintiff shall have her costs on Scale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CHAMBERLIST J.</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r>
        <w:pict>
          <v:line id="_x0000_s1029" style="position:absolute;z-index:251860992" from="0,15pt" to="180pt,15pt" strokecolor="#bcbeb0" strokeweight="0.5pt">
            <v:stroke linestyle="single"/>
          </v:line>
        </w:pict>
      </w:r>
    </w:p>
    <w:p>
      <w:pPr>
        <w:rPr>
          <w:rFonts w:ascii="arial" w:eastAsia="arial" w:hAnsi="arial" w:cs="arial"/>
          <w:sz w:val="20"/>
          <w:lang w:val="en-US" w:eastAsia="en-US" w:bidi="ar-SA"/>
        </w:rPr>
      </w:pPr>
    </w:p>
    <w:p>
      <w:pPr>
        <w:spacing w:before="120" w:after="20" w:line="240" w:lineRule="atLeast"/>
        <w:ind w:left="720" w:hanging="360"/>
        <w:jc w:val="both"/>
        <w:rPr>
          <w:rFonts w:ascii="arial" w:eastAsia="arial" w:hAnsi="arial" w:cs="arial"/>
          <w:sz w:val="20"/>
          <w:lang w:val="en-US" w:eastAsia="en-US" w:bidi="ar-SA"/>
        </w:rPr>
      </w:pPr>
      <w:bookmarkStart w:id="9" w:name="Forward_fnref_fnr-1"/>
      <w:hyperlink w:anchor="Backward_fnref_fnr-1" w:history="1">
        <w:r>
          <w:rPr>
            <w:rFonts w:ascii="arial" w:eastAsia="arial" w:hAnsi="arial" w:cs="arial"/>
            <w:b/>
            <w:color w:val="BE161D"/>
            <w:sz w:val="18"/>
            <w:shd w:val="clear" w:color="auto" w:fill="FFFFFF"/>
            <w:lang w:val="en-US" w:eastAsia="en-US" w:bidi="ar-SA"/>
          </w:rPr>
          <w:t>1</w:t>
        </w:r>
      </w:hyperlink>
      <w:bookmarkEnd w:id="9"/>
      <w:r>
        <w:rPr>
          <w:rFonts w:ascii="arial" w:eastAsia="arial" w:hAnsi="arial" w:cs="arial"/>
          <w:sz w:val="20"/>
          <w:lang w:val="en-US" w:eastAsia="en-US" w:bidi="ar-SA"/>
        </w:rPr>
        <w:tab/>
      </w:r>
      <w:r>
        <w:rPr>
          <w:rFonts w:ascii="arial" w:eastAsia="arial" w:hAnsi="arial" w:cs="arial"/>
          <w:color w:val="6D6E71"/>
          <w:sz w:val="18"/>
          <w:lang w:val="en-US" w:eastAsia="en-US" w:bidi="ar-SA"/>
        </w:rPr>
        <w:t xml:space="preserve">Hill v. Winslow, </w:t>
      </w:r>
      <w:hyperlink r:id="rId20" w:history="1">
        <w:r>
          <w:rPr>
            <w:rFonts w:ascii="arial" w:eastAsia="arial" w:hAnsi="arial" w:cs="arial"/>
            <w:i/>
            <w:color w:val="0077CC"/>
            <w:sz w:val="18"/>
            <w:u w:val="single"/>
            <w:shd w:val="clear" w:color="auto" w:fill="FFFFFF"/>
            <w:lang w:val="en-US" w:eastAsia="en-US" w:bidi="ar-SA"/>
          </w:rPr>
          <w:t>[1987] B.C.J. No. 285</w:t>
        </w:r>
      </w:hyperlink>
      <w:r>
        <w:rPr>
          <w:rFonts w:ascii="arial" w:eastAsia="arial" w:hAnsi="arial" w:cs="arial"/>
          <w:color w:val="6D6E71"/>
          <w:sz w:val="18"/>
          <w:lang w:val="en-US" w:eastAsia="en-US" w:bidi="ar-SA"/>
        </w:rPr>
        <w:t>, 6 February 1987, Vancouver CA005061 (B.C.C.A.).</w:t>
      </w:r>
    </w:p>
    <w:p>
      <w:pPr>
        <w:spacing w:before="120" w:after="20" w:line="240" w:lineRule="atLeast"/>
        <w:ind w:left="720" w:hanging="360"/>
        <w:jc w:val="both"/>
        <w:rPr>
          <w:rFonts w:ascii="arial" w:eastAsia="arial" w:hAnsi="arial" w:cs="arial"/>
          <w:sz w:val="20"/>
          <w:lang w:val="en-US" w:eastAsia="en-US" w:bidi="ar-SA"/>
        </w:rPr>
      </w:pPr>
      <w:bookmarkStart w:id="10" w:name="Forward_fnref_fnr-2"/>
      <w:hyperlink w:anchor="Backward_fnref_fnr-2" w:history="1">
        <w:r>
          <w:rPr>
            <w:rFonts w:ascii="arial" w:eastAsia="arial" w:hAnsi="arial" w:cs="arial"/>
            <w:b/>
            <w:color w:val="BE161D"/>
            <w:sz w:val="18"/>
            <w:shd w:val="clear" w:color="auto" w:fill="FFFFFF"/>
            <w:lang w:val="en-US" w:eastAsia="en-US" w:bidi="ar-SA"/>
          </w:rPr>
          <w:t>2</w:t>
        </w:r>
      </w:hyperlink>
      <w:bookmarkEnd w:id="10"/>
      <w:r>
        <w:rPr>
          <w:rFonts w:ascii="arial" w:eastAsia="arial" w:hAnsi="arial" w:cs="arial"/>
          <w:sz w:val="20"/>
          <w:lang w:val="en-US" w:eastAsia="en-US" w:bidi="ar-SA"/>
        </w:rPr>
        <w:tab/>
      </w:r>
      <w:hyperlink r:id="rId21" w:history="1">
        <w:r>
          <w:rPr>
            <w:rFonts w:ascii="arial" w:eastAsia="arial" w:hAnsi="arial" w:cs="arial"/>
            <w:i/>
            <w:color w:val="0077CC"/>
            <w:sz w:val="18"/>
            <w:u w:val="single"/>
            <w:shd w:val="clear" w:color="auto" w:fill="FFFFFF"/>
            <w:lang w:val="en-US" w:eastAsia="en-US" w:bidi="ar-SA"/>
          </w:rPr>
          <w:t>[1995] B.C.J. No. 2</w:t>
        </w:r>
      </w:hyperlink>
      <w:r>
        <w:rPr>
          <w:rFonts w:ascii="arial" w:eastAsia="arial" w:hAnsi="arial" w:cs="arial"/>
          <w:color w:val="6D6E71"/>
          <w:sz w:val="18"/>
          <w:lang w:val="en-US" w:eastAsia="en-US" w:bidi="ar-SA"/>
        </w:rPr>
        <w:t>, DRS 95-04316, Vancouver Registry No. CA014230.</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30" style="position:absolute;z-index:2518999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2"/>
          <w:headerReference w:type="default" r:id="rId23"/>
          <w:footerReference w:type="even" r:id="rId24"/>
          <w:footerReference w:type="default" r:id="rId25"/>
          <w:headerReference w:type="first" r:id="rId26"/>
          <w:footerReference w:type="first" r:id="rId2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28" w:history="1">
        <w:r>
          <w:rPr>
            <w:rFonts w:ascii="arial" w:eastAsia="arial" w:hAnsi="arial" w:cs="arial"/>
            <w:b/>
            <w:bCs/>
            <w:i/>
            <w:color w:val="0077CC"/>
            <w:kern w:val="32"/>
            <w:sz w:val="28"/>
            <w:szCs w:val="32"/>
            <w:u w:val="single"/>
            <w:shd w:val="clear" w:color="auto" w:fill="FFFFFF"/>
            <w:lang w:val="en-US" w:eastAsia="en-US" w:bidi="ar-SA"/>
          </w:rPr>
          <w:t>Hixon (Guardian ad litem of) v. Roberts, [2003] B.C.J. No. 1328</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Prince George,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Parrett J.</w:t>
      </w:r>
    </w:p>
    <w:p>
      <w:pPr>
        <w:spacing w:before="120" w:line="260" w:lineRule="atLeast"/>
        <w:jc w:val="center"/>
        <w:rPr>
          <w:lang w:val="en-US" w:eastAsia="en-US" w:bidi="ar-SA"/>
        </w:rPr>
      </w:pPr>
      <w:r>
        <w:rPr>
          <w:rFonts w:ascii="arial" w:eastAsia="arial" w:hAnsi="arial" w:cs="arial"/>
          <w:color w:val="000000"/>
          <w:sz w:val="20"/>
          <w:lang w:val="en-US" w:eastAsia="en-US" w:bidi="ar-SA"/>
        </w:rPr>
        <w:t>Heard: May 20 - 22, 2003.</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June 5, 2003.</w:t>
      </w:r>
    </w:p>
    <w:p>
      <w:pPr>
        <w:spacing w:before="120" w:line="260" w:lineRule="atLeast"/>
        <w:jc w:val="center"/>
        <w:rPr>
          <w:lang w:val="en-US" w:eastAsia="en-US" w:bidi="ar-SA"/>
        </w:rPr>
      </w:pPr>
      <w:r>
        <w:rPr>
          <w:rFonts w:ascii="arial" w:eastAsia="arial" w:hAnsi="arial" w:cs="arial"/>
          <w:color w:val="000000"/>
          <w:sz w:val="20"/>
          <w:lang w:val="en-US" w:eastAsia="en-US" w:bidi="ar-SA"/>
        </w:rPr>
        <w:t>Prince George Registry No. 26418</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[2003] B.C.J. No. 1328</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2003 BCSC 874</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39 M.V.R. (4th) 142</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123 A.C.W.S. (3d) 1168</w:t>
      </w:r>
    </w:p>
    <w:p>
      <w:pPr>
        <w:spacing w:before="120" w:line="260" w:lineRule="atLeast"/>
        <w:rPr>
          <w:lang w:val="en-US" w:eastAsia="en-US" w:bidi="ar-SA"/>
        </w:rPr>
      </w:pPr>
      <w:r>
        <w:rPr>
          <w:rFonts w:ascii="arial" w:eastAsia="arial" w:hAnsi="arial" w:cs="arial"/>
          <w:color w:val="000000"/>
          <w:sz w:val="20"/>
          <w:lang w:val="en-US" w:eastAsia="en-US" w:bidi="ar-SA"/>
        </w:rPr>
        <w:t>Between Helen Lyn Hixon-Gause as Guardian ad litem of Blaine Jacob Hixon, plaintiff, and Mary Roberts, defendant</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(57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031" style="position:absolute;z-index:251659264"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11" w:name="Keywords_0"/>
      <w:bookmarkEnd w:id="11"/>
      <w:r>
        <w:rPr>
          <w:rFonts w:ascii="arial" w:eastAsia="arial" w:hAnsi="arial" w:cs="arial"/>
          <w:b/>
          <w:color w:val="000000"/>
          <w:sz w:val="20"/>
          <w:lang w:val="en-US" w:eastAsia="en-US" w:bidi="ar-SA"/>
        </w:rPr>
        <w:t xml:space="preserve">Torts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 pedestrians and bicyclists — Bicycle, being overtaken — Bicycle, standard of care of rider — Children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of — Motor vehicle, standard of care of driver.</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12" w:name="Case Summary_0"/>
            <w:bookmarkEnd w:id="12"/>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Action by Hixon against Roberts for injuries sustained in a motor vehicle accident. The accident occurred in 1993 when Hixon was 10 years old. Hixon was riding his bicycle when he was struck by a vehicle driven by Roberts in the same direction. Hixon sustained a skull fracture. He had no recollection of the accident. Roberts testified that she saw Hixon weaving from side to side, then Hixon drove his bicycle into a driveway. She accelerated and moved to her left to go by. At this point Hixon drove to his left and struck the side of her car. However, Roberts had given a statement to the police four days after the accident in which she did not mention anything about Hixon going into a driveway before she attempted to pass him. She also did not mention the driveway when she was tried under the Motor Vehicle Act in 1993 and at her examination for discovery in 1995. Hixon had lived in six foster homes before the accident. He lived with his uncle and grandmother at the time of the collision. He had been taught the rules of the road and some elements of road safety. </w:t>
            </w:r>
            <w:r>
              <w:rPr>
                <w:lang w:val="en-US" w:eastAsia="en-US" w:bidi="ar-SA"/>
              </w:rPr>
              <w:cr/>
            </w:r>
          </w:p>
          <w:p>
            <w:pPr>
              <w:spacing w:before="120" w:line="260" w:lineRule="atLeast"/>
              <w:ind w:left="240"/>
              <w:jc w:val="both"/>
              <w:rPr>
                <w:lang w:val="en-US" w:eastAsia="en-US" w:bidi="ar-SA"/>
              </w:rPr>
            </w:pPr>
            <w:bookmarkStart w:id="13" w:name="Holdings of Court_0"/>
            <w:bookmarkEnd w:id="13"/>
            <w:r>
              <w:rPr>
                <w:rFonts w:ascii="arial" w:eastAsia="arial" w:hAnsi="arial" w:cs="arial"/>
                <w:color w:val="000000"/>
                <w:sz w:val="20"/>
                <w:lang w:val="en-US" w:eastAsia="en-US" w:bidi="ar-SA"/>
              </w:rPr>
              <w:t>HELD: Action allowed.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Roberts was 90 per cent liable for the accident. Hixon was liable for the balance. He was capable of being negligent. Hixon failed to take reasonable precautions. However, Roberts was aware that Hixon was not paying attention when she approached him. She had an obligation to take special precautions for the safety of a child whose inattention to his own safety was patently apparent. She failed to immediately reduce her speed so as to be able to take evasive action. Roberts's trial testimony was rejected. The court found that she drove at a speed of 57 kilometres per hour and only moved left at the last minute. Roberts had to bear most of the fault for this anticipated situation. </w:t>
            </w:r>
            <w:r>
              <w:rPr>
                <w:lang w:val="en-US" w:eastAsia="en-US" w:bidi="ar-SA"/>
              </w:rPr>
              <w:cr/>
            </w:r>
          </w:p>
          <w:p>
            <w:pPr>
              <w:rPr>
                <w:lang w:val="en-US" w:eastAsia="en-US" w:bidi="ar-SA"/>
              </w:rPr>
            </w:pPr>
          </w:p>
        </w:tc>
      </w:tr>
    </w:tbl>
    <w:p>
      <w:pPr>
        <w:jc w:val="both"/>
        <w:rPr>
          <w:lang w:val="en-US" w:eastAsia="en-US" w:bidi="ar-SA"/>
        </w:rPr>
      </w:pPr>
      <w:bookmarkStart w:id="14" w:name="Legislation Cited_0"/>
      <w:bookmarkEnd w:id="14"/>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lang w:val="en-US" w:eastAsia="en-US" w:bidi="ar-SA"/>
        </w:rPr>
      </w:pPr>
      <w:r>
        <w:pict>
          <v:line id="_x0000_s1032" style="position:absolute;z-index:251710464"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Motor Vehicle Act, s. 161.</w:t>
      </w:r>
      <w:r>
        <w:rPr>
          <w:lang w:val="en-US" w:eastAsia="en-US" w:bidi="ar-SA"/>
        </w:rPr>
        <w:cr/>
      </w:r>
    </w:p>
    <w:p>
      <w:pPr>
        <w:keepNext/>
        <w:spacing w:before="240" w:line="340" w:lineRule="atLeast"/>
        <w:rPr>
          <w:lang w:val="en-US" w:eastAsia="en-US" w:bidi="ar-SA"/>
        </w:rPr>
      </w:pPr>
      <w:bookmarkStart w:id="15" w:name="Counsel_0"/>
      <w:bookmarkEnd w:id="15"/>
      <w:r>
        <w:rPr>
          <w:rFonts w:ascii="arial" w:eastAsia="arial" w:hAnsi="arial" w:cs="arial"/>
          <w:b/>
          <w:color w:val="000000"/>
          <w:sz w:val="28"/>
          <w:lang w:val="en-US" w:eastAsia="en-US" w:bidi="ar-SA"/>
        </w:rPr>
        <w:t>Counsel</w:t>
      </w:r>
    </w:p>
    <w:p>
      <w:pPr>
        <w:spacing w:line="60" w:lineRule="exact"/>
        <w:rPr>
          <w:lang w:val="en-US" w:eastAsia="en-US" w:bidi="ar-SA"/>
        </w:rPr>
      </w:pPr>
      <w:r>
        <w:pict>
          <v:line id="_x0000_s1033" style="position:absolute;z-index:251761664"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J.R. Leverman, for the plaintiff. J.A. Horne, Q.C., for the defendant.</w:t>
      </w:r>
      <w:r>
        <w:rPr>
          <w:lang w:val="en-US" w:eastAsia="en-US" w:bidi="ar-SA"/>
        </w:rPr>
        <w:cr/>
      </w:r>
    </w:p>
    <w:p>
      <w:pPr>
        <w:spacing w:after="240"/>
        <w:rPr>
          <w:lang w:val="en-US" w:eastAsia="en-US" w:bidi="ar-SA"/>
        </w:rPr>
      </w:pPr>
      <w:bookmarkStart w:id="16" w:name="Judgment_0"/>
      <w:bookmarkEnd w:id="16"/>
      <w:r>
        <w:pict>
          <v:line id="_x0000_s1034" style="position:absolute;z-index:251812864"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0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17" w:name="PARRETT J."/>
            <w:bookmarkEnd w:id="17"/>
            <w:r>
              <w:rPr>
                <w:rFonts w:ascii="arial" w:eastAsia="arial" w:hAnsi="arial" w:cs="arial"/>
                <w:b/>
                <w:color w:val="000000"/>
                <w:sz w:val="30"/>
                <w:lang w:val="en-US" w:eastAsia="en-US" w:bidi="ar-SA"/>
              </w:rPr>
              <w:t>PARRETT J.</w:t>
            </w:r>
          </w:p>
        </w:tc>
      </w:tr>
    </w:tbl>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INTRODUCTION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August 13, 1993, at about 12:20 p.m., the plaintiff, then 10 years of age, was riding a bicycle in a westerly direction on Loop Road in Vanderhoof, B.C. He was on his way to swimming lessons which were being held at a private residence.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plaintiff's bicycle was struck by a motor vehicle, owned and operated by the defendant, Mary Roberts, which was travelling in the same direction. As a result, the plaintiff suffered a skull fracture and other injuries.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present trial involves only the issue of liability. The plaintiff has now achieved his majority and is now an adult and capable of proceeding with the present action on his own.</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BACKGROUND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On August 13, 1993, just after 12:00 noon, the plaintiff, then 10 years of age, was riding a bicycle west on Loop Road in Vanderhoof. It was a bright, sunny day and the road was bare and dry. Loop Road, at the location where the collision occurred, is straight and level and visibility extends for a considerable distance to the east as one approaches the scene of the collision.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Agnes Gunther, who lives in the immediate area, was returning home from work when she saw the plaintiff ahead of her at a location approximately a half a kilometre from her residence.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She described the plaintiff as riding along, weaving from side-to-side in the westbound lane as though in slow motion. As she approached the young boy from behind she slowed her car right down, moved over to the left lane and passed him, pulling into her residence. Ms. Gunther went into her house and to the kitchen where she set about making coffee.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Through her kitchen window she saw the plaintiff riding his bicycle, doing the same slow weaving she had observed, and then saw Mary Roberts' car at what she thought was about the speed limit. Ms. Gunther then heard a honk and a screech, but did not observe the collision.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Mary Roberts testified that she was returning home from church with her four children when she saw the plaintiff some distance ahead of her. She initially estimated the distance at a couple of hundred feet.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When she first saw the boy she indicated she was travelling at the speed limit of 60 kph and that the bicycle was weaving between the shoulder on the right hand side and the centre line. Ms. Roberts testified that she was concerned and began to slow as she approached, sounding her horn twice. When she saw no indication he was aware of her presence, she testified that she laid on the horn two or three car lengths back.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Ms. Roberts then testified that the plaintiff rode his bicycle over to the shoulder and off into a driveway that was located there, at which point she accelerated and moved to her left to go by. She testified that at this point the plaintiff moved back to his left and struck the side of her car.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Ms. Roberts, in chief, testified that in her view, until the plaintiff pulled off the road into the driveway, she didn't dare pass him.</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CREDIBILITY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 have little doubt that this was a traumatic event for Ms. Roberts and that the court proceedings that followed were also traumatic. In the present case the plaintiff, as a result of his injuries, has no effective recollection of the events. Those events took place almost a decade ago. In light of the submissions it is necessary to examine with some care the evidence given by Ms. Roberts.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During the course of her evidence she testified that as she neared the plaintiff she slowed to "a near standstill" until he pulled off the road into the driveway.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Ms. Roberts was confronted with the statement she gave to Cst. Roberge four days after the accident, on August 17, 1993. The initial part of this statement which she read over then initialled and signed begins: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lang w:val="en-US" w:eastAsia="en-US" w:bidi="ar-SA"/>
              </w:rPr>
            </w:pPr>
            <w:r>
              <w:rPr>
                <w:lang w:val="en-US" w:eastAsia="en-US" w:bidi="ar-SA"/>
              </w:rPr>
              <w:br/>
            </w:r>
          </w:p>
        </w:tc>
        <w:tc>
          <w:tcPr>
            <w:tcW w:w="512" w:type="dxa"/>
            <w:tcBorders>
              <w:bottom w:val="nil"/>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lang w:val="en-US" w:eastAsia="en-US" w:bidi="ar-SA"/>
              </w:rPr>
            </w:pPr>
            <w:r>
              <w:rPr>
                <w:lang w:val="en-US" w:eastAsia="en-US" w:bidi="ar-SA"/>
              </w:rPr>
              <w:br/>
            </w:r>
          </w:p>
        </w:tc>
        <w:tc>
          <w:tcPr>
            <w:tcW w:w="7885" w:type="dxa"/>
            <w:tcBorders>
              <w:bottom w:val="nil"/>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Mary last Friday, August 13, 1993 at approximately 12:20 p.m. you were the driver of a car involved in an accident. Please tell me what happened?</w:t>
            </w:r>
          </w:p>
        </w:tc>
        <w:tc>
          <w:tcPr>
            <w:tcW w:w="1024" w:type="dxa"/>
            <w:tcBorders>
              <w:bottom w:val="nil"/>
            </w:tcBorders>
            <w:tcMar>
              <w:top w:w="100" w:type="dxa"/>
              <w:bottom w:w="0" w:type="dxa"/>
            </w:tcMar>
            <w:vAlign w:val="top"/>
          </w:tcPr>
          <w:p>
            <w:pPr>
              <w:rPr>
                <w:lang w:val="en-US" w:eastAsia="en-US" w:bidi="ar-SA"/>
              </w:rPr>
            </w:pPr>
            <w:r>
              <w:rPr>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lang w:val="en-US" w:eastAsia="en-US" w:bidi="ar-SA"/>
              </w:rPr>
            </w:pPr>
            <w:r>
              <w:rPr>
                <w:lang w:val="en-US" w:eastAsia="en-US" w:bidi="ar-SA"/>
              </w:rPr>
              <w:br/>
            </w:r>
          </w:p>
        </w:tc>
        <w:tc>
          <w:tcPr>
            <w:tcW w:w="512" w:type="dxa"/>
            <w:tcBorders>
              <w:bottom w:val="nil"/>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lang w:val="en-US" w:eastAsia="en-US" w:bidi="ar-SA"/>
              </w:rPr>
            </w:pPr>
            <w:r>
              <w:rPr>
                <w:lang w:val="en-US" w:eastAsia="en-US" w:bidi="ar-SA"/>
              </w:rPr>
              <w:br/>
            </w:r>
          </w:p>
        </w:tc>
        <w:tc>
          <w:tcPr>
            <w:tcW w:w="7885" w:type="dxa"/>
            <w:tcBorders>
              <w:bottom w:val="nil"/>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I was driving along when I saw a kid on a bike ahead that was swerving back and forth. When I got a little closer I realized he wasn't going to move over, so I honked. I'm not sure if it was 2 or 3 times I honked, but he didn't seem to hear me. When he went to the right, I decided to pass on the left. I was just starting to pull into the left lane when I saw he started to come back to the left. The bike leaned right over as he moved left. As I saw this I hit the brakes. While I was skidding I felt the thud on the side of the car.</w:t>
            </w:r>
          </w:p>
        </w:tc>
        <w:tc>
          <w:tcPr>
            <w:tcW w:w="1024" w:type="dxa"/>
            <w:tcBorders>
              <w:bottom w:val="nil"/>
            </w:tcBorders>
            <w:tcMar>
              <w:top w:w="100" w:type="dxa"/>
              <w:bottom w:w="0" w:type="dxa"/>
            </w:tcMar>
            <w:vAlign w:val="top"/>
          </w:tcPr>
          <w:p>
            <w:pPr>
              <w:rPr>
                <w:lang w:val="en-US" w:eastAsia="en-US" w:bidi="ar-SA"/>
              </w:rPr>
            </w:pPr>
            <w:r>
              <w:rPr>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512"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lang w:val="en-US" w:eastAsia="en-US" w:bidi="ar-SA"/>
              </w:rPr>
            </w:pPr>
            <w:r>
              <w:rPr>
                <w:lang w:val="en-US" w:eastAsia="en-US" w:bidi="ar-SA"/>
              </w:rPr>
              <w:br/>
            </w:r>
          </w:p>
        </w:tc>
        <w:tc>
          <w:tcPr>
            <w:tcW w:w="7885"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How far behind the bike were you when you decided to pass?</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lang w:val="en-US" w:eastAsia="en-US" w:bidi="ar-SA"/>
              </w:rPr>
            </w:pPr>
            <w:r>
              <w:rPr>
                <w:lang w:val="en-US" w:eastAsia="en-US" w:bidi="ar-SA"/>
              </w:rPr>
              <w:br/>
            </w:r>
          </w:p>
        </w:tc>
        <w:tc>
          <w:tcPr>
            <w:tcW w:w="717" w:type="dxa"/>
            <w:tcBorders>
              <w:bottom w:val="nil"/>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I couldn't tell you.</w:t>
            </w:r>
          </w:p>
        </w:tc>
        <w:tc>
          <w:tcPr>
            <w:tcW w:w="1024" w:type="dxa"/>
            <w:tcBorders>
              <w:bottom w:val="nil"/>
            </w:tcBorders>
            <w:tcMar>
              <w:top w:w="100" w:type="dxa"/>
              <w:bottom w:w="0" w:type="dxa"/>
            </w:tcMar>
            <w:vAlign w:val="top"/>
          </w:tcPr>
          <w:p>
            <w:pPr>
              <w:rPr>
                <w:lang w:val="en-US" w:eastAsia="en-US" w:bidi="ar-SA"/>
              </w:rPr>
            </w:pPr>
            <w:r>
              <w:rPr>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717"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How fast were you going before you decided to pass?</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512"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lang w:val="en-US" w:eastAsia="en-US" w:bidi="ar-SA"/>
              </w:rPr>
            </w:pPr>
            <w:r>
              <w:rPr>
                <w:lang w:val="en-US" w:eastAsia="en-US" w:bidi="ar-SA"/>
              </w:rPr>
              <w:br/>
            </w:r>
          </w:p>
        </w:tc>
        <w:tc>
          <w:tcPr>
            <w:tcW w:w="7885"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At the passing time I'm not sure. I'm very paranoid about pedestrians, and a truck that seemed to be speeding came at me and I looked at my speedometer 60 KPH.</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717"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Did you speed up to pass?</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512"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lang w:val="en-US" w:eastAsia="en-US" w:bidi="ar-SA"/>
              </w:rPr>
            </w:pPr>
            <w:r>
              <w:rPr>
                <w:lang w:val="en-US" w:eastAsia="en-US" w:bidi="ar-SA"/>
              </w:rPr>
              <w:br/>
            </w:r>
          </w:p>
        </w:tc>
        <w:tc>
          <w:tcPr>
            <w:tcW w:w="7885"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I wouldn't argue that at all. I only remember slamming the brakes on.</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717"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Why did you decide to pass the boy?</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512"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lang w:val="en-US" w:eastAsia="en-US" w:bidi="ar-SA"/>
              </w:rPr>
            </w:pPr>
            <w:r>
              <w:rPr>
                <w:lang w:val="en-US" w:eastAsia="en-US" w:bidi="ar-SA"/>
              </w:rPr>
              <w:br/>
            </w:r>
          </w:p>
        </w:tc>
        <w:tc>
          <w:tcPr>
            <w:tcW w:w="7885"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Usually a slow moving vehicle has to be passed, I could have stayed behind him all the way home, but that would have caused a traffic jam.</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717"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Was the boy swerving across the whole road?</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512"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lang w:val="en-US" w:eastAsia="en-US" w:bidi="ar-SA"/>
              </w:rPr>
            </w:pPr>
            <w:r>
              <w:rPr>
                <w:lang w:val="en-US" w:eastAsia="en-US" w:bidi="ar-SA"/>
              </w:rPr>
              <w:br/>
            </w:r>
          </w:p>
        </w:tc>
        <w:tc>
          <w:tcPr>
            <w:tcW w:w="7885"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About from the centre of 1 lane to the centre of the other.</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When confronted with seeming contradictions between this version of events and her evidence at trial, she testified that she had thought a lot about it and "possibly talked to people" about it. She then went on to allege that the police officer taking her statement was very impatient with her and pressured her during the taking of the statement.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 emphasize that Cst. Roberge was called as a witness by the plaintiff and no such suggestions were put to him while he was in the witness stand, nor are such suggestions evident from the statement she initialled and signed.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As a result of the investigation, Ms. Roberts was charged with passing when unsafe contrary to s. 161 of the Motor Vehicle Act. She disputed that ticket and, at a trial held in Prince George, B.C., on November 5, 1993, she testified under oath concerning the events.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following extracts were put to her during the course of her cross-examination:</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MS. ROBERTS: I was driving West on Highway 27, and approximately about 40 or 50 feet ahead I saw this boy swerving back and forth on the road. As I approached closer I realized he wasn't going to move from the sound of the car, so I honked two or three short toots. It -- he made no indication that he had any intention of getting off the road. So, I signaled [sic] and pulled to the left lane -- actually, I waited until he pulled to the right, he was swerving, and as he swerved to the right I signaled - -</w:t>
      </w:r>
    </w:p>
    <w:p>
      <w:pPr>
        <w:spacing w:before="120" w:line="260" w:lineRule="atLeast"/>
        <w:ind w:left="720"/>
        <w:rPr>
          <w:lang w:val="en-US" w:eastAsia="en-US" w:bidi="ar-SA"/>
        </w:rPr>
      </w:pPr>
      <w:r>
        <w:rPr>
          <w:rFonts w:ascii="arial" w:eastAsia="arial" w:hAnsi="arial" w:cs="arial"/>
          <w:color w:val="000000"/>
          <w:sz w:val="20"/>
          <w:lang w:val="en-US" w:eastAsia="en-US" w:bidi="ar-SA"/>
        </w:rPr>
        <w:t>. . .</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512"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lang w:val="en-US" w:eastAsia="en-US" w:bidi="ar-SA"/>
              </w:rPr>
            </w:pPr>
            <w:r>
              <w:rPr>
                <w:lang w:val="en-US" w:eastAsia="en-US" w:bidi="ar-SA"/>
              </w:rPr>
              <w:br/>
            </w:r>
          </w:p>
        </w:tc>
        <w:tc>
          <w:tcPr>
            <w:tcW w:w="7885"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Ms. Roberts, I'm actually just concerned, too, of the events up to and including the accident; not the injuries. Approximately how fast were you driving on Loop Road --</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lang w:val="en-US" w:eastAsia="en-US" w:bidi="ar-SA"/>
              </w:rPr>
            </w:pPr>
            <w:r>
              <w:rPr>
                <w:lang w:val="en-US" w:eastAsia="en-US" w:bidi="ar-SA"/>
              </w:rPr>
              <w:br/>
            </w:r>
          </w:p>
        </w:tc>
        <w:tc>
          <w:tcPr>
            <w:tcW w:w="717" w:type="dxa"/>
            <w:tcBorders>
              <w:bottom w:val="nil"/>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Shortly before --</w:t>
            </w:r>
          </w:p>
        </w:tc>
        <w:tc>
          <w:tcPr>
            <w:tcW w:w="1024" w:type="dxa"/>
            <w:tcBorders>
              <w:bottom w:val="nil"/>
            </w:tcBorders>
            <w:tcMar>
              <w:top w:w="100" w:type="dxa"/>
              <w:bottom w:w="0" w:type="dxa"/>
            </w:tcMar>
            <w:vAlign w:val="top"/>
          </w:tcPr>
          <w:p>
            <w:pPr>
              <w:rPr>
                <w:lang w:val="en-US" w:eastAsia="en-US" w:bidi="ar-SA"/>
              </w:rPr>
            </w:pPr>
            <w:r>
              <w:rPr>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717"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before?</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512"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lang w:val="en-US" w:eastAsia="en-US" w:bidi="ar-SA"/>
              </w:rPr>
            </w:pPr>
            <w:r>
              <w:rPr>
                <w:lang w:val="en-US" w:eastAsia="en-US" w:bidi="ar-SA"/>
              </w:rPr>
              <w:br/>
            </w:r>
          </w:p>
        </w:tc>
        <w:tc>
          <w:tcPr>
            <w:tcW w:w="7885"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Shortly before that I saw a pickup come from the front and I remember saying out loud to my kids, Boy, that pickup's going fast. I glanced down and I was doing dead-on 60.</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717"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Okay.</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512"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lang w:val="en-US" w:eastAsia="en-US" w:bidi="ar-SA"/>
              </w:rPr>
            </w:pPr>
            <w:r>
              <w:rPr>
                <w:lang w:val="en-US" w:eastAsia="en-US" w:bidi="ar-SA"/>
              </w:rPr>
              <w:br/>
            </w:r>
          </w:p>
        </w:tc>
        <w:tc>
          <w:tcPr>
            <w:tcW w:w="7885"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And as I approached I slowed down, but I saw the boy and honked. I slowed down, and by that time --</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717"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Did you --</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lang w:val="en-US" w:eastAsia="en-US" w:bidi="ar-SA"/>
              </w:rPr>
            </w:pPr>
            <w:r>
              <w:rPr>
                <w:lang w:val="en-US" w:eastAsia="en-US" w:bidi="ar-SA"/>
              </w:rPr>
              <w:br/>
            </w:r>
          </w:p>
        </w:tc>
        <w:tc>
          <w:tcPr>
            <w:tcW w:w="512" w:type="dxa"/>
            <w:tcBorders>
              <w:bottom w:val="nil"/>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lang w:val="en-US" w:eastAsia="en-US" w:bidi="ar-SA"/>
              </w:rPr>
            </w:pPr>
            <w:r>
              <w:rPr>
                <w:lang w:val="en-US" w:eastAsia="en-US" w:bidi="ar-SA"/>
              </w:rPr>
              <w:br/>
            </w:r>
          </w:p>
        </w:tc>
        <w:tc>
          <w:tcPr>
            <w:tcW w:w="7885" w:type="dxa"/>
            <w:tcBorders>
              <w:bottom w:val="nil"/>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I could honestly not tell you how fast. I was keeping my eye on the boy and I didn't look at my speedometer.</w:t>
            </w:r>
          </w:p>
        </w:tc>
        <w:tc>
          <w:tcPr>
            <w:tcW w:w="1024" w:type="dxa"/>
            <w:tcBorders>
              <w:bottom w:val="nil"/>
            </w:tcBorders>
            <w:tcMar>
              <w:top w:w="100" w:type="dxa"/>
              <w:bottom w:w="0" w:type="dxa"/>
            </w:tcMar>
            <w:vAlign w:val="top"/>
          </w:tcPr>
          <w:p>
            <w:pPr>
              <w:rPr>
                <w:lang w:val="en-US" w:eastAsia="en-US" w:bidi="ar-SA"/>
              </w:rPr>
            </w:pPr>
            <w:r>
              <w:rPr>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lang w:val="en-US" w:eastAsia="en-US" w:bidi="ar-SA"/>
              </w:rPr>
            </w:pPr>
            <w:r>
              <w:rPr>
                <w:lang w:val="en-US" w:eastAsia="en-US" w:bidi="ar-SA"/>
              </w:rPr>
              <w:br/>
            </w:r>
          </w:p>
        </w:tc>
        <w:tc>
          <w:tcPr>
            <w:tcW w:w="512" w:type="dxa"/>
            <w:tcBorders>
              <w:bottom w:val="nil"/>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lang w:val="en-US" w:eastAsia="en-US" w:bidi="ar-SA"/>
              </w:rPr>
            </w:pPr>
            <w:r>
              <w:rPr>
                <w:lang w:val="en-US" w:eastAsia="en-US" w:bidi="ar-SA"/>
              </w:rPr>
              <w:br/>
            </w:r>
          </w:p>
        </w:tc>
        <w:tc>
          <w:tcPr>
            <w:tcW w:w="7885" w:type="dxa"/>
            <w:tcBorders>
              <w:bottom w:val="nil"/>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Did you slow considerably, or just a little bit? Do you recollect?</w:t>
            </w:r>
          </w:p>
        </w:tc>
        <w:tc>
          <w:tcPr>
            <w:tcW w:w="1024" w:type="dxa"/>
            <w:tcBorders>
              <w:bottom w:val="nil"/>
            </w:tcBorders>
            <w:tcMar>
              <w:top w:w="100" w:type="dxa"/>
              <w:bottom w:w="0" w:type="dxa"/>
            </w:tcMar>
            <w:vAlign w:val="top"/>
          </w:tcPr>
          <w:p>
            <w:pPr>
              <w:rPr>
                <w:lang w:val="en-US" w:eastAsia="en-US" w:bidi="ar-SA"/>
              </w:rPr>
            </w:pPr>
            <w:r>
              <w:rPr>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lang w:val="en-US" w:eastAsia="en-US" w:bidi="ar-SA"/>
              </w:rPr>
            </w:pPr>
            <w:r>
              <w:rPr>
                <w:lang w:val="en-US" w:eastAsia="en-US" w:bidi="ar-SA"/>
              </w:rPr>
              <w:br/>
            </w:r>
          </w:p>
        </w:tc>
        <w:tc>
          <w:tcPr>
            <w:tcW w:w="512" w:type="dxa"/>
            <w:tcBorders>
              <w:bottom w:val="nil"/>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lang w:val="en-US" w:eastAsia="en-US" w:bidi="ar-SA"/>
              </w:rPr>
            </w:pPr>
            <w:r>
              <w:rPr>
                <w:lang w:val="en-US" w:eastAsia="en-US" w:bidi="ar-SA"/>
              </w:rPr>
              <w:br/>
            </w:r>
          </w:p>
        </w:tc>
        <w:tc>
          <w:tcPr>
            <w:tcW w:w="7885" w:type="dxa"/>
            <w:tcBorders>
              <w:bottom w:val="nil"/>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I would say between that -- it wasn't considerably, because I thought like he was basically in the right lane so I thought I could get past him on the left lane. So it wasn't considerably, but --</w:t>
            </w:r>
          </w:p>
        </w:tc>
        <w:tc>
          <w:tcPr>
            <w:tcW w:w="1024" w:type="dxa"/>
            <w:tcBorders>
              <w:bottom w:val="nil"/>
            </w:tcBorders>
            <w:tcMar>
              <w:top w:w="100" w:type="dxa"/>
              <w:bottom w:w="0" w:type="dxa"/>
            </w:tcMar>
            <w:vAlign w:val="top"/>
          </w:tcPr>
          <w:p>
            <w:pPr>
              <w:rPr>
                <w:lang w:val="en-US" w:eastAsia="en-US" w:bidi="ar-SA"/>
              </w:rPr>
            </w:pPr>
            <w:r>
              <w:rPr>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512"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lang w:val="en-US" w:eastAsia="en-US" w:bidi="ar-SA"/>
              </w:rPr>
            </w:pPr>
            <w:r>
              <w:rPr>
                <w:lang w:val="en-US" w:eastAsia="en-US" w:bidi="ar-SA"/>
              </w:rPr>
              <w:br/>
            </w:r>
          </w:p>
        </w:tc>
        <w:tc>
          <w:tcPr>
            <w:tcW w:w="7885"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Could you approximate -- 10 or 20 kilometers [sic] you slowed down; approximate?</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lang w:val="en-US" w:eastAsia="en-US" w:bidi="ar-SA"/>
              </w:rPr>
            </w:pPr>
            <w:r>
              <w:rPr>
                <w:lang w:val="en-US" w:eastAsia="en-US" w:bidi="ar-SA"/>
              </w:rPr>
              <w:br/>
            </w:r>
          </w:p>
        </w:tc>
        <w:tc>
          <w:tcPr>
            <w:tcW w:w="717" w:type="dxa"/>
            <w:tcBorders>
              <w:bottom w:val="nil"/>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Probably close to 20.</w:t>
            </w:r>
          </w:p>
        </w:tc>
        <w:tc>
          <w:tcPr>
            <w:tcW w:w="1024" w:type="dxa"/>
            <w:tcBorders>
              <w:bottom w:val="nil"/>
            </w:tcBorders>
            <w:tcMar>
              <w:top w:w="100" w:type="dxa"/>
              <w:bottom w:w="0" w:type="dxa"/>
            </w:tcMar>
            <w:vAlign w:val="top"/>
          </w:tcPr>
          <w:p>
            <w:pPr>
              <w:rPr>
                <w:lang w:val="en-US" w:eastAsia="en-US" w:bidi="ar-SA"/>
              </w:rPr>
            </w:pPr>
            <w:r>
              <w:rPr>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lang w:val="en-US" w:eastAsia="en-US" w:bidi="ar-SA"/>
              </w:rPr>
            </w:pPr>
            <w:r>
              <w:rPr>
                <w:lang w:val="en-US" w:eastAsia="en-US" w:bidi="ar-SA"/>
              </w:rPr>
              <w:br/>
            </w:r>
          </w:p>
        </w:tc>
        <w:tc>
          <w:tcPr>
            <w:tcW w:w="717" w:type="dxa"/>
            <w:tcBorders>
              <w:bottom w:val="nil"/>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20 kilometers?</w:t>
            </w:r>
          </w:p>
        </w:tc>
        <w:tc>
          <w:tcPr>
            <w:tcW w:w="1024" w:type="dxa"/>
            <w:tcBorders>
              <w:bottom w:val="nil"/>
            </w:tcBorders>
            <w:tcMar>
              <w:top w:w="100" w:type="dxa"/>
              <w:bottom w:w="0" w:type="dxa"/>
            </w:tcMar>
            <w:vAlign w:val="top"/>
          </w:tcPr>
          <w:p>
            <w:pPr>
              <w:rPr>
                <w:lang w:val="en-US" w:eastAsia="en-US" w:bidi="ar-SA"/>
              </w:rPr>
            </w:pPr>
            <w:r>
              <w:rPr>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717"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Yeah.</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512"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lang w:val="en-US" w:eastAsia="en-US" w:bidi="ar-SA"/>
              </w:rPr>
            </w:pPr>
            <w:r>
              <w:rPr>
                <w:lang w:val="en-US" w:eastAsia="en-US" w:bidi="ar-SA"/>
              </w:rPr>
              <w:br/>
            </w:r>
          </w:p>
        </w:tc>
        <w:tc>
          <w:tcPr>
            <w:tcW w:w="7885"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So doing approximately 40 kilometers before you changed lanes?</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717"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Yeah.</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ind w:left="720"/>
        <w:rPr>
          <w:lang w:val="en-US" w:eastAsia="en-US" w:bidi="ar-SA"/>
        </w:rPr>
      </w:pPr>
      <w:r>
        <w:rPr>
          <w:rFonts w:ascii="arial" w:eastAsia="arial" w:hAnsi="arial" w:cs="arial"/>
          <w:color w:val="000000"/>
          <w:sz w:val="20"/>
          <w:lang w:val="en-US" w:eastAsia="en-US" w:bidi="ar-SA"/>
        </w:rPr>
        <w:t>. . .</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lang w:val="en-US" w:eastAsia="en-US" w:bidi="ar-SA"/>
              </w:rPr>
            </w:pPr>
            <w:r>
              <w:rPr>
                <w:lang w:val="en-US" w:eastAsia="en-US" w:bidi="ar-SA"/>
              </w:rPr>
              <w:br/>
            </w:r>
          </w:p>
        </w:tc>
        <w:tc>
          <w:tcPr>
            <w:tcW w:w="512" w:type="dxa"/>
            <w:tcBorders>
              <w:bottom w:val="nil"/>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lang w:val="en-US" w:eastAsia="en-US" w:bidi="ar-SA"/>
              </w:rPr>
            </w:pPr>
            <w:r>
              <w:rPr>
                <w:lang w:val="en-US" w:eastAsia="en-US" w:bidi="ar-SA"/>
              </w:rPr>
              <w:br/>
            </w:r>
          </w:p>
        </w:tc>
        <w:tc>
          <w:tcPr>
            <w:tcW w:w="7885" w:type="dxa"/>
            <w:tcBorders>
              <w:bottom w:val="nil"/>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Okay. What did you observe him doing as you approached him?</w:t>
            </w:r>
          </w:p>
        </w:tc>
        <w:tc>
          <w:tcPr>
            <w:tcW w:w="1024" w:type="dxa"/>
            <w:tcBorders>
              <w:bottom w:val="nil"/>
            </w:tcBorders>
            <w:tcMar>
              <w:top w:w="100" w:type="dxa"/>
              <w:bottom w:w="0" w:type="dxa"/>
            </w:tcMar>
            <w:vAlign w:val="top"/>
          </w:tcPr>
          <w:p>
            <w:pPr>
              <w:rPr>
                <w:lang w:val="en-US" w:eastAsia="en-US" w:bidi="ar-SA"/>
              </w:rPr>
            </w:pPr>
            <w:r>
              <w:rPr>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512"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lang w:val="en-US" w:eastAsia="en-US" w:bidi="ar-SA"/>
              </w:rPr>
            </w:pPr>
            <w:r>
              <w:rPr>
                <w:lang w:val="en-US" w:eastAsia="en-US" w:bidi="ar-SA"/>
              </w:rPr>
              <w:br/>
            </w:r>
          </w:p>
        </w:tc>
        <w:tc>
          <w:tcPr>
            <w:tcW w:w="7885"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He just kept on weaving and then as I pulled out -- just before I pulled out to pass he swerves to the right again, but he didn't make no attempt to move over for a vehicle.</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addition to the statement she gave to the police on August 17, 1993, and the evidence under oath she gave at her trial on November 5, 1993, Ms. Roberts also gave evidence at an examination for discovery on February 10, 1995.</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At her examination for discovery the defendant gave the following evidence which she acknowledged to be true at this trial:</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1229"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154 Q</w:t>
            </w:r>
          </w:p>
        </w:tc>
        <w:tc>
          <w:tcPr>
            <w:tcW w:w="102" w:type="dxa"/>
            <w:tcBorders>
              <w:right w:val="nil"/>
            </w:tcBorders>
            <w:tcMar>
              <w:top w:w="100" w:type="dxa"/>
              <w:bottom w:w="0" w:type="dxa"/>
            </w:tcMar>
            <w:vAlign w:val="top"/>
          </w:tcPr>
          <w:p>
            <w:pPr>
              <w:rPr>
                <w:lang w:val="en-US" w:eastAsia="en-US" w:bidi="ar-SA"/>
              </w:rPr>
            </w:pPr>
            <w:r>
              <w:rPr>
                <w:lang w:val="en-US" w:eastAsia="en-US" w:bidi="ar-SA"/>
              </w:rPr>
              <w:br/>
            </w:r>
          </w:p>
        </w:tc>
        <w:tc>
          <w:tcPr>
            <w:tcW w:w="7270"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All right. Now, how far in front of you was Billy on the bicycle when you first saw him?</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lang w:val="en-US" w:eastAsia="en-US" w:bidi="ar-SA"/>
              </w:rPr>
            </w:pPr>
            <w:r>
              <w:rPr>
                <w:lang w:val="en-US" w:eastAsia="en-US" w:bidi="ar-SA"/>
              </w:rPr>
              <w:br/>
            </w:r>
          </w:p>
        </w:tc>
        <w:tc>
          <w:tcPr>
            <w:tcW w:w="512"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lang w:val="en-US" w:eastAsia="en-US" w:bidi="ar-SA"/>
              </w:rPr>
            </w:pPr>
            <w:r>
              <w:rPr>
                <w:lang w:val="en-US" w:eastAsia="en-US" w:bidi="ar-SA"/>
              </w:rPr>
              <w:br/>
            </w:r>
          </w:p>
        </w:tc>
        <w:tc>
          <w:tcPr>
            <w:tcW w:w="7270"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When I first saw him? A couple hundred feet probably when I first saw him.</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1331"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155 Q</w:t>
            </w:r>
          </w:p>
        </w:tc>
        <w:tc>
          <w:tcPr>
            <w:tcW w:w="7270"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All right. It's difficult to judge distance?</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lang w:val="en-US" w:eastAsia="en-US" w:bidi="ar-SA"/>
              </w:rPr>
            </w:pPr>
            <w:r>
              <w:rPr>
                <w:lang w:val="en-US" w:eastAsia="en-US" w:bidi="ar-SA"/>
              </w:rPr>
              <w:br/>
            </w:r>
          </w:p>
        </w:tc>
        <w:tc>
          <w:tcPr>
            <w:tcW w:w="614"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1331"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156 Q</w:t>
            </w:r>
          </w:p>
        </w:tc>
        <w:tc>
          <w:tcPr>
            <w:tcW w:w="7270"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All right. What was he doing?</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lang w:val="en-US" w:eastAsia="en-US" w:bidi="ar-SA"/>
              </w:rPr>
            </w:pPr>
            <w:r>
              <w:rPr>
                <w:lang w:val="en-US" w:eastAsia="en-US" w:bidi="ar-SA"/>
              </w:rPr>
              <w:br/>
            </w:r>
          </w:p>
        </w:tc>
        <w:tc>
          <w:tcPr>
            <w:tcW w:w="614"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Weaving over the road.</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1331"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157 Q</w:t>
            </w:r>
          </w:p>
        </w:tc>
        <w:tc>
          <w:tcPr>
            <w:tcW w:w="7270"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On his bicycle?</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lang w:val="en-US" w:eastAsia="en-US" w:bidi="ar-SA"/>
              </w:rPr>
            </w:pPr>
            <w:r>
              <w:rPr>
                <w:lang w:val="en-US" w:eastAsia="en-US" w:bidi="ar-SA"/>
              </w:rPr>
              <w:br/>
            </w:r>
          </w:p>
        </w:tc>
        <w:tc>
          <w:tcPr>
            <w:tcW w:w="614"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826"/>
        <w:gridCol w:w="516"/>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819"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158</w:t>
            </w:r>
          </w:p>
        </w:tc>
        <w:tc>
          <w:tcPr>
            <w:tcW w:w="512" w:type="dxa"/>
            <w:tcBorders>
              <w:right w:val="nil"/>
            </w:tcBorders>
            <w:tcMar>
              <w:top w:w="100" w:type="dxa"/>
              <w:bottom w:w="0" w:type="dxa"/>
            </w:tcMar>
            <w:vAlign w:val="top"/>
          </w:tcPr>
          <w:p>
            <w:pPr>
              <w:rPr>
                <w:lang w:val="en-US" w:eastAsia="en-US" w:bidi="ar-SA"/>
              </w:rPr>
            </w:pPr>
            <w:r>
              <w:rPr>
                <w:lang w:val="en-US" w:eastAsia="en-US" w:bidi="ar-SA"/>
              </w:rPr>
              <w:br/>
            </w:r>
          </w:p>
        </w:tc>
        <w:tc>
          <w:tcPr>
            <w:tcW w:w="512"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lang w:val="en-US" w:eastAsia="en-US" w:bidi="ar-SA"/>
              </w:rPr>
            </w:pPr>
            <w:r>
              <w:rPr>
                <w:lang w:val="en-US" w:eastAsia="en-US" w:bidi="ar-SA"/>
              </w:rPr>
              <w:br/>
            </w:r>
          </w:p>
        </w:tc>
        <w:tc>
          <w:tcPr>
            <w:tcW w:w="7270"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All right. Could you make anything out about him when you first saw him, like could you tell if he was big or small, could you tell if he was a child?</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lang w:val="en-US" w:eastAsia="en-US" w:bidi="ar-SA"/>
              </w:rPr>
            </w:pPr>
            <w:r>
              <w:rPr>
                <w:lang w:val="en-US" w:eastAsia="en-US" w:bidi="ar-SA"/>
              </w:rPr>
              <w:br/>
            </w:r>
          </w:p>
        </w:tc>
        <w:tc>
          <w:tcPr>
            <w:tcW w:w="614"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Oh, I could tell it was a child.</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center"/>
        <w:rPr>
          <w:lang w:val="en-US" w:eastAsia="en-US" w:bidi="ar-SA"/>
        </w:rPr>
      </w:pPr>
      <w:r>
        <w:rPr>
          <w:rFonts w:ascii="arial" w:eastAsia="arial" w:hAnsi="arial" w:cs="arial"/>
          <w:color w:val="000000"/>
          <w:sz w:val="20"/>
          <w:lang w:val="en-US" w:eastAsia="en-US" w:bidi="ar-SA"/>
        </w:rPr>
        <w:t>. . .</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826"/>
        <w:gridCol w:w="516"/>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819"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163</w:t>
            </w:r>
          </w:p>
        </w:tc>
        <w:tc>
          <w:tcPr>
            <w:tcW w:w="512" w:type="dxa"/>
            <w:tcBorders>
              <w:right w:val="nil"/>
            </w:tcBorders>
            <w:tcMar>
              <w:top w:w="100" w:type="dxa"/>
              <w:bottom w:w="0" w:type="dxa"/>
            </w:tcMar>
            <w:vAlign w:val="top"/>
          </w:tcPr>
          <w:p>
            <w:pPr>
              <w:rPr>
                <w:lang w:val="en-US" w:eastAsia="en-US" w:bidi="ar-SA"/>
              </w:rPr>
            </w:pPr>
            <w:r>
              <w:rPr>
                <w:lang w:val="en-US" w:eastAsia="en-US" w:bidi="ar-SA"/>
              </w:rPr>
              <w:br/>
            </w:r>
          </w:p>
        </w:tc>
        <w:tc>
          <w:tcPr>
            <w:tcW w:w="512"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lang w:val="en-US" w:eastAsia="en-US" w:bidi="ar-SA"/>
              </w:rPr>
            </w:pPr>
            <w:r>
              <w:rPr>
                <w:lang w:val="en-US" w:eastAsia="en-US" w:bidi="ar-SA"/>
              </w:rPr>
              <w:br/>
            </w:r>
          </w:p>
        </w:tc>
        <w:tc>
          <w:tcPr>
            <w:tcW w:w="7270"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All right. All right, did you have any first -- any concerns when you first saw him?</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lang w:val="en-US" w:eastAsia="en-US" w:bidi="ar-SA"/>
              </w:rPr>
            </w:pPr>
            <w:r>
              <w:rPr>
                <w:lang w:val="en-US" w:eastAsia="en-US" w:bidi="ar-SA"/>
              </w:rPr>
              <w:br/>
            </w:r>
          </w:p>
        </w:tc>
        <w:tc>
          <w:tcPr>
            <w:tcW w:w="614"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826"/>
        <w:gridCol w:w="516"/>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819"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164</w:t>
            </w:r>
          </w:p>
        </w:tc>
        <w:tc>
          <w:tcPr>
            <w:tcW w:w="512" w:type="dxa"/>
            <w:tcBorders>
              <w:right w:val="nil"/>
            </w:tcBorders>
            <w:tcMar>
              <w:top w:w="100" w:type="dxa"/>
              <w:bottom w:w="0" w:type="dxa"/>
            </w:tcMar>
            <w:vAlign w:val="top"/>
          </w:tcPr>
          <w:p>
            <w:pPr>
              <w:rPr>
                <w:lang w:val="en-US" w:eastAsia="en-US" w:bidi="ar-SA"/>
              </w:rPr>
            </w:pPr>
            <w:r>
              <w:rPr>
                <w:lang w:val="en-US" w:eastAsia="en-US" w:bidi="ar-SA"/>
              </w:rPr>
              <w:br/>
            </w:r>
          </w:p>
        </w:tc>
        <w:tc>
          <w:tcPr>
            <w:tcW w:w="512"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lang w:val="en-US" w:eastAsia="en-US" w:bidi="ar-SA"/>
              </w:rPr>
            </w:pPr>
            <w:r>
              <w:rPr>
                <w:lang w:val="en-US" w:eastAsia="en-US" w:bidi="ar-SA"/>
              </w:rPr>
              <w:br/>
            </w:r>
          </w:p>
        </w:tc>
        <w:tc>
          <w:tcPr>
            <w:tcW w:w="7270"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All right, what were your concerns?</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lang w:val="en-US" w:eastAsia="en-US" w:bidi="ar-SA"/>
              </w:rPr>
            </w:pPr>
            <w:r>
              <w:rPr>
                <w:lang w:val="en-US" w:eastAsia="en-US" w:bidi="ar-SA"/>
              </w:rPr>
              <w:br/>
            </w:r>
          </w:p>
        </w:tc>
        <w:tc>
          <w:tcPr>
            <w:tcW w:w="614"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I hope he moves out of the way.</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center"/>
        <w:rPr>
          <w:lang w:val="en-US" w:eastAsia="en-US" w:bidi="ar-SA"/>
        </w:rPr>
      </w:pPr>
      <w:r>
        <w:rPr>
          <w:rFonts w:ascii="arial" w:eastAsia="arial" w:hAnsi="arial" w:cs="arial"/>
          <w:color w:val="000000"/>
          <w:sz w:val="20"/>
          <w:lang w:val="en-US" w:eastAsia="en-US" w:bidi="ar-SA"/>
        </w:rPr>
        <w:t>. . .</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826"/>
        <w:gridCol w:w="516"/>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819"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171</w:t>
            </w:r>
          </w:p>
        </w:tc>
        <w:tc>
          <w:tcPr>
            <w:tcW w:w="512" w:type="dxa"/>
            <w:tcBorders>
              <w:right w:val="nil"/>
            </w:tcBorders>
            <w:tcMar>
              <w:top w:w="100" w:type="dxa"/>
              <w:bottom w:w="0" w:type="dxa"/>
            </w:tcMar>
            <w:vAlign w:val="top"/>
          </w:tcPr>
          <w:p>
            <w:pPr>
              <w:rPr>
                <w:lang w:val="en-US" w:eastAsia="en-US" w:bidi="ar-SA"/>
              </w:rPr>
            </w:pPr>
            <w:r>
              <w:rPr>
                <w:lang w:val="en-US" w:eastAsia="en-US" w:bidi="ar-SA"/>
              </w:rPr>
              <w:br/>
            </w:r>
          </w:p>
        </w:tc>
        <w:tc>
          <w:tcPr>
            <w:tcW w:w="512"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lang w:val="en-US" w:eastAsia="en-US" w:bidi="ar-SA"/>
              </w:rPr>
            </w:pPr>
            <w:r>
              <w:rPr>
                <w:lang w:val="en-US" w:eastAsia="en-US" w:bidi="ar-SA"/>
              </w:rPr>
              <w:br/>
            </w:r>
          </w:p>
        </w:tc>
        <w:tc>
          <w:tcPr>
            <w:tcW w:w="7270"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All right. So you were some distance away when you put your foot on the brake?</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lang w:val="en-US" w:eastAsia="en-US" w:bidi="ar-SA"/>
              </w:rPr>
            </w:pPr>
            <w:r>
              <w:rPr>
                <w:lang w:val="en-US" w:eastAsia="en-US" w:bidi="ar-SA"/>
              </w:rPr>
              <w:br/>
            </w:r>
          </w:p>
        </w:tc>
        <w:tc>
          <w:tcPr>
            <w:tcW w:w="614"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826"/>
        <w:gridCol w:w="516"/>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819"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172</w:t>
            </w:r>
          </w:p>
        </w:tc>
        <w:tc>
          <w:tcPr>
            <w:tcW w:w="512" w:type="dxa"/>
            <w:tcBorders>
              <w:right w:val="nil"/>
            </w:tcBorders>
            <w:tcMar>
              <w:top w:w="100" w:type="dxa"/>
              <w:bottom w:w="0" w:type="dxa"/>
            </w:tcMar>
            <w:vAlign w:val="top"/>
          </w:tcPr>
          <w:p>
            <w:pPr>
              <w:rPr>
                <w:lang w:val="en-US" w:eastAsia="en-US" w:bidi="ar-SA"/>
              </w:rPr>
            </w:pPr>
            <w:r>
              <w:rPr>
                <w:lang w:val="en-US" w:eastAsia="en-US" w:bidi="ar-SA"/>
              </w:rPr>
              <w:br/>
            </w:r>
          </w:p>
        </w:tc>
        <w:tc>
          <w:tcPr>
            <w:tcW w:w="512"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lang w:val="en-US" w:eastAsia="en-US" w:bidi="ar-SA"/>
              </w:rPr>
            </w:pPr>
            <w:r>
              <w:rPr>
                <w:lang w:val="en-US" w:eastAsia="en-US" w:bidi="ar-SA"/>
              </w:rPr>
              <w:br/>
            </w:r>
          </w:p>
        </w:tc>
        <w:tc>
          <w:tcPr>
            <w:tcW w:w="7270"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Do you recall how much you slowed down?</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lang w:val="en-US" w:eastAsia="en-US" w:bidi="ar-SA"/>
              </w:rPr>
            </w:pPr>
            <w:r>
              <w:rPr>
                <w:lang w:val="en-US" w:eastAsia="en-US" w:bidi="ar-SA"/>
              </w:rPr>
              <w:br/>
            </w:r>
          </w:p>
        </w:tc>
        <w:tc>
          <w:tcPr>
            <w:tcW w:w="614"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To me it felt like I was crawling, but ...</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826"/>
        <w:gridCol w:w="516"/>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819"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173</w:t>
            </w:r>
          </w:p>
        </w:tc>
        <w:tc>
          <w:tcPr>
            <w:tcW w:w="512" w:type="dxa"/>
            <w:tcBorders>
              <w:right w:val="nil"/>
            </w:tcBorders>
            <w:tcMar>
              <w:top w:w="100" w:type="dxa"/>
              <w:bottom w:w="0" w:type="dxa"/>
            </w:tcMar>
            <w:vAlign w:val="top"/>
          </w:tcPr>
          <w:p>
            <w:pPr>
              <w:rPr>
                <w:lang w:val="en-US" w:eastAsia="en-US" w:bidi="ar-SA"/>
              </w:rPr>
            </w:pPr>
            <w:r>
              <w:rPr>
                <w:lang w:val="en-US" w:eastAsia="en-US" w:bidi="ar-SA"/>
              </w:rPr>
              <w:br/>
            </w:r>
          </w:p>
        </w:tc>
        <w:tc>
          <w:tcPr>
            <w:tcW w:w="512"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lang w:val="en-US" w:eastAsia="en-US" w:bidi="ar-SA"/>
              </w:rPr>
            </w:pPr>
            <w:r>
              <w:rPr>
                <w:lang w:val="en-US" w:eastAsia="en-US" w:bidi="ar-SA"/>
              </w:rPr>
              <w:br/>
            </w:r>
          </w:p>
        </w:tc>
        <w:tc>
          <w:tcPr>
            <w:tcW w:w="7270"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Crawling meaning what? Give me an estimate of your speed to the best of your ability? You slowed down how much?</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lang w:val="en-US" w:eastAsia="en-US" w:bidi="ar-SA"/>
              </w:rPr>
            </w:pPr>
            <w:r>
              <w:rPr>
                <w:lang w:val="en-US" w:eastAsia="en-US" w:bidi="ar-SA"/>
              </w:rPr>
              <w:br/>
            </w:r>
          </w:p>
        </w:tc>
        <w:tc>
          <w:tcPr>
            <w:tcW w:w="512"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lang w:val="en-US" w:eastAsia="en-US" w:bidi="ar-SA"/>
              </w:rPr>
            </w:pPr>
            <w:r>
              <w:rPr>
                <w:lang w:val="en-US" w:eastAsia="en-US" w:bidi="ar-SA"/>
              </w:rPr>
              <w:br/>
            </w:r>
          </w:p>
        </w:tc>
        <w:tc>
          <w:tcPr>
            <w:tcW w:w="7270"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I didn't look at my speedometer, I was keeping my eye on him. I won't even venture a guess.</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center"/>
        <w:rPr>
          <w:lang w:val="en-US" w:eastAsia="en-US" w:bidi="ar-SA"/>
        </w:rPr>
      </w:pPr>
      <w:r>
        <w:rPr>
          <w:rFonts w:ascii="arial" w:eastAsia="arial" w:hAnsi="arial" w:cs="arial"/>
          <w:color w:val="000000"/>
          <w:sz w:val="20"/>
          <w:lang w:val="en-US" w:eastAsia="en-US" w:bidi="ar-SA"/>
        </w:rPr>
        <w:t>. . .</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836"/>
        <w:gridCol w:w="523"/>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819"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311</w:t>
            </w:r>
          </w:p>
        </w:tc>
        <w:tc>
          <w:tcPr>
            <w:tcW w:w="512" w:type="dxa"/>
            <w:tcBorders>
              <w:right w:val="nil"/>
            </w:tcBorders>
            <w:tcMar>
              <w:top w:w="100" w:type="dxa"/>
              <w:bottom w:w="0" w:type="dxa"/>
            </w:tcMar>
            <w:vAlign w:val="top"/>
          </w:tcPr>
          <w:p>
            <w:pPr>
              <w:rPr>
                <w:lang w:val="en-US" w:eastAsia="en-US" w:bidi="ar-SA"/>
              </w:rPr>
            </w:pPr>
            <w:r>
              <w:rPr>
                <w:lang w:val="en-US" w:eastAsia="en-US" w:bidi="ar-SA"/>
              </w:rPr>
              <w:br/>
            </w:r>
          </w:p>
        </w:tc>
        <w:tc>
          <w:tcPr>
            <w:tcW w:w="614"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Q</w:t>
            </w:r>
          </w:p>
        </w:tc>
        <w:tc>
          <w:tcPr>
            <w:tcW w:w="7270"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And Monica said?</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lang w:val="en-US" w:eastAsia="en-US" w:bidi="ar-SA"/>
              </w:rPr>
            </w:pPr>
            <w:r>
              <w:rPr>
                <w:lang w:val="en-US" w:eastAsia="en-US" w:bidi="ar-SA"/>
              </w:rPr>
              <w:br/>
            </w:r>
          </w:p>
        </w:tc>
        <w:tc>
          <w:tcPr>
            <w:tcW w:w="614"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"He's turning".</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723"/>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312</w:t>
            </w:r>
          </w:p>
        </w:tc>
        <w:tc>
          <w:tcPr>
            <w:tcW w:w="717" w:type="dxa"/>
            <w:tcBorders>
              <w:right w:val="nil"/>
            </w:tcBorders>
            <w:tcMar>
              <w:top w:w="100" w:type="dxa"/>
              <w:bottom w:w="0" w:type="dxa"/>
            </w:tcMar>
            <w:vAlign w:val="top"/>
          </w:tcPr>
          <w:p>
            <w:pPr>
              <w:rPr>
                <w:lang w:val="en-US" w:eastAsia="en-US" w:bidi="ar-SA"/>
              </w:rPr>
            </w:pPr>
            <w:r>
              <w:rPr>
                <w:lang w:val="en-US" w:eastAsia="en-US" w:bidi="ar-SA"/>
              </w:rPr>
              <w:br/>
            </w:r>
          </w:p>
        </w:tc>
        <w:tc>
          <w:tcPr>
            <w:tcW w:w="512"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lang w:val="en-US" w:eastAsia="en-US" w:bidi="ar-SA"/>
              </w:rPr>
            </w:pPr>
            <w:r>
              <w:rPr>
                <w:lang w:val="en-US" w:eastAsia="en-US" w:bidi="ar-SA"/>
              </w:rPr>
              <w:br/>
            </w:r>
          </w:p>
        </w:tc>
        <w:tc>
          <w:tcPr>
            <w:tcW w:w="7270"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Can you recall when Monica said that?</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lang w:val="en-US" w:eastAsia="en-US" w:bidi="ar-SA"/>
              </w:rPr>
            </w:pPr>
            <w:r>
              <w:rPr>
                <w:lang w:val="en-US" w:eastAsia="en-US" w:bidi="ar-SA"/>
              </w:rPr>
              <w:br/>
            </w:r>
          </w:p>
        </w:tc>
        <w:tc>
          <w:tcPr>
            <w:tcW w:w="614"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Right as he turned I believe.</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826"/>
        <w:gridCol w:w="516"/>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819"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313</w:t>
            </w:r>
          </w:p>
        </w:tc>
        <w:tc>
          <w:tcPr>
            <w:tcW w:w="512" w:type="dxa"/>
            <w:tcBorders>
              <w:right w:val="nil"/>
            </w:tcBorders>
            <w:tcMar>
              <w:top w:w="100" w:type="dxa"/>
              <w:bottom w:w="0" w:type="dxa"/>
            </w:tcMar>
            <w:vAlign w:val="top"/>
          </w:tcPr>
          <w:p>
            <w:pPr>
              <w:rPr>
                <w:lang w:val="en-US" w:eastAsia="en-US" w:bidi="ar-SA"/>
              </w:rPr>
            </w:pPr>
            <w:r>
              <w:rPr>
                <w:lang w:val="en-US" w:eastAsia="en-US" w:bidi="ar-SA"/>
              </w:rPr>
              <w:br/>
            </w:r>
          </w:p>
        </w:tc>
        <w:tc>
          <w:tcPr>
            <w:tcW w:w="512"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lang w:val="en-US" w:eastAsia="en-US" w:bidi="ar-SA"/>
              </w:rPr>
            </w:pPr>
            <w:r>
              <w:rPr>
                <w:lang w:val="en-US" w:eastAsia="en-US" w:bidi="ar-SA"/>
              </w:rPr>
              <w:br/>
            </w:r>
          </w:p>
        </w:tc>
        <w:tc>
          <w:tcPr>
            <w:tcW w:w="7270"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Can you recall where you were, your car was when Monica said that?</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lang w:val="en-US" w:eastAsia="en-US" w:bidi="ar-SA"/>
              </w:rPr>
            </w:pPr>
            <w:r>
              <w:rPr>
                <w:lang w:val="en-US" w:eastAsia="en-US" w:bidi="ar-SA"/>
              </w:rPr>
              <w:br/>
            </w:r>
          </w:p>
        </w:tc>
        <w:tc>
          <w:tcPr>
            <w:tcW w:w="512"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lang w:val="en-US" w:eastAsia="en-US" w:bidi="ar-SA"/>
              </w:rPr>
            </w:pPr>
            <w:r>
              <w:rPr>
                <w:lang w:val="en-US" w:eastAsia="en-US" w:bidi="ar-SA"/>
              </w:rPr>
              <w:br/>
            </w:r>
          </w:p>
        </w:tc>
        <w:tc>
          <w:tcPr>
            <w:tcW w:w="7270"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I was just crossing over the centre line and she hollered, "He's turning", so instead of turning -- proceeding with my pass I just kept it pointed towards the ditch.</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826"/>
        <w:gridCol w:w="516"/>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819"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314</w:t>
            </w:r>
          </w:p>
        </w:tc>
        <w:tc>
          <w:tcPr>
            <w:tcW w:w="512" w:type="dxa"/>
            <w:tcBorders>
              <w:right w:val="nil"/>
            </w:tcBorders>
            <w:tcMar>
              <w:top w:w="100" w:type="dxa"/>
              <w:bottom w:w="0" w:type="dxa"/>
            </w:tcMar>
            <w:vAlign w:val="top"/>
          </w:tcPr>
          <w:p>
            <w:pPr>
              <w:rPr>
                <w:lang w:val="en-US" w:eastAsia="en-US" w:bidi="ar-SA"/>
              </w:rPr>
            </w:pPr>
            <w:r>
              <w:rPr>
                <w:lang w:val="en-US" w:eastAsia="en-US" w:bidi="ar-SA"/>
              </w:rPr>
              <w:br/>
            </w:r>
          </w:p>
        </w:tc>
        <w:tc>
          <w:tcPr>
            <w:tcW w:w="512"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lang w:val="en-US" w:eastAsia="en-US" w:bidi="ar-SA"/>
              </w:rPr>
            </w:pPr>
            <w:r>
              <w:rPr>
                <w:lang w:val="en-US" w:eastAsia="en-US" w:bidi="ar-SA"/>
              </w:rPr>
              <w:br/>
            </w:r>
          </w:p>
        </w:tc>
        <w:tc>
          <w:tcPr>
            <w:tcW w:w="7270"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So did you actually see Billy turning towards you or was it Monica who warned you it was about to happen?</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lang w:val="en-US" w:eastAsia="en-US" w:bidi="ar-SA"/>
              </w:rPr>
            </w:pPr>
            <w:r>
              <w:rPr>
                <w:lang w:val="en-US" w:eastAsia="en-US" w:bidi="ar-SA"/>
              </w:rPr>
              <w:br/>
            </w:r>
          </w:p>
        </w:tc>
        <w:tc>
          <w:tcPr>
            <w:tcW w:w="512"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lang w:val="en-US" w:eastAsia="en-US" w:bidi="ar-SA"/>
              </w:rPr>
            </w:pPr>
            <w:r>
              <w:rPr>
                <w:lang w:val="en-US" w:eastAsia="en-US" w:bidi="ar-SA"/>
              </w:rPr>
              <w:br/>
            </w:r>
          </w:p>
        </w:tc>
        <w:tc>
          <w:tcPr>
            <w:tcW w:w="7270"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Monica said, "He's turning", and I looked and I saw him coming at me.</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826"/>
        <w:gridCol w:w="516"/>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819"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315</w:t>
            </w:r>
          </w:p>
        </w:tc>
        <w:tc>
          <w:tcPr>
            <w:tcW w:w="512" w:type="dxa"/>
            <w:tcBorders>
              <w:right w:val="nil"/>
            </w:tcBorders>
            <w:tcMar>
              <w:top w:w="100" w:type="dxa"/>
              <w:bottom w:w="0" w:type="dxa"/>
            </w:tcMar>
            <w:vAlign w:val="top"/>
          </w:tcPr>
          <w:p>
            <w:pPr>
              <w:rPr>
                <w:lang w:val="en-US" w:eastAsia="en-US" w:bidi="ar-SA"/>
              </w:rPr>
            </w:pPr>
            <w:r>
              <w:rPr>
                <w:lang w:val="en-US" w:eastAsia="en-US" w:bidi="ar-SA"/>
              </w:rPr>
              <w:br/>
            </w:r>
          </w:p>
        </w:tc>
        <w:tc>
          <w:tcPr>
            <w:tcW w:w="512"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lang w:val="en-US" w:eastAsia="en-US" w:bidi="ar-SA"/>
              </w:rPr>
            </w:pPr>
            <w:r>
              <w:rPr>
                <w:lang w:val="en-US" w:eastAsia="en-US" w:bidi="ar-SA"/>
              </w:rPr>
              <w:br/>
            </w:r>
          </w:p>
        </w:tc>
        <w:tc>
          <w:tcPr>
            <w:tcW w:w="7270"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So Monica directed your attention to him?</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lang w:val="en-US" w:eastAsia="en-US" w:bidi="ar-SA"/>
              </w:rPr>
            </w:pPr>
            <w:r>
              <w:rPr>
                <w:lang w:val="en-US" w:eastAsia="en-US" w:bidi="ar-SA"/>
              </w:rPr>
              <w:br/>
            </w:r>
          </w:p>
        </w:tc>
        <w:tc>
          <w:tcPr>
            <w:tcW w:w="614"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That he was turning.</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836"/>
        <w:gridCol w:w="523"/>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819"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316</w:t>
            </w:r>
          </w:p>
        </w:tc>
        <w:tc>
          <w:tcPr>
            <w:tcW w:w="512" w:type="dxa"/>
            <w:tcBorders>
              <w:right w:val="nil"/>
            </w:tcBorders>
            <w:tcMar>
              <w:top w:w="100" w:type="dxa"/>
              <w:bottom w:w="0" w:type="dxa"/>
            </w:tcMar>
            <w:vAlign w:val="top"/>
          </w:tcPr>
          <w:p>
            <w:pPr>
              <w:rPr>
                <w:lang w:val="en-US" w:eastAsia="en-US" w:bidi="ar-SA"/>
              </w:rPr>
            </w:pPr>
            <w:r>
              <w:rPr>
                <w:lang w:val="en-US" w:eastAsia="en-US" w:bidi="ar-SA"/>
              </w:rPr>
              <w:br/>
            </w:r>
          </w:p>
        </w:tc>
        <w:tc>
          <w:tcPr>
            <w:tcW w:w="614"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Q</w:t>
            </w:r>
          </w:p>
        </w:tc>
        <w:tc>
          <w:tcPr>
            <w:tcW w:w="7270"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At that time?</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lang w:val="en-US" w:eastAsia="en-US" w:bidi="ar-SA"/>
              </w:rPr>
            </w:pPr>
            <w:r>
              <w:rPr>
                <w:lang w:val="en-US" w:eastAsia="en-US" w:bidi="ar-SA"/>
              </w:rPr>
              <w:br/>
            </w:r>
          </w:p>
        </w:tc>
        <w:tc>
          <w:tcPr>
            <w:tcW w:w="614"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Yeah.</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836"/>
        <w:gridCol w:w="523"/>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819"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317</w:t>
            </w:r>
          </w:p>
        </w:tc>
        <w:tc>
          <w:tcPr>
            <w:tcW w:w="512" w:type="dxa"/>
            <w:tcBorders>
              <w:right w:val="nil"/>
            </w:tcBorders>
            <w:tcMar>
              <w:top w:w="100" w:type="dxa"/>
              <w:bottom w:w="0" w:type="dxa"/>
            </w:tcMar>
            <w:vAlign w:val="top"/>
          </w:tcPr>
          <w:p>
            <w:pPr>
              <w:rPr>
                <w:lang w:val="en-US" w:eastAsia="en-US" w:bidi="ar-SA"/>
              </w:rPr>
            </w:pPr>
            <w:r>
              <w:rPr>
                <w:lang w:val="en-US" w:eastAsia="en-US" w:bidi="ar-SA"/>
              </w:rPr>
              <w:br/>
            </w:r>
          </w:p>
        </w:tc>
        <w:tc>
          <w:tcPr>
            <w:tcW w:w="614"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Q</w:t>
            </w:r>
          </w:p>
        </w:tc>
        <w:tc>
          <w:tcPr>
            <w:tcW w:w="7270"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Where were you looking?</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lang w:val="en-US" w:eastAsia="en-US" w:bidi="ar-SA"/>
              </w:rPr>
            </w:pPr>
            <w:r>
              <w:rPr>
                <w:lang w:val="en-US" w:eastAsia="en-US" w:bidi="ar-SA"/>
              </w:rPr>
              <w:br/>
            </w:r>
          </w:p>
        </w:tc>
        <w:tc>
          <w:tcPr>
            <w:tcW w:w="614"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Down the road.</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There are, upon review of all of this evidence, some significant differences between the evidence given by the defendant, Mary Roberts, when she spoke to the police and at her trial, both of which occurred in 1993, and at her examination for discovery in 1995 on the one hand and that she gave at this trial on the other.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First and foremost, the evidence she gave at this trial that the plaintiff pulled off the road into a driveway before she decided to pass was given for the first time at this trial, no such suggestion was made on any of the previous occasions.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When confronted with this difficulty, Ms. Roberts became upset and announced that she had noticed that on several occasions when she had said he had pulled into the driveway "they" had written down "shoulder". When asked when she said this had been done she testified that it was during the course of her police statement. The word "shoulder" does not appear within the body of that statement.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When this was pointed out to her she testified that it must have been when she was speaking to the officer rather than in the statement. Once again it must be noted that no such suggestion was put to Cst. Roberge while he was in the witness stand, and with the greatest of respect to Ms. Roberts, it is highly unlikely, in my view, that he would have missed the significance of such evidence.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her evidence at this trial the defendant testified that she had slowed to a virtual standstill before passing, while at her examination for discovery she testified that she slowed but "not considerably".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At trial she insisted that she kept her eyes on him as she started to pass and saw him turn back towards her. At her examination for discovery she seems to have clearly testified that she was looking down the road and that she looked back and saw him turning when her daughter Monica yelled to her.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other witness who testified about the events was Monica Rose Roberts, the defendant's daughter, who was 13 at the time of the collision. She was seated in the front passenger seat.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This witness testified that the plaintiff was weaving from shoulder to shoulder "like a typical boy". She went on to testify that as her mother approached she slowed and honked her horn 2 or 3 times.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Monica Roberts testified that the plaintiff looked behind over his left shoulder and then moved to his right to the edge of the roadway but that he did not go onto the gravel shoulder. She then described him turning back to his left as they began to pass him, striking the side of the car.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It must be observed that this evidence contradicts that given by her mother, at this trial, in two material ways. Firstly, there is no suggestion the plaintiff pulled off into a driveway as her mother describes; and secondly, she describes the plaintiff looking back at them while her mother has consistently denied their being any sign from him that he was aware of their presence.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One other feature of this witness' evidence was her insistence that she had looked at the speedometer through these events and remembered her mother's speed at various points. She testified that at the point she saw the plaintiff in the distance ahead they were travelling at 60 kph; that she then slowed to 20 kph as they approached; and, that as she started to pass she accelerated back up to 30 kph before braking when the plaintiff swerved back.</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THE PHYSICAL EVIDENCE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Cst. Roberge photographed the scene of the accident and took detailed measurements of skid marks left at the scene by the defendant's vehicle. These were overlapping skid marks which began at the centreline and angled to the left as they crossed the eastbound lane to the gravel shoulder where the defendant's 1984 Chevrolet Celebrity came to rest.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plaintiff and his bicycle came to rest at or on the centreline of the road to the right and behind the defendant's vehicle.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Cst. Roberge provided the information he gathered along with his request for a reconstruction report to Cpl. B.H. Fare who prepared a Traffic Analyst Investigation Report on September 28, 1993. Cpl. Fare concluded that the minimum speed of the defendant's vehicle at the commencement of the skid marks was 57 kph.</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SUBMISSIONS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plaintiff submits that as the defendant approached him from behind she had him in plain view. He submits that if she slowed, as she suggests, she was travelling well over the posted speed limit.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He submits that the defendant's evidence about what happened given at this trial is at best reconstruction, and that the best evidence of what happened is her description of the accident to the police shortly after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plaintiff submits that the defendant's evidence is unreliable. It is clear, he submits, that nothing unexpected occurred here. The defendant saw the situation, appreciated the risk and the concern, and chose to proceed. He submits that the defendant is wholly at fault.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defendant submits that the plaintiff in this case was wholly at fault. He was riding a bicycle he was not familiar with, weaving all over the road and driving erratically. She submits that the boy had been told how to properly behave on the roadway but that he was rebellious and indifferent.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She submits that there is little difference between the way Ms. Gunther dealt with the situation and the way Ms. Roberts did and that the difference in the two situations was the swerve back to the left by the plaintiff. The defendant submits that the plaintiff is wholly at fault.</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DISCUSSION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The principles to be considered in assessing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a child were considered by our Court of Appeal in Ottosen v. Kasper</w:t>
      </w:r>
      <w:bookmarkStart w:id="18" w:name="Backward_fnref_fnr-1_0"/>
      <w:hyperlink w:anchor="Forward_fnref_fnr-1" w:history="1">
        <w:r>
          <w:rPr>
            <w:rFonts w:ascii="arial" w:eastAsia="arial" w:hAnsi="arial" w:cs="arial"/>
            <w:b/>
            <w:color w:val="BE161D"/>
            <w:sz w:val="20"/>
            <w:shd w:val="clear" w:color="auto" w:fill="FFFFFF"/>
            <w:vertAlign w:val="superscript"/>
            <w:lang w:val="en-US" w:eastAsia="en-US" w:bidi="ar-SA"/>
          </w:rPr>
          <w:t>1</w:t>
        </w:r>
      </w:hyperlink>
      <w:bookmarkEnd w:id="18"/>
      <w:r>
        <w:rPr>
          <w:rFonts w:ascii="arial" w:eastAsia="arial" w:hAnsi="arial" w:cs="arial"/>
          <w:color w:val="000000"/>
          <w:sz w:val="20"/>
          <w:lang w:val="en-US" w:eastAsia="en-US" w:bidi="ar-SA"/>
        </w:rPr>
        <w:t>. At p. 4, Lambert J.A., reviews the authorities: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 . . The foundation case in Canada is McEllistrum v. Etches, </w:t>
      </w:r>
      <w:hyperlink r:id="rId29" w:history="1">
        <w:r>
          <w:rPr>
            <w:rFonts w:ascii="arial" w:eastAsia="arial" w:hAnsi="arial" w:cs="arial"/>
            <w:i/>
            <w:color w:val="0077CC"/>
            <w:sz w:val="20"/>
            <w:u w:val="single"/>
            <w:shd w:val="clear" w:color="auto" w:fill="FFFFFF"/>
            <w:lang w:val="en-US" w:eastAsia="en-US" w:bidi="ar-SA"/>
          </w:rPr>
          <w:t>[1956] S.C.R. 787</w:t>
        </w:r>
      </w:hyperlink>
      <w:r>
        <w:rPr>
          <w:rFonts w:ascii="arial" w:eastAsia="arial" w:hAnsi="arial" w:cs="arial"/>
          <w:color w:val="000000"/>
          <w:sz w:val="20"/>
          <w:lang w:val="en-US" w:eastAsia="en-US" w:bidi="ar-SA"/>
        </w:rPr>
        <w:t>. Chief Justice Kerwin gave the judgment of the Supreme Court of Canada in that case, and at p. 793 he said this:</w:t>
      </w:r>
    </w:p>
    <w:p>
      <w:pPr>
        <w:spacing w:before="120" w:line="260" w:lineRule="atLeast"/>
        <w:ind w:left="1080"/>
        <w:rPr>
          <w:lang w:val="en-US" w:eastAsia="en-US" w:bidi="ar-SA"/>
        </w:rPr>
      </w:pPr>
      <w:r>
        <w:rPr>
          <w:rFonts w:ascii="arial" w:eastAsia="arial" w:hAnsi="arial" w:cs="arial"/>
          <w:color w:val="000000"/>
          <w:sz w:val="20"/>
          <w:lang w:val="en-US" w:eastAsia="en-US" w:bidi="ar-SA"/>
        </w:rPr>
        <w:t xml:space="preserve">It should now be laid down that where the age is not such as to make a discussion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absurd, it is a question for the jury in each case whether the infant exercised the care to be expected from a child of like age, intelligence and experience.</w:t>
      </w:r>
    </w:p>
    <w:p>
      <w:pPr>
        <w:spacing w:before="120" w:line="260" w:lineRule="atLeast"/>
        <w:ind w:left="720"/>
        <w:rPr>
          <w:lang w:val="en-US" w:eastAsia="en-US" w:bidi="ar-SA"/>
        </w:rPr>
      </w:pPr>
      <w:r>
        <w:rPr>
          <w:rFonts w:ascii="arial" w:eastAsia="arial" w:hAnsi="arial" w:cs="arial"/>
          <w:color w:val="000000"/>
          <w:sz w:val="20"/>
          <w:lang w:val="en-US" w:eastAsia="en-US" w:bidi="ar-SA"/>
        </w:rPr>
        <w:t xml:space="preserve">That point was elaborated on by Mr. Justice Walsh in Wessell et al. v. Kinsmen Club of Sault St. Marie Ontario Inc. </w:t>
      </w:r>
      <w:hyperlink r:id="rId30" w:history="1">
        <w:r>
          <w:rPr>
            <w:rFonts w:ascii="arial" w:eastAsia="arial" w:hAnsi="arial" w:cs="arial"/>
            <w:i/>
            <w:color w:val="0077CC"/>
            <w:sz w:val="20"/>
            <w:u w:val="single"/>
            <w:shd w:val="clear" w:color="auto" w:fill="FFFFFF"/>
            <w:lang w:val="en-US" w:eastAsia="en-US" w:bidi="ar-SA"/>
          </w:rPr>
          <w:t>(1982), 137 D.L.R. (3d) 96</w:t>
        </w:r>
      </w:hyperlink>
      <w:r>
        <w:rPr>
          <w:rFonts w:ascii="arial" w:eastAsia="arial" w:hAnsi="arial" w:cs="arial"/>
          <w:color w:val="000000"/>
          <w:sz w:val="20"/>
          <w:lang w:val="en-US" w:eastAsia="en-US" w:bidi="ar-SA"/>
        </w:rPr>
        <w:t>. At p. 107 Mr. Justice Walsh said this:</w:t>
      </w:r>
    </w:p>
    <w:p>
      <w:pPr>
        <w:spacing w:before="120" w:line="260" w:lineRule="atLeast"/>
        <w:ind w:left="1080"/>
        <w:rPr>
          <w:lang w:val="en-US" w:eastAsia="en-US" w:bidi="ar-SA"/>
        </w:rPr>
      </w:pPr>
      <w:r>
        <w:rPr>
          <w:rFonts w:ascii="arial" w:eastAsia="arial" w:hAnsi="arial" w:cs="arial"/>
          <w:color w:val="000000"/>
          <w:sz w:val="20"/>
          <w:lang w:val="en-US" w:eastAsia="en-US" w:bidi="ar-SA"/>
        </w:rPr>
        <w:t xml:space="preserve">In determining whether a child was contributorily negligent, it must first be decided whether the child was capable of having a responsibility for his own safety in respect of the not reasonably foreseeable risk of injury to which he was exposed by the defendant and if such capability is found, then whether there was, in fact,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child and the degree of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 . .</w:t>
      </w:r>
    </w:p>
    <w:p>
      <w:pPr>
        <w:spacing w:before="120" w:line="260" w:lineRule="atLeast"/>
        <w:ind w:left="720"/>
        <w:rPr>
          <w:lang w:val="en-US" w:eastAsia="en-US" w:bidi="ar-SA"/>
        </w:rPr>
      </w:pPr>
      <w:r>
        <w:rPr>
          <w:rFonts w:ascii="arial" w:eastAsia="arial" w:hAnsi="arial" w:cs="arial"/>
          <w:color w:val="000000"/>
          <w:sz w:val="20"/>
          <w:lang w:val="en-US" w:eastAsia="en-US" w:bidi="ar-SA"/>
        </w:rPr>
        <w:t xml:space="preserve">It will be apparent from that passage that there are three questions described by Mr. Justice Walsh. The first is whether the child is capable of being negligent. The second is whether the child was in fact negligent. And the third is the apportionment that should follow from the attribution of fault in respect of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Mr. Justice Walsh continues by dealing first with the question of capacity and then goes on to the second and third questions. At pp. 108-109 he deals with them together and in my opinion it is apparent from the way he deals with them that he considers that questions of age affect not only the standard of care in relation to a child who is capable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but also the degree of fault. At the top of p. 109, where Mr. Justice Walsh apportions 25% fault to the infant, it is in my view apparent that the lower standard of care affects the apportionment as well as the finding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When I say the lower standard of care I mean, of course, that the standard is measured against the conduct that should be expected of a reasonable child of the same age and in the same circumstances at the time of the accident as the child in question in the law suit.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At p. 5 after setting out the language of s. 1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Lambert, J.A., concludes: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The words used are the words of fault. The question that affects apportionment, therefore, is the weight of fault that should be attributed to each of the parties, not the weight of causation. In many cases they would be the same thing but, particularly in the case of a young child, the weight of fault may well be less than the weight that would be attributed if causation were the basis of the balancing. That point is supported by the reasons of Lord Denning in Gough v. Thorne [1966] 1 W.L.R. 1387 at 1390, where he says this:</w:t>
      </w:r>
    </w:p>
    <w:p>
      <w:pPr>
        <w:spacing w:before="120" w:line="260" w:lineRule="atLeast"/>
        <w:ind w:left="1080"/>
        <w:rPr>
          <w:lang w:val="en-US" w:eastAsia="en-US" w:bidi="ar-SA"/>
        </w:rPr>
      </w:pPr>
      <w:r>
        <w:rPr>
          <w:rFonts w:ascii="arial" w:eastAsia="arial" w:hAnsi="arial" w:cs="arial"/>
          <w:color w:val="000000"/>
          <w:sz w:val="20"/>
          <w:lang w:val="en-US" w:eastAsia="en-US" w:bidi="ar-SA"/>
        </w:rPr>
        <w:t xml:space="preserve">I am afraid I cannot agree with the judge. A very young child cannot be guilty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 older child may be. But it depends on the circumstances. A judge should only find a child guilty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if he or she is of such an age as to be expected to take precautions for his or her own safety; and then he or she is only to be found guilty if blame should be attached to him or her. A child has not the road sense or the experience of his or her elders. He or she is not to be found guilty unless he or she is blameworthy.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application of these principles was considered by Hood, J., in Bourne (Guardian ad litem of) v. Anderson</w:t>
      </w:r>
      <w:bookmarkStart w:id="19" w:name="Backward_fnref_fnr-2_0"/>
      <w:hyperlink w:anchor="Forward_fnref_fnr-2" w:history="1">
        <w:r>
          <w:rPr>
            <w:rFonts w:ascii="arial" w:eastAsia="arial" w:hAnsi="arial" w:cs="arial"/>
            <w:b/>
            <w:color w:val="BE161D"/>
            <w:sz w:val="20"/>
            <w:shd w:val="clear" w:color="auto" w:fill="FFFFFF"/>
            <w:vertAlign w:val="superscript"/>
            <w:lang w:val="en-US" w:eastAsia="en-US" w:bidi="ar-SA"/>
          </w:rPr>
          <w:t>2</w:t>
        </w:r>
      </w:hyperlink>
      <w:bookmarkEnd w:id="19"/>
      <w:r>
        <w:rPr>
          <w:rFonts w:ascii="arial" w:eastAsia="arial" w:hAnsi="arial" w:cs="arial"/>
          <w:color w:val="000000"/>
          <w:sz w:val="20"/>
          <w:lang w:val="en-US" w:eastAsia="en-US" w:bidi="ar-SA"/>
        </w:rPr>
        <w:t xml:space="preserve">. In this case a 7 year old child was involved in a game with older children and ran into the street between two parked vehicles and was struck by the defendant's vehicle. The defendant sought findings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child and his parents for failing to adequately instruct the child on safety procedures. At para. 55, Hood, J., writes: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8051"/>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55</w:t>
            </w:r>
          </w:p>
        </w:tc>
        <w:tc>
          <w:tcPr>
            <w:tcW w:w="410" w:type="dxa"/>
            <w:tcBorders>
              <w:right w:val="nil"/>
            </w:tcBorders>
            <w:tcMar>
              <w:top w:w="100" w:type="dxa"/>
              <w:bottom w:w="0" w:type="dxa"/>
            </w:tcMar>
            <w:vAlign w:val="top"/>
          </w:tcPr>
          <w:p>
            <w:pPr>
              <w:rPr>
                <w:lang w:val="en-US" w:eastAsia="en-US" w:bidi="ar-SA"/>
              </w:rPr>
            </w:pPr>
            <w:r>
              <w:rPr>
                <w:lang w:val="en-US" w:eastAsia="en-US" w:bidi="ar-SA"/>
              </w:rPr>
              <w:br/>
            </w:r>
          </w:p>
        </w:tc>
        <w:tc>
          <w:tcPr>
            <w:tcW w:w="7885"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In my opinion, once the presence of a child or children on a road is known, or should have been known, to the driver of a vehicle proceeding through a residential area where children live, that driver must take special precautions for the safety of the child or children seen, and any other child or children yet unseen whose possible appearance or entrance onto the road is reasonably foreseeable. The precautions include keeping a sharp look out, perhaps sounding the horn, but more importantly, immediately reducing the speed of the vehicle so as to be able to take evasive actions if required.</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At paras. 59 to 61, he goes on to detail the approach to the standard of care:</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8051"/>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59</w:t>
            </w:r>
          </w:p>
        </w:tc>
        <w:tc>
          <w:tcPr>
            <w:tcW w:w="410" w:type="dxa"/>
            <w:tcBorders>
              <w:bottom w:val="nil"/>
              <w:right w:val="nil"/>
            </w:tcBorders>
            <w:tcMar>
              <w:top w:w="100" w:type="dxa"/>
              <w:bottom w:w="0" w:type="dxa"/>
            </w:tcMar>
            <w:vAlign w:val="top"/>
          </w:tcPr>
          <w:p>
            <w:pPr>
              <w:rPr>
                <w:lang w:val="en-US" w:eastAsia="en-US" w:bidi="ar-SA"/>
              </w:rPr>
            </w:pPr>
            <w:r>
              <w:rPr>
                <w:lang w:val="en-US" w:eastAsia="en-US" w:bidi="ar-SA"/>
              </w:rPr>
              <w:br/>
            </w:r>
          </w:p>
        </w:tc>
        <w:tc>
          <w:tcPr>
            <w:tcW w:w="7885" w:type="dxa"/>
            <w:tcBorders>
              <w:bottom w:val="nil"/>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 xml:space="preserve">It would appear from the cases referred to by counsel, and others which I have read, that the law in this area, as to the test to be applied by the court when deciding the liability of a child for </w:t>
            </w:r>
            <w:r>
              <w:rPr>
                <w:rFonts w:ascii="arial" w:eastAsia="arial" w:hAnsi="arial" w:cs="arial"/>
                <w:b/>
                <w:i/>
                <w:color w:val="000000"/>
                <w:sz w:val="18"/>
                <w:u w:val="single"/>
                <w:lang w:val="en-US" w:eastAsia="en-US" w:bidi="ar-SA"/>
              </w:rPr>
              <w:t>negligence</w:t>
            </w:r>
            <w:r>
              <w:rPr>
                <w:rFonts w:ascii="arial" w:eastAsia="arial" w:hAnsi="arial" w:cs="arial"/>
                <w:color w:val="000000"/>
                <w:sz w:val="18"/>
                <w:lang w:val="en-US" w:eastAsia="en-US" w:bidi="ar-SA"/>
              </w:rPr>
              <w:t xml:space="preserve">, and the application of that test, is certainly not always clear. Mr. Justice Addy wrestled with the problem admirably in Heisler, </w:t>
            </w:r>
            <w:hyperlink r:id="rId31" w:history="1">
              <w:r>
                <w:rPr>
                  <w:rFonts w:ascii="arial" w:eastAsia="arial" w:hAnsi="arial" w:cs="arial"/>
                  <w:i/>
                  <w:color w:val="0077CC"/>
                  <w:sz w:val="18"/>
                  <w:u w:val="single"/>
                  <w:shd w:val="clear" w:color="auto" w:fill="FFFFFF"/>
                  <w:lang w:val="en-US" w:eastAsia="en-US" w:bidi="ar-SA"/>
                </w:rPr>
                <w:t>[1972] 2 O.R. 446</w:t>
              </w:r>
            </w:hyperlink>
            <w:r>
              <w:rPr>
                <w:rFonts w:ascii="arial" w:eastAsia="arial" w:hAnsi="arial" w:cs="arial"/>
                <w:color w:val="000000"/>
                <w:sz w:val="18"/>
                <w:lang w:val="en-US" w:eastAsia="en-US" w:bidi="ar-SA"/>
              </w:rPr>
              <w:t>, and it is not my wish to question his views generally, or to add to the seemingly unsettled state of the law. However, it seems to me that in referring to the care to be expected "from a child of like age, intelligence and experience" the Supreme Court of Canada in McEllistrum was referring to the reasonable or prudent child, and to an objective standard of care. The subjective factors, of the particular child's age, intelligence, and experience, are only relevant to the fixing of that standard of care.</w:t>
            </w:r>
          </w:p>
        </w:tc>
        <w:tc>
          <w:tcPr>
            <w:tcW w:w="1024" w:type="dxa"/>
            <w:tcBorders>
              <w:bottom w:val="nil"/>
            </w:tcBorders>
            <w:tcMar>
              <w:top w:w="100" w:type="dxa"/>
              <w:bottom w:w="0" w:type="dxa"/>
            </w:tcMar>
            <w:vAlign w:val="top"/>
          </w:tcPr>
          <w:p>
            <w:pPr>
              <w:rPr>
                <w:lang w:val="en-US" w:eastAsia="en-US" w:bidi="ar-SA"/>
              </w:rPr>
            </w:pPr>
            <w:r>
              <w:rPr>
                <w:lang w:val="en-US" w:eastAsia="en-US" w:bidi="ar-SA"/>
              </w:rPr>
              <w:br/>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60</w:t>
            </w:r>
          </w:p>
        </w:tc>
        <w:tc>
          <w:tcPr>
            <w:tcW w:w="410" w:type="dxa"/>
            <w:tcBorders>
              <w:bottom w:val="nil"/>
              <w:right w:val="nil"/>
            </w:tcBorders>
            <w:tcMar>
              <w:top w:w="100" w:type="dxa"/>
              <w:bottom w:w="0" w:type="dxa"/>
            </w:tcMar>
            <w:vAlign w:val="top"/>
          </w:tcPr>
          <w:p>
            <w:pPr>
              <w:rPr>
                <w:lang w:val="en-US" w:eastAsia="en-US" w:bidi="ar-SA"/>
              </w:rPr>
            </w:pPr>
            <w:r>
              <w:rPr>
                <w:lang w:val="en-US" w:eastAsia="en-US" w:bidi="ar-SA"/>
              </w:rPr>
              <w:br/>
            </w:r>
          </w:p>
        </w:tc>
        <w:tc>
          <w:tcPr>
            <w:tcW w:w="7885" w:type="dxa"/>
            <w:tcBorders>
              <w:bottom w:val="nil"/>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 xml:space="preserve">In my opinion then the standard of care in the case at bar is the conduct to be expected of a 7 year and 4 month old child having the same intelligence and experience as Geordie. And the test is whether Geordie exercised the care to be expected of that question reasonable child in the particular circumstances. This view is not new. It reflects what has been said and done in a number of cases which I have considered. See for example Whitehouse v. Fearnley </w:t>
            </w:r>
            <w:hyperlink r:id="rId32" w:history="1">
              <w:r>
                <w:rPr>
                  <w:rFonts w:ascii="arial" w:eastAsia="arial" w:hAnsi="arial" w:cs="arial"/>
                  <w:i/>
                  <w:color w:val="0077CC"/>
                  <w:sz w:val="18"/>
                  <w:u w:val="single"/>
                  <w:shd w:val="clear" w:color="auto" w:fill="FFFFFF"/>
                  <w:lang w:val="en-US" w:eastAsia="en-US" w:bidi="ar-SA"/>
                </w:rPr>
                <w:t>(1964), 47 D.L.R. (2d) 472</w:t>
              </w:r>
            </w:hyperlink>
            <w:r>
              <w:rPr>
                <w:rFonts w:ascii="arial" w:eastAsia="arial" w:hAnsi="arial" w:cs="arial"/>
                <w:color w:val="000000"/>
                <w:sz w:val="18"/>
                <w:lang w:val="en-US" w:eastAsia="en-US" w:bidi="ar-SA"/>
              </w:rPr>
              <w:t xml:space="preserve">, a decision of Branca J., as he then was, particularly at page 476, Ottosen v. Kasper </w:t>
            </w:r>
            <w:hyperlink r:id="rId33" w:history="1">
              <w:r>
                <w:rPr>
                  <w:rFonts w:ascii="arial" w:eastAsia="arial" w:hAnsi="arial" w:cs="arial"/>
                  <w:i/>
                  <w:color w:val="0077CC"/>
                  <w:sz w:val="18"/>
                  <w:u w:val="single"/>
                  <w:shd w:val="clear" w:color="auto" w:fill="FFFFFF"/>
                  <w:lang w:val="en-US" w:eastAsia="en-US" w:bidi="ar-SA"/>
                </w:rPr>
                <w:t>(1986), 37 C.C.L.T. 270</w:t>
              </w:r>
            </w:hyperlink>
            <w:r>
              <w:rPr>
                <w:rFonts w:ascii="arial" w:eastAsia="arial" w:hAnsi="arial" w:cs="arial"/>
                <w:color w:val="000000"/>
                <w:sz w:val="18"/>
                <w:lang w:val="en-US" w:eastAsia="en-US" w:bidi="ar-SA"/>
              </w:rPr>
              <w:t xml:space="preserve">, a decision of Lambert J.A., speaking for the Court of Appeal, and the helpful decision of Rand J., in dissent, in The King v. Laperrire, </w:t>
            </w:r>
            <w:hyperlink r:id="rId34" w:history="1">
              <w:r>
                <w:rPr>
                  <w:rFonts w:ascii="arial" w:eastAsia="arial" w:hAnsi="arial" w:cs="arial"/>
                  <w:i/>
                  <w:color w:val="0077CC"/>
                  <w:sz w:val="18"/>
                  <w:u w:val="single"/>
                  <w:shd w:val="clear" w:color="auto" w:fill="FFFFFF"/>
                  <w:lang w:val="en-US" w:eastAsia="en-US" w:bidi="ar-SA"/>
                </w:rPr>
                <w:t>[1946] S.C.R. 415</w:t>
              </w:r>
            </w:hyperlink>
            <w:r>
              <w:rPr>
                <w:rFonts w:ascii="arial" w:eastAsia="arial" w:hAnsi="arial" w:cs="arial"/>
                <w:color w:val="000000"/>
                <w:sz w:val="18"/>
                <w:lang w:val="en-US" w:eastAsia="en-US" w:bidi="ar-SA"/>
              </w:rPr>
              <w:t xml:space="preserve"> (S.C.C.) at pages 445 and 446.</w:t>
            </w:r>
          </w:p>
        </w:tc>
        <w:tc>
          <w:tcPr>
            <w:tcW w:w="1024" w:type="dxa"/>
            <w:tcBorders>
              <w:bottom w:val="nil"/>
            </w:tcBorders>
            <w:tcMar>
              <w:top w:w="100" w:type="dxa"/>
              <w:bottom w:w="0" w:type="dxa"/>
            </w:tcMar>
            <w:vAlign w:val="top"/>
          </w:tcPr>
          <w:p>
            <w:pPr>
              <w:rPr>
                <w:lang w:val="en-US" w:eastAsia="en-US" w:bidi="ar-SA"/>
              </w:rPr>
            </w:pPr>
            <w:r>
              <w:rPr>
                <w:lang w:val="en-US" w:eastAsia="en-US" w:bidi="ar-SA"/>
              </w:rPr>
              <w:br/>
            </w:r>
          </w:p>
        </w:tc>
      </w:tr>
      <w:tr>
        <w:tblPrEx>
          <w:tblW w:w="5000" w:type="pct"/>
          <w:jc w:val="center"/>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61</w:t>
            </w:r>
          </w:p>
        </w:tc>
        <w:tc>
          <w:tcPr>
            <w:tcW w:w="410" w:type="dxa"/>
            <w:tcBorders>
              <w:right w:val="nil"/>
            </w:tcBorders>
            <w:tcMar>
              <w:top w:w="100" w:type="dxa"/>
              <w:bottom w:w="0" w:type="dxa"/>
            </w:tcMar>
            <w:vAlign w:val="top"/>
          </w:tcPr>
          <w:p>
            <w:pPr>
              <w:rPr>
                <w:lang w:val="en-US" w:eastAsia="en-US" w:bidi="ar-SA"/>
              </w:rPr>
            </w:pPr>
            <w:r>
              <w:rPr>
                <w:lang w:val="en-US" w:eastAsia="en-US" w:bidi="ar-SA"/>
              </w:rPr>
              <w:br/>
            </w:r>
          </w:p>
        </w:tc>
        <w:tc>
          <w:tcPr>
            <w:tcW w:w="7885"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The question is not an easy one. What causes me much concern is the well-known fact that generally speaking young children are forgetful and easily distracted, and often the need to take care for their own safety, and safety lessons drilled into them, fail them or are forgotten when crossing or attempting to cross a street. And this is particularly so if they are involved in some sort of a game with an older child or children; for example, a child chasing a ball, or another child, onto a street. Given the propensities of young children, I find it difficult to postulate the care to be expected from the reasonable child in such circumstances.</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 agree with the approach taken by Hood, J., in Bourne.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 the present case the plaintiff was, at the time of the collision, 10 years of age. He is of First Nations heritage and prior to the collision had resided in six different foster homes. At the time of the collision he was living with his uncle and grandmother.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plaintiff had been taught the rules of the road and some elements of road safety. One of his foster parents, Clarence Friesen, testified that there were times when he was pulled off the road because he wasn't careful.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In my view, given the plaintiff's age and experience, he did not meet the standard to be expected of a reasonable child of the same age, intelligence and experience. He is, at that age, capable of being negligent and I find that he was in failing to take reasonable precautions.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With that having been said, however, it must be recognized that in the circumstances of this case, the plaintiff's activities and his inattention to those activities were all apparent to the defendant as she approached from a long, straight stretch of roadway. She not only observed those activities, she recognized the concern and risk associated with them.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Those facts imposed on the defendant the obligation to take special precautions for the safety of the child whose inattention to his own safety was not just reasonably foreseeable but patently apparent. Those special precautions, at a minimum, included those described by Hood, J., in para. 55 of Bourne and in particular, and most importantly, the obligation to immediately reduce the speed of her vehicle so as to be able to take evasive actions if they were required.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This requirement was recognized by the defendant in her evidence at this trial in the alterations so apparent in her evidence. Whether those alterations result from reconstruction, wishful thinking or untruthfulness is of little concern. I am satisfied that her testimony at trial is unreliable and inaccurate. I reject her evidence that the plaintiff pulled off the road into a driveway and her evidence that she slowed to a virtual standstill.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whole of the evidence in this case leads inevitably to the conclusion that if the defendant did slow she still approached the plaintiff at the posted maximum speed limit of 60 kph. The independent evidence of Ms. Gunther places her at or about that speed seconds before she heard a honk and the screech of tires. In addition, Cpl. Fares' analysis places the defendant's minimum speed at the time she applied her brakes at 57 kph.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It is equally clear from the skid marks shown in the photographs that the defendant did not move her vehicle to the left hand lane as she approached the plaintiff but was changing lanes as she hit her brakes. The commencement of the skid marks at the centre line and their straight diagonal angle across the eastbound lane make that readily apparent particularly when a period of reaction time is considered.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It is not simply negligent but foolhardy in the circumstances apparent to the defendant to continue at the speed she did and then execute the lane change quite literally at the last second. The speed of the defendant's vehicle cannot be reconciled, in my view, with her accelerating to pass after slowing to a virtual standstill and I reject that attempted rationalization.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In the end, I find that both parties are at fault and contributed to the collision in question. But, the defendant must bear the most substantial degree of fault. She was the adult approaching what she readily recognized was a risky situation. This was not a sudden and unexpected event but one she anticipated and expected.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Unlike Ms. Gunther who slowed, approached with caution, and passed safely on the left; Ms. Roberts approached at speed and attempted to change lanes at the last second. In changing lanes she took her eyes off the plaintiff and was looking down the road. Her actions fall far short of the reasonable standard expected.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 apportion liability 90% to the defendant and 10% to the plaintiff.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If counsel are unable to agree on costs they may be spoken to.</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PARRETT J.</w:t>
      </w:r>
      <w:r>
        <w:rPr>
          <w:lang w:val="en-US" w:eastAsia="en-US" w:bidi="ar-SA"/>
        </w:rPr>
        <w:cr/>
      </w:r>
    </w:p>
    <w:p>
      <w:pPr>
        <w:spacing w:after="240"/>
        <w:rPr>
          <w:lang w:val="en-US" w:eastAsia="en-US" w:bidi="ar-SA"/>
        </w:rPr>
      </w:pPr>
      <w:r>
        <w:pict>
          <v:line id="_x0000_s1035" style="position:absolute;z-index:251862016" from="0,15pt" to="180pt,15pt" strokecolor="#bcbeb0" strokeweight="0.5pt">
            <v:stroke linestyle="single"/>
          </v:line>
        </w:pict>
      </w:r>
    </w:p>
    <w:p>
      <w:pPr>
        <w:rPr>
          <w:lang w:val="en-US" w:eastAsia="en-US" w:bidi="ar-SA"/>
        </w:rPr>
      </w:pPr>
    </w:p>
    <w:p>
      <w:pPr>
        <w:spacing w:before="120" w:after="20" w:line="240" w:lineRule="atLeast"/>
        <w:ind w:left="720" w:hanging="360"/>
        <w:jc w:val="both"/>
        <w:rPr>
          <w:lang w:val="en-US" w:eastAsia="en-US" w:bidi="ar-SA"/>
        </w:rPr>
      </w:pPr>
      <w:bookmarkStart w:id="20" w:name="Forward_fnref_fnr-1_0"/>
      <w:hyperlink w:anchor="Backward_fnref_fnr-1" w:history="1">
        <w:r>
          <w:rPr>
            <w:rFonts w:ascii="arial" w:eastAsia="arial" w:hAnsi="arial" w:cs="arial"/>
            <w:b/>
            <w:color w:val="BE161D"/>
            <w:sz w:val="18"/>
            <w:shd w:val="clear" w:color="auto" w:fill="FFFFFF"/>
            <w:lang w:val="en-US" w:eastAsia="en-US" w:bidi="ar-SA"/>
          </w:rPr>
          <w:t>1</w:t>
        </w:r>
      </w:hyperlink>
      <w:bookmarkEnd w:id="20"/>
      <w:r>
        <w:rPr>
          <w:lang w:val="en-US" w:eastAsia="en-US" w:bidi="ar-SA"/>
        </w:rPr>
        <w:tab/>
      </w:r>
      <w:hyperlink r:id="rId33" w:history="1">
        <w:r>
          <w:rPr>
            <w:rFonts w:ascii="arial" w:eastAsia="arial" w:hAnsi="arial" w:cs="arial"/>
            <w:i/>
            <w:color w:val="0077CC"/>
            <w:sz w:val="18"/>
            <w:u w:val="single"/>
            <w:shd w:val="clear" w:color="auto" w:fill="FFFFFF"/>
            <w:lang w:val="en-US" w:eastAsia="en-US" w:bidi="ar-SA"/>
          </w:rPr>
          <w:t>[1986] B.C.J. No. 139</w:t>
        </w:r>
      </w:hyperlink>
    </w:p>
    <w:p>
      <w:pPr>
        <w:spacing w:before="120" w:after="20" w:line="240" w:lineRule="atLeast"/>
        <w:ind w:left="720" w:hanging="360"/>
        <w:jc w:val="both"/>
        <w:rPr>
          <w:lang w:val="en-US" w:eastAsia="en-US" w:bidi="ar-SA"/>
        </w:rPr>
      </w:pPr>
      <w:bookmarkStart w:id="21" w:name="Forward_fnref_fnr-2_0"/>
      <w:hyperlink w:anchor="Backward_fnref_fnr-2" w:history="1">
        <w:r>
          <w:rPr>
            <w:rFonts w:ascii="arial" w:eastAsia="arial" w:hAnsi="arial" w:cs="arial"/>
            <w:b/>
            <w:color w:val="BE161D"/>
            <w:sz w:val="18"/>
            <w:shd w:val="clear" w:color="auto" w:fill="FFFFFF"/>
            <w:lang w:val="en-US" w:eastAsia="en-US" w:bidi="ar-SA"/>
          </w:rPr>
          <w:t>2</w:t>
        </w:r>
      </w:hyperlink>
      <w:bookmarkEnd w:id="21"/>
      <w:r>
        <w:rPr>
          <w:lang w:val="en-US" w:eastAsia="en-US" w:bidi="ar-SA"/>
        </w:rPr>
        <w:tab/>
      </w:r>
      <w:hyperlink r:id="rId35" w:history="1">
        <w:r>
          <w:rPr>
            <w:rFonts w:ascii="arial" w:eastAsia="arial" w:hAnsi="arial" w:cs="arial"/>
            <w:i/>
            <w:color w:val="0077CC"/>
            <w:sz w:val="18"/>
            <w:u w:val="single"/>
            <w:shd w:val="clear" w:color="auto" w:fill="FFFFFF"/>
            <w:lang w:val="en-US" w:eastAsia="en-US" w:bidi="ar-SA"/>
          </w:rPr>
          <w:t>[1997] B.C.J. No. 915</w:t>
        </w:r>
      </w:hyperlink>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6" style="position:absolute;z-index:25190092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6"/>
          <w:headerReference w:type="default" r:id="rId37"/>
          <w:footerReference w:type="even" r:id="rId38"/>
          <w:footerReference w:type="default" r:id="rId39"/>
          <w:headerReference w:type="first" r:id="rId40"/>
          <w:footerReference w:type="first" r:id="rId4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2" w:history="1">
        <w:r>
          <w:rPr>
            <w:rFonts w:ascii="arial" w:eastAsia="arial" w:hAnsi="arial" w:cs="arial"/>
            <w:b/>
            <w:bCs/>
            <w:i/>
            <w:color w:val="0077CC"/>
            <w:kern w:val="32"/>
            <w:sz w:val="28"/>
            <w:szCs w:val="32"/>
            <w:u w:val="single"/>
            <w:shd w:val="clear" w:color="auto" w:fill="FFFFFF"/>
            <w:lang w:val="en-US" w:eastAsia="en-US" w:bidi="ar-SA"/>
          </w:rPr>
          <w:t>Prasad v. Wepruk, [2004] B.C.J. No. 868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Ehrcke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11 - 16,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30,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S06940</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[2004] B.C.J. No. 868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2004 BCSC 578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130 A.C.W.S. (3d) 442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Bhagaoti Prasad, plaintiff, and Metro Wepruk a.k.a. Dmetro Wepruk a.k.a. Matt Wepruk,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37" style="position:absolute;z-index:2516602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2" w:name="Keywords_1"/>
      <w:bookmarkEnd w:id="22"/>
      <w:r>
        <w:rPr>
          <w:rFonts w:ascii="arial" w:eastAsia="arial" w:hAnsi="arial" w:cs="arial"/>
          <w:b/>
          <w:color w:val="000000"/>
          <w:sz w:val="20"/>
          <w:lang w:val="en-US" w:eastAsia="en-US" w:bidi="ar-SA"/>
        </w:rPr>
        <w:t>Damages — General damages — For personal injuries — Non-pecuniary damages, including pain and suffering — For torts — Affecting the person — Tort law — Nuisance — Liability of owner — Animals.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3" w:name="Case Summary_1"/>
            <w:bookmarkEnd w:id="2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Prasad for damages resulting from injuries suffered in an attack by a dog owned by Wepruk. Prasad was 79 years old with little education. His only employment was the delivery of newspapers. Prasad suffered wounds to his hand and forearm, and was unable to return to work. The Workers Compensation Board, similarly, brought a subrogated legal action for reimbursement of medical expenses.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4" w:name="Holdings of Court_1"/>
            <w:bookmarkEnd w:id="24"/>
            <w:r>
              <w:rPr>
                <w:rFonts w:ascii="arial" w:eastAsia="arial" w:hAnsi="arial" w:cs="arial"/>
                <w:color w:val="000000"/>
                <w:sz w:val="20"/>
                <w:lang w:val="en-US" w:eastAsia="en-US" w:bidi="ar-SA"/>
              </w:rPr>
              <w:t xml:space="preserve">HELD: Wepruk was found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failing to keep his dog restrained.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Prasad received damages for wages lost in the amount of $3,300 plus interest. Workers Compensation Board was entitled to special damages, a reimbursement of medical costs of $6,448. Moreover, Prasad was awarded $4,000 for future wage loss and general damages in the amount of $35,000.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5" w:name="Legislation Cited_1"/>
      <w:bookmarkEnd w:id="2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38" style="position:absolute;z-index:2517114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Workers Compensation Act, R.S.B.C. 1996, s. 10(6).</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6" w:name="Counsel_1"/>
      <w:bookmarkEnd w:id="2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39" style="position:absolute;z-index:2517626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Scott A. Nielsen and Nick Bower, for the plaintiff. Donald John Hrytsak, for the defendant.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7" w:name="Judgment_1"/>
      <w:bookmarkEnd w:id="27"/>
      <w:r>
        <w:pict>
          <v:line id="_x0000_s1040" style="position:absolute;z-index:251813888"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 corrigendum was released by the Court May 26, 2004. The correction has been made to the text and the corrigendum is appended to this document.]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8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8" w:name="EHRCKE J."/>
            <w:bookmarkEnd w:id="28"/>
            <w:r>
              <w:rPr>
                <w:rFonts w:ascii="arial" w:eastAsia="arial" w:hAnsi="arial" w:cs="arial"/>
                <w:b/>
                <w:color w:val="000000"/>
                <w:sz w:val="30"/>
                <w:lang w:val="en-US" w:eastAsia="en-US" w:bidi="ar-SA"/>
              </w:rPr>
              <w:t>EHRCKE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In this action the plaintiff seeks damages for personal injuries suffered when he was attacked by a large Bouvier-type dog on April 28, 2002, on the street in front of the premises known as 12955 - 112B Avenue, Surrey, British Columbia. Both liability and quantum of damages are in issue. The plaintiff suffered the injuries while in the course of his employment as a newspaper carrier for "The Leader" newspaper.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plaintiff made a claim to the Workers' Compensation Board of British Columbia for benefits pursuant to s. 5 of the Workers Compensation Act, </w:t>
      </w:r>
      <w:r>
        <w:rPr>
          <w:rFonts w:ascii="arial" w:eastAsia="arial" w:hAnsi="arial" w:cs="arial"/>
          <w:i/>
          <w:color w:val="000000"/>
          <w:sz w:val="20"/>
          <w:lang w:val="en-US" w:eastAsia="en-US" w:bidi="ar-SA"/>
        </w:rPr>
        <w:t>R.S.B.C. 1996, c. 492</w:t>
      </w:r>
      <w:r>
        <w:rPr>
          <w:rFonts w:ascii="arial" w:eastAsia="arial" w:hAnsi="arial" w:cs="arial"/>
          <w:color w:val="000000"/>
          <w:sz w:val="20"/>
          <w:lang w:val="en-US" w:eastAsia="en-US" w:bidi="ar-SA"/>
        </w:rPr>
        <w:t>. His claim was accepted, and the Board paid benefits to him and paid medical expenses on his behalf. This is a subrogated legal action brought by the Workers' Compensation Board pursuant to s. 10(6) of the Workers Compensation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is a 79-year-old man who emigrated to Canada from Fiji. He lives with his wife and stepson in Surrey, British Columbia. He speaks no English and gave his evidence through an interpreter. He has little education and cannot read or write. Prior to this incident, he was earning his living by delivering newspapers for "The Leader". He started working for that newspaper on June 1, 1994. He was responsible for delivering 118 newspapers three times a week. His average yearly earnings for making those deliveries was between $1,550 and $1,700 per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On April 28, 2002, shortly after 8:00 a.m., the plaintiff was delivering newspapers to a number of homes on 112B Avenue in Surrey. Mr. Prasad was at that time 77 years old. As he was walking down the street pulling his cart with newspapers behind him, he passed a scrapyard located at 12955 - 112B Avenue. He did not enter that property, but was merely walking past it on the street on his way to various homes to make newspaper deliveries. While on the street in front of that address, he was attacked by a Bouvier-type dog. As he described it, the dog barked, came running, and tried to attack his throat. The dog was on its hind legs. Mr. Prasad raised his arm to protect his throat, and the dog bit into his arm. Mr. Prasad fell to the ground, and the dog pulled him some distance. He testified that the dog came from the scrapyard. He said that he had never seen the dog before but had heard it on other occasions when he walked past.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 couple that lived two lots away from the scrapyard quickly became aware of what was happening. Mark Pickering testified that he was outside working on his truck when he saw a flash out of the corner of his eye and saw the dog jump up and attack Mr. Prasad. He said it was a vicious attack and that the dog was going for Mr. Prasad's neck. He went into his house and called 911.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Pickering's common law wife, Kathleen Toth, came out of the house and also saw the dog attacking Mr. Prasad. She described it as a vicious attack. Every time Mr. Prasad tried to get up the dog would knock him down again. Because of the ferocity of the attack, neither Kathleen Toth nor Mark Pickering felt able to intervene physically to prevent it. Kathleen Toth estimated that the attack lasted five to ten minutes.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Constable Naipaul and Constable Scully of the Surrey Detachment of the R.C.M.P. arrived shortly. Constable Naipaul was sufficiently concerned about the dog that he drew his handgun and was prepared to shoot him if necessary. He saw that the dog had blood on its chest and snout. Constable Scully also described the dog as having blood on him and said that he was aggressive and growling. He also drew his gun.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Within five or ten minutes, the defendant Matt Wepruk arrived at the scrapyard in his car. He had been telephoned by a neighbour. According to Constable Naipaul, when Mr. Wepruk arrived on the scene the dog became less aggressive and stayed on the property of the scrapyard. Constable Naipaul testified that Mr. Wepruk indicated to him that he was the owner of the dog. Constable Naipaul instructed him to restrain the dog as he was not on a chain or leash. Constable Naipaul described Mr. Wepruk as belligerent and less than cooperative. He said that Mr. Wepruk did not initially go to restrain the dog but rather expressed disbelief that the dog would attack anyone. Mr. Wepruk did, however, eventually grab the dog around the neck with his hand, and walked him along a grassy path towards the back of the scrapyard property, where there was a long chain secured to a heavy piece of machinery. He tied that chain around the dog's neck. Constable Naipaul described the dog as being compliant and non-aggressive while Mr. Wepruk was thus securing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Photographs were taken at the time. They show the dog in question both before and after he was secured. He clearly has blood down the front of his body and leg. In one picture taken after Mr. Wepruk had tied the chain around the dog's neck, the dog can be seen apparently rubbing his snout against Mr. Wepruk's leg while Mr. Wepruk appears to be scratching the back of the dog's neck.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Constable Scully gave similar evidence. He too said that the dog became calm and not aggressive when Mr. Wepruk arrived. He said Mr. Wepruk was in disbelief when Constable Scully told him what had happened. According to Constable Scully, Mr. Wepruk said that the attack could not have happened because his dog is non-violent and always chained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What happened after the dog was secured is not entirely clear. Mr. Wepruk testified that he went to a tool shed at the back of the property and lay down to rest for a couple of hours. Mr. Prasad, meanwhile, was taken to hospital by ambulance. What is unusual is that none of the witnesses was able to say what eventually happened to the dog. It seems not only that the dog disappeared, but also that the chain which had been used to secure him, and which had been attached on its other end to a heavy piece of machinery, also disappeared. Neither Mr. Wepruk nor anyone else who testified provided any explanation of what happened to the dog and the chain.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PLAINTIFF'S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After the attack Mr. Prasad was taken to the emergency department of Surrey Memorial Hospital where he was assessed by Dr. Low and referred to Dr. Schweigel, the on-call orthopaedic surgeon. Dr. Schweigel observed multiple lacerations and puncture wounds to Mr. Prasad's right hand and right forearm. There were also multiple puncture wounds on his left hand. X-rays revealed a comminuted fracture with breaks in four or five places. Mr. Prasad underwent an operation that night under general anaesthetic. A few days later he was taken to the operating room again for further debridement or removal of dead tissue. During that process he lost a significant amount of blood and had to receive transfusions and antibiotics. Arrangements were made for home care nursing. His sutures were removed on May 10, 2002. As Mr. Prasad's fingers were painful and stiff, physiotherapy was arranged.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Prasad was admitted to the Guildford Physiotherapy and Hand Clinic on May 28, 2002 and was discharged after three months of intensive physiotherapy on August 28, 2002. At that time his discharge status was described as "not fit to return to work". It was found that his power to grip with his right hand was one-third that of normal. Mr. Prasad is right-handed.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report of Dr. Rai, Mr. Prasad's family physician concludes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I saw him last on June 11, 2003 he was still complaining of right wrist pain. He was not able to make his right fist completely. It appeared that his condition had plateaued and further improvement was unlikely.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summary, Mr. Prasad was a 72-year-old right hand dominant man who was quite healthy and was able to make rounds of newspaper delivery before he was attacked by a dog while delivering newspapers. He had extensive lacerations and puncture wounds to the right forearm and both hands. He also suffered a comminuted fracture of the right ulna and another undisplaced fracture of the right ulna. The fracture required an open reduction and internal fixation. The wounds required debridement a couple of times under general anesthesia. He lost so much blood in the process that he had to be transfused a couple of units of blood. Now his condition seem to have plateaued and he is still not able to make a fist with right hand and the right wrist is still painful. Taking his age into consideration, I believe Mr. Prasad is not likely to be able to work again. The pain in the wrist is likely to persist indefinitely. The removal of the hard ware is not likely to improve the situation.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Prasad has been my patient since April 2000. Considering his age he was quite healthy with no serious ongoing medical problems except for diet controlled diabetic and a peptic ulcer. In particular he had no problems related to arthritis.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effect of these injuries was described in the testimony of the plaintiff as well as that of his wife and stepson. He is described by all as a person who was in physically good condition for his age. He was a man who enjoyed his work delivering newspapers and had no thoughts of retiring. He is now weaker physically and can neither work nor do gardening around the house. He has great difficulty picking things up as his right hand is now weak. Before the attack he was not afraid of dogs, but now he is very fearful when he hears a dog bark. He has nightmares about being attacked by a dog.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BASES OF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 plaintiff submits that there are two different bases upon which the defendant may be found liable for damages caused by the attack by the Bouvier-type dog: scienter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common law doctrine of scienter differs from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that if the conditions for scienter are found, the liability is absolute and does not depend upon proof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requirements for establishing scienter were described by the British Columbia Court of Appeal in Janota-Bzowska v. Lewis, </w:t>
      </w:r>
      <w:hyperlink r:id="rId43" w:history="1">
        <w:r>
          <w:rPr>
            <w:rFonts w:ascii="arial" w:eastAsia="arial" w:hAnsi="arial" w:cs="arial"/>
            <w:i/>
            <w:color w:val="0077CC"/>
            <w:sz w:val="20"/>
            <w:u w:val="single"/>
            <w:shd w:val="clear" w:color="auto" w:fill="FFFFFF"/>
            <w:lang w:val="en-US" w:eastAsia="en-US" w:bidi="ar-SA"/>
          </w:rPr>
          <w:t>[1997] B.C.J. No. 2053</w:t>
        </w:r>
      </w:hyperlink>
      <w:r>
        <w:rPr>
          <w:rFonts w:ascii="arial" w:eastAsia="arial" w:hAnsi="arial" w:cs="arial"/>
          <w:color w:val="000000"/>
          <w:sz w:val="20"/>
          <w:lang w:val="en-US" w:eastAsia="en-US" w:bidi="ar-SA"/>
        </w:rPr>
        <w:t>. In that case the Court observed at para. 9 that the owner of a dog can be found liable for an attack in two ways: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First, the owner may be held liable under the doctrine of scienter and second, the owner may be held liable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It is important to keep the two separate as they often become intertwined. They are, however, not the same.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Court went on at para. 20 to describe the doctrine of scienter in this way: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law with respect to the doctrine of scienter is relatively clear. The owner of a dog which bites another will not be liable simply for being the owner. Liability will only attach under the doctrine if the three conditions set forth in the Neville decision have been satisfied. In other words, the plaintiff (not the defendant) must establish:</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defendant was the owner of the dog;</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dog had manifested a propensity to cause the type of harm occasioned; and</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owner knew of that propensity.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Some provinces now have legislation which modifies the common law of scienter but, since the repeal of the Animals Act in 1981, British Columbia does not and the common law applies untrammelled by statutory enactment.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At para. 23 of the judgment, the Court of Appeal described the requirements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context of a dog attack in this way: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 succeed in an action based on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Holtzman, the plaintiff must prove, on a balance of probabilities that:</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Holtzman knew, or ought to have known, that Boomer was likely to create a risk of injury to third persons, including the plaintiff; and</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Holtzman failed to take reasonable care to prevent such injury.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It can be seen that there are two important differences between liability based on scienter and liability based on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If the requirements of scienter are established, liability is absolute, and the plaintiff is not required to show breach of a standard of care. On the other hand, to establish scienter, the plaintiff must show both that the dog manifested a propensity to cause the type of harm which occurred and also that the owner knew of that propensity. It thus appears that for scienter, the mental element is based on a subjective test: the plaintiff must establish that the defendant actually knew of the dog's propensity to cause the relevant type of harm. This is in contrast to liability based on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where an objective test applies. That is,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it is sufficient if the defendant knew or ought to have known that the dog was likely to create a risk of injury to third persons, and failed to take reasonable care to prevent the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OWNERSHIP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primary defence offered in this case is that the defendant was not in fact the owner of the dog who attacked Mr. Prasad. This is based on the evidence of the defendant Mr. Wepruk and a number of witnesses that were called on his behalf.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defendant testified that prior to the date of the attack, he had never seen the Bouvier dog chained up on his property. He did say, however, that he had a different dog that he routinely kept on that property for the purpose of scaring intruders away. That dog was named "Buddy". He was a black and white dog who looks nothing like the Bouvier that attacked Mr. Prasad. Mr. Wepruk denies ever telling the police officers that he was the owner of the Bouvier dog that attacked Mr. Prasad.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Wepruk testified that he used to keep the dog Buddy on his scrapyard property 24 hours a day, seven days a week. Buddy would bark and create a distraction if intruders came around. He said that his dog Buddy died mysteriously, apparently a victim of poisoning about one and one-half months before the incident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Wepruk introduced in evidence a photograph of a dog lying motionless on the ground in front of a doghouse. He testified that this photograph was taken one and one-half months before the attack on Mr. Prasad and was a picture of Buddy just before his death. On Mr. Wepruk's evidence, that photograph, marked as Exhibit 9, would have been taken at the beginning of March 2002. Yet the photograph shows long lush vegetation with the grass bright green and very overgrown. The wood on the doghouse has no moss or discolouration on it. This is in contrast to another photograph marked as Exhibit 8, which Mr. Wepruk described as a photograph of Buddy's doghouse taken on April 28 or 29, 2002. That photograph shows the grass short and brownish-yellow, as one would expect at the end of winter. Moreover, the wood on the doghouse is almost completely covered with green moss or algae. Judging by those features, it is difficult to accept the defendant's evidence that the photograph showing Buddy as he lay dying on the ground in front of the doghouse was really taken in early March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However, the defendant called other witnesses in an attempt to support his account that he was not the owner of the Bouvier dog that attacked Mr. Prasad, but was rather the owner a different dog, Buddy, who had died one and one-half months before the attack.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Kevin Gordon testified for the defence. He said that he used to own a black and white Springer spaniel dog which he had as a pet. However, when his daughter was born, he decided to give it to Matt Wepruk to keep on his scrapyard property. He identified that dog, Buddy, in the photographs marked as Exhibits 7 and 9. He said that someone poisoned Buddy in March 2002, and that he last saw the dog a couple of months before that. When asked when it was that he brought Buddy to Mr. Wepruk's scrapyard, he said 1997. However, as counsel for the plaintiff pointed out, that does not accord with his evidence that he gave the dog to Mr. Wepruk around the time his daughter was born. Mr. Gordon testified that his daughter is about to turn 10 years old. That means that she was born in 1994, and in that case, he must have given Buddy to the defendant in 1994 rather than 1997. Counsel for the plaintiff argues that if he is off by three years regarding the date that he gave Buddy to the defendant, then his evidence that the dog was poisoned in March 2002 may also be inaccurate.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Len Brill testified for the defence. He has known the defendant for 30 years. He said that he went to the defendant's property on 112B Avenue two years ago to see about getting his scrapyard up and running again. Although he did not get out of his car, he looked down the driveway and saw what he described as the defendant's dog lying in the middle of the driveway. The dog was 20 to 25 feet away from him and it did not stand up. However, he said he thought it was a black and white Border collie. When shown the photograph of Buddy marked as Exhibit 9, he said he did not know if that was the dog he had seen.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Diana Danyluk testified for the defence. She is a tow truck driver who has known Matt Wepruk for 33 years. She has towed many vehicles onto and off of his scrapyard. She said that she was at the defendant's scrapyard two years ago and at that time there was a black and white dog called Buddy there. She described Buddy as being mild, like a child's dog. She was shown a photograph of the Bouvier dog that attacked Mr. Prasad and said that she had never seen that dog on the defendant's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Finally, the defence called Lorne Peebles. He has known the defendant for 12 years. The defendant gave him a key to a building containing tools at the back of the scrapyard property. Mr. Peebles gave evidence about an occasion on which he had gone to that workshop in order to work on a starter motor from a motorhome. He arrived at around 7:00 to 7:30 a.m. An hour or two later, the defendant came into the workshop seeming distraught and told Mr. Peebles that there was a problem out on the street with a dog or something. The defendant then lay down on a cot in the workshop and rested for a couple of hours, after which both men left. He was shown a photograph of the Bouvier dog that attacked Mr. Prasad and said that he did not see that dog on the defendant's property that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Unfortunately, Mr. Peebles' evidence does not correspond with the other evidence in this case. If the incident that he described occurred at all, it could not have been related to the incident when Mr. Prasad was attacked. This is because Mr. Peebles said that the occasion he was talking about occurred some time before the weekend, whereas the date of the attack on Mr. Prasad, April 28, 2002, was a Sunday. As well, Mr. Peebles testified that the event he was describing occurred in October. He also testified that on this occasion the defendant was using his crutches. Although the defendant is an amputee and has an artificial leg, all of the other witnesses testified that he was not using his crutches on the date that Mr. Prasad was attacked. In light of these inconsistencies I must conclude that the event described by Mr. Peebles, if it occurred at all, did not take place on April 28, 2002, and has no relevance to the case at bar.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On the other side of the ledger there is substantial evidence that the defendant was indeed the owner of the Bouvier dog. First, there are the photographs to which I have already referred that were taken at the time of the attack on Mr. Prasad. These show the Bouvier dog nuzzling the defendant's leg while the defendant scratches his neck. Both the dog and the defendant appear to be acting towards one another in the manner one would expect if the defendant was indeed the dog's owner. This is also consistent with the evidence of the police officers that the Bouvier dog, which had been so aggressive that both officers felt the need to draw their firearms, calmed down as soon as the defendant arrived. The defendant was able to secure the dog to a chain without difficulty.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Next there is the fact that the defendant told the police he was the owner of the dog. I do not accept the defendant's testimony that if he said this at all, what he meant was that he owned the scrapyard. Equally significant is the fact that when he arrived on the scene, the defendant expressed disbelief that his dog would have attacked any one. He told the police that his dog was calm and was always kept chained. When he said this to the police, the defendant could not have been referring to the black and white dog Buddy, because on his own evidence, that dog had been dead for one and one-half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Finally, people who lived on the same street as the scrapyard had seen the Bouvier dog on the scrapyard property of the defendant in the weeks and months prior to the attack on Mr. Prasad. The defendant argues that the dog they saw or heard barking must have been his dog Buddy, but that is simply inconsistent with the evidence. Ms. Toth and Mr. Pickering were shown photographs of the respective dogs and were quite clear in their evidence that the dog that had been living on the defendant's property in those preceding weeks and months was the Bouvier dog that attacked Mr. Prasad. Interestingly, both Ms. Toth and Mr. Pickering had given the dog who lived on Mr. Wepruk's scrapyard the nickname "Boo" because the dog looked like a Bouvier. If the dog that they had seen was the dog Buddy, there would have been no reason for them to adopt that nickname, as Buddy neither was a Bouvier nor looked anything like the Bouvier that attacked Mr. Prasad.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On all of the evidence I am satisfied that the defendant was the owner of the Bouvier dog that attacked Mr. Prasad and that he had kept that dog chained up on his scrapyard property 24 hours a day, seven days a week for at least several months prior to April 28, 2002 when Mr. Prasad was attacked. I am also satisfied that the reason he kept that dog on his property was to discourage intruders.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KNOWLEDGE OF THE DOG'S PROPENSITY FOR VIOLENCE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best evidence of the Bouvier dog's propensity for violence, and of the defendant's knowledge of that propensity, is the testimony of the neighbours who lived near the scrapyard. Kathleen Toth testified that she had seen the Bouvier dog on the scrapyard property in the weeks and months prior to the attack. The first time she saw the dog was on an occasion when she walking her son to pre-school. The dog barked, and she was scared until she saw that the dog was on a chain. She testified that she never went onto the scrapyard property out of fear of the dog. She felt intimidated by it and would walk on the far side of the road when going past the defendant's property. She said the dog would let her know whenever she walked by. The dog would snarl and had a cold stare. Ms. Toth testified that although the defendant did not live on the scrapyard property, he came onto it on a regular basis while the dog was there, and she believed he was looking after it and bringing it food. She said the dog was kept on the scrapyard property 24 hours a day, seven days a week. The property was not fenced. She said the Bouvier dog did not act like a family pet. It was snarling and vicious. She said it was her impression that the defendant kept the dog on the property to keep squatters and drug users away. She said now that the dog is gone, those kinds of people come more frequently to the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Mark Pickering, gave a similar account. He said the Bouvier dog was always kept chained on the property, and the day of the attack was the only time he had ever seen the dog off the chain. He testified that he was concerned about the dog and would never approach it. He said that when he and Ms. Toth were checking out their home to rent, the dog was barking and growling, sitting in front of his dog house. Like Ms. Toth, Mr. Pickering saw the defendant come by regularly to feed the dog, but he never got the impression that the dog was a family pet.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Richard Seltitz was another neighbour who testified about the dog's vicious character. He said that he tried to avoid going past the scrapyard, but on previous occasions when he did walk by, the dog barked, snarled, and pulled at the end of his chain. He said that people in the area had warned him about that dog. He described the dog's character in the following colourful language: he said the dog was "balls to the ground vicious." He testified that the day of the attack was the only time he had seen that dog off the chain. He testified that if he had ever seen the dog off the chain, he would have run to his house for fear of the dog attacking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evidence of the police officers is also relevant to the issue of the dog's propensity for violence and the defendant's knowledge of that propensity. Constable Naipaul testified that he is familiar with the neighbourhood in question. He said that property damage and theft are common as well as drug abuse. Constable Naipaul testified that on the day of the attack, the defendant told him he kept the dog on the yard to protect it from people trying to steal scrap metal from the yard.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Constable Scully also testified the defendant told him that he had had thefts from the property. Constable Scully's impression was that the dog was kept there to keep people out of the scrapyard. He testified that he had been a police officer for seven years and has seen other dog attacks, but the injuries inflicted by this dog on Mr. Prasad were among the worst he had ever seen.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On all the evidence, I am satisfied the plaintiff has proven on a balance of probabilities that the Bouvier dog had manifested a vicious propensity in the weeks and months prior to its vicious attack on the plaintiff, and that the defendant knew of that propensity. Accordingly, I find the defendant liable for the attack under the doctrine of scienter.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the alternative, even if the defendant had not had actual knowledge of the dog's propensity for violence, he clearly ought to have known. The dog's propensity for violence was manifestly clear to everyone who went near the scrapyard, and the defendant ought likewise to have known.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That being the case, he ought to have taken greater care to prevent the type of attack suffered by Mr. Prasad on April 28, 2002. The defendant kept the Bouvier dog on the scrapyard property seven days a week, 24 hours a day, unsupervised. The scrapyard where the dog was kept was not fenced. Clearly, at the time of the attack on Mr. Prasad, the dog was not secured by a chain.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Following the attack, the police officers asked the defendant to secure the dog. The defendant testified that he tried to affix the chain to the dog's collar, but could not do so because the clasp was rusted to such an extent that it could only be operated with a vice grip and a wrench. Deterioration of the chain and clasp through rust was a foreseeable event. The defendant was negligent in failing to inspect the chain regularly and in failing to maintain it in sufficiently good condition to ensure that the dog would never be free to run loose.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Accordingly, I also conclude that the defendant is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the attack on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Due to his injuries, the plaintiff has been unable to work since the attack. As set out in a letter from his employer found at Tab 9 of the Notice to Admit, the plaintiff's yearly earnings prior to the attack were between $1,550 and $1,700. He is entitled to damages for past wage loss in the amount of $3,300 plus court order interest on that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Workers' Compensation Board has paid medical expenses on behalf of the plaintiff totalling $6,447.51, and I make an award of special damages for past medical expenses of that amount plus court order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There is also a claim for future wage loss. The plaintiff is now 79 years old. His evidence was that he had worked for ten years prior to the attack delivering newspapers. There was also undisputed evidence that this job would still be available for him if he were physically and mentally capable. Of course, I must also consider that in light of the plaintiff's age, there are many contingencies which could have restricted his employment past the age of 79 even if this attack had not taken place. Notwithstanding those contingencies, I am satisfied that his capacity to earn a living has been diminished, and that he deserves some compensation for that. A reasonable assessment of his loss is $4000, and I award damages under this head in that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 come then to the question of general damages. The plaintiff suffered an unusually vicious attack which clearly terrified him and left him with a permanent disability to his right hand. He still lives in fear of dogs and has nightmares. He was previously in good health and enjoying an active lifestyle for a man of his age. His quality of life has been significantly diminished because of this attack, and that diminishment will in all likelihood continue indefinitely into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The plaintiff has referred me to three cases to assist in assessing general damages. The first is Perez v. City of Vancouver, </w:t>
      </w:r>
      <w:hyperlink r:id="rId44" w:history="1">
        <w:r>
          <w:rPr>
            <w:rFonts w:ascii="arial" w:eastAsia="arial" w:hAnsi="arial" w:cs="arial"/>
            <w:i/>
            <w:color w:val="0077CC"/>
            <w:sz w:val="20"/>
            <w:u w:val="single"/>
            <w:shd w:val="clear" w:color="auto" w:fill="FFFFFF"/>
            <w:lang w:val="en-US" w:eastAsia="en-US" w:bidi="ar-SA"/>
          </w:rPr>
          <w:t>[2002] B.C.J. No. 2878</w:t>
        </w:r>
      </w:hyperlink>
      <w:r>
        <w:rPr>
          <w:rFonts w:ascii="arial" w:eastAsia="arial" w:hAnsi="arial" w:cs="arial"/>
          <w:color w:val="000000"/>
          <w:sz w:val="20"/>
          <w:lang w:val="en-US" w:eastAsia="en-US" w:bidi="ar-SA"/>
        </w:rPr>
        <w:t xml:space="preserve">, </w:t>
      </w:r>
      <w:hyperlink r:id="rId44" w:history="1">
        <w:r>
          <w:rPr>
            <w:rFonts w:ascii="arial" w:eastAsia="arial" w:hAnsi="arial" w:cs="arial"/>
            <w:i/>
            <w:color w:val="0077CC"/>
            <w:sz w:val="20"/>
            <w:u w:val="single"/>
            <w:shd w:val="clear" w:color="auto" w:fill="FFFFFF"/>
            <w:lang w:val="en-US" w:eastAsia="en-US" w:bidi="ar-SA"/>
          </w:rPr>
          <w:t>2002 BCSC 1773</w:t>
        </w:r>
      </w:hyperlink>
      <w:r>
        <w:rPr>
          <w:rFonts w:ascii="arial" w:eastAsia="arial" w:hAnsi="arial" w:cs="arial"/>
          <w:color w:val="000000"/>
          <w:sz w:val="20"/>
          <w:lang w:val="en-US" w:eastAsia="en-US" w:bidi="ar-SA"/>
        </w:rPr>
        <w:t>. In that case, a 42-year-old woman was awarded general damages of $50,000 when she fell on cracked pavement and injured her wrist. The injury required surgery on two occasions and left her with a reduction in the range of motion of her wrist as well as persistent stiffness and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The second case referred to by the plaintiff is Robinow v. City of Vancouver, </w:t>
      </w:r>
      <w:hyperlink r:id="rId45" w:history="1">
        <w:r>
          <w:rPr>
            <w:rFonts w:ascii="arial" w:eastAsia="arial" w:hAnsi="arial" w:cs="arial"/>
            <w:i/>
            <w:color w:val="0077CC"/>
            <w:sz w:val="20"/>
            <w:u w:val="single"/>
            <w:shd w:val="clear" w:color="auto" w:fill="FFFFFF"/>
            <w:lang w:val="en-US" w:eastAsia="en-US" w:bidi="ar-SA"/>
          </w:rPr>
          <w:t>[2003] B.C.J. No. 989</w:t>
        </w:r>
      </w:hyperlink>
      <w:r>
        <w:rPr>
          <w:rFonts w:ascii="arial" w:eastAsia="arial" w:hAnsi="arial" w:cs="arial"/>
          <w:color w:val="000000"/>
          <w:sz w:val="20"/>
          <w:lang w:val="en-US" w:eastAsia="en-US" w:bidi="ar-SA"/>
        </w:rPr>
        <w:t xml:space="preserve">, </w:t>
      </w:r>
      <w:hyperlink r:id="rId45" w:history="1">
        <w:r>
          <w:rPr>
            <w:rFonts w:ascii="arial" w:eastAsia="arial" w:hAnsi="arial" w:cs="arial"/>
            <w:i/>
            <w:color w:val="0077CC"/>
            <w:sz w:val="20"/>
            <w:u w:val="single"/>
            <w:shd w:val="clear" w:color="auto" w:fill="FFFFFF"/>
            <w:lang w:val="en-US" w:eastAsia="en-US" w:bidi="ar-SA"/>
          </w:rPr>
          <w:t>2003 BCSC 661</w:t>
        </w:r>
      </w:hyperlink>
      <w:r>
        <w:rPr>
          <w:rFonts w:ascii="arial" w:eastAsia="arial" w:hAnsi="arial" w:cs="arial"/>
          <w:color w:val="000000"/>
          <w:sz w:val="20"/>
          <w:lang w:val="en-US" w:eastAsia="en-US" w:bidi="ar-SA"/>
        </w:rPr>
        <w:t xml:space="preserve">. Mr. Robinow, an 18-year-old man, was bitten by a police dog as he was trying to avoid apprehension after smoking heroin while hiding under a car in a garage. He suffered wounds to his head and arm and spent one week in hospital. He had extensive scarring to his arm which would require cosmetic surgery. The trial judge dismissed the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but held that if liability had been found, she would have awarded general damages of $30,000.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Finally, the plaintiff relies on Sarabia v. Fors, </w:t>
      </w:r>
      <w:hyperlink r:id="rId46" w:history="1">
        <w:r>
          <w:rPr>
            <w:rFonts w:ascii="arial" w:eastAsia="arial" w:hAnsi="arial" w:cs="arial"/>
            <w:i/>
            <w:color w:val="0077CC"/>
            <w:sz w:val="20"/>
            <w:u w:val="single"/>
            <w:shd w:val="clear" w:color="auto" w:fill="FFFFFF"/>
            <w:lang w:val="en-US" w:eastAsia="en-US" w:bidi="ar-SA"/>
          </w:rPr>
          <w:t>[1993] B.C.J. No. 3137</w:t>
        </w:r>
      </w:hyperlink>
      <w:r>
        <w:rPr>
          <w:rFonts w:ascii="arial" w:eastAsia="arial" w:hAnsi="arial" w:cs="arial"/>
          <w:color w:val="000000"/>
          <w:sz w:val="20"/>
          <w:lang w:val="en-US" w:eastAsia="en-US" w:bidi="ar-SA"/>
        </w:rPr>
        <w:t>. That case involved a 70-year-old woman who was hit by a motor vehicle in a crosswalk. She suffered a fractured neck and shoulder as well as a probable fracture of a small bone in her wrist. The court found she had been an energetic woman prior to the accident, but following the accident her life was transformed. She was now an inactive elderly woman fearful of being struck by a motor vehicle again. She was awarded $35,000 in general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Each of the three cases cited by the plaintiff is distinguishable, but for varying reasons. Perez, supra, is probably the closest to the present case in terms of the nature of the physical injury suffered. However, in that case the plaintiff was 42 years old. Robinow, supra, is closest in terms of the cause of the injury, as it involved a dog attack. However, in that case the plaintiff was 18 years old and the injuries were quite different from the present case. Sarabia, supra, did not involve a dog attack, nor were the injuries identical to those in the present case. However, that case did involve a plaintiff in her 70s, whose life was negatively transformed as a result of the injuries she suffered in the accident. I find that case to be most helpful in assessing general damages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In light of the severity of the plaintiff's injuries, which left him with a permanent physical disability as well as ongoing psychological trauma, I conclude that general damages should be assessed at $35,000.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plaintiff, as the successful party in this action, is entitled to an award of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plaintiff submits that costs in this case should not be measured at Scale 3, but rather at Scale 5, on the basis that the court should find the defendant deliberately lied with respect to this evidence concerning the Bouvier dog in an effort to avoid liability, and that this conduct warrants an award of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In Unternaher v. Wheat Sheaf Inn Ltd. </w:t>
      </w:r>
      <w:hyperlink r:id="rId47" w:history="1">
        <w:r>
          <w:rPr>
            <w:rFonts w:ascii="arial" w:eastAsia="arial" w:hAnsi="arial" w:cs="arial"/>
            <w:i/>
            <w:color w:val="0077CC"/>
            <w:sz w:val="20"/>
            <w:u w:val="single"/>
            <w:shd w:val="clear" w:color="auto" w:fill="FFFFFF"/>
            <w:lang w:val="en-US" w:eastAsia="en-US" w:bidi="ar-SA"/>
          </w:rPr>
          <w:t>(1998), 114 B.C.A.C. 299</w:t>
        </w:r>
      </w:hyperlink>
      <w:r>
        <w:rPr>
          <w:rFonts w:ascii="arial" w:eastAsia="arial" w:hAnsi="arial" w:cs="arial"/>
          <w:color w:val="000000"/>
          <w:sz w:val="20"/>
          <w:lang w:val="en-US" w:eastAsia="en-US" w:bidi="ar-SA"/>
        </w:rPr>
        <w:t>, the British Columbia Court of Appeal held that the trial judge had erred in awarding the successful plaintiff ordinary costs at Scale 3 rather than special costs. The trial judge in that case had found that two of the respondents who had given evidence had concocted their evidence on critical issues with respect to liability. The Court of Appeal allowed the appeal to the extent of substituting an award of special costs for the award of ordinary costs. Prowse J.A. wrote at para. 12: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view, the conduct of the corporate defendant's employees in lying, and thereby attempting to mislead the court with respect to the issue of liability, was conduct which should have attracted an award of special costs. In essence, by lying, they sought to deprive Mr. Unternaher of the damages to which he was ultimately found to be entitled in compensation for his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In the same case, Esson J.A. wrote this at paras. 14 - 16: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add this on the issue of costs. The decision whether to award special costs is, of course, very much in the discretion of the trial judge. By its very nature, it is an issue with respect to which this court will very rarely be persuaded to interfere with the judge's exercise of that discretion.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should not be taken that this case is authority for the proposition that special costs should be awarded simply because the court found that the witnesses on one side were untruthful. There may be all sorts of reasons for that. This is a rather special situation where the trial judge expressly found in his reasons that there was a deliberate concoction of a system; and, of course, had a system been established, it is entirely likely the defendants would have succeeded on liability.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So the case should be regarded only as a precedent with respect to a situation of like kind. I agree with the order proposed by Madam Justice Prowse.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Madam Justice Prowse and Madam Justice Huddart agreed with the comments of Mr. Justice Esson.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In the present case I have concluded that the evidence of the defendant Metro Wepruk regarding the dog that he kept on his scrapyard property in April 2002 was untrue. It is difficult to avoid the conclusion that his evidence was deliberately concocted to deceive the court and to avoid liability. Nevertheless, I do not find that this is the type of special situation referred to by the Court of Appeal in Unternaher which would call for an order of special costs. Accordingly, there will be an order for costs in favour of the plaintiff on Scale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EHRCKE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Released: May 26,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On the first page of the judgment, the date of trial was incorrectly listed as February 11 - 16, 20003. The correct is February 11 - 16,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EHRCKE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41" style="position:absolute;z-index:25186304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8"/>
          <w:headerReference w:type="default" r:id="rId49"/>
          <w:footerReference w:type="even" r:id="rId50"/>
          <w:footerReference w:type="default" r:id="rId51"/>
          <w:headerReference w:type="first" r:id="rId52"/>
          <w:footerReference w:type="first" r:id="rId5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4" w:history="1">
        <w:r>
          <w:rPr>
            <w:rFonts w:ascii="arial" w:eastAsia="arial" w:hAnsi="arial" w:cs="arial"/>
            <w:b/>
            <w:bCs/>
            <w:i/>
            <w:color w:val="0077CC"/>
            <w:kern w:val="32"/>
            <w:sz w:val="28"/>
            <w:szCs w:val="32"/>
            <w:u w:val="single"/>
            <w:shd w:val="clear" w:color="auto" w:fill="FFFFFF"/>
            <w:lang w:val="en-US" w:eastAsia="en-US" w:bidi="ar-SA"/>
          </w:rPr>
          <w:t>Royal Bank of Canada v. Westech Appraisal Services Ltd., [2018] B.C.J. No. 535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G.B. Butler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30-31, February 1-3, 6-8,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March 30-31, April 3-5 and 10,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Submissions October 31,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23,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S137302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[2018] B.C.J. No. 535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2018 BCSC 473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290 A.C.W.S. (3d) 870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89 R.P.R. (5th) 108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2018 CarswellBC 695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Royal Bank of Canada, Plaintiff, and Westech Appraisal Services Ltd., Sean Bartlett a.k.a. Sean William Markham Bartlett, and Henk den Breejen a.k.a. Hendrik Engelbertus den Breejen,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(230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42" style="position:absolute;z-index:2516613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9" w:name="Keywords_2"/>
      <w:bookmarkEnd w:id="29"/>
      <w:r>
        <w:rPr>
          <w:rFonts w:ascii="arial" w:eastAsia="arial" w:hAnsi="arial" w:cs="arial"/>
          <w:b/>
          <w:color w:val="000000"/>
          <w:sz w:val="20"/>
          <w:lang w:val="en-US" w:eastAsia="en-US" w:bidi="ar-SA"/>
        </w:rPr>
        <w:t>Real Property Law — Mortgages — Property subject to mortgage — Action by plaintiff bank against defendant property appraisers for negligent misrepresentation dismissed — Plaintiff hired defendants to appraise property — Plaintiff gave second mortgage to third party based on appraisal — Mortgage went into default and sold — Plaintiff received nothing from proceeds of sale and commenced action against defendants in relation to appraisal — Defendants followed uniform practice standards in selection of data and use of appraisal methods — Data used was appropriate and relevant — While valuation was on high side, reasons for opinion of value were adequately explained — Supreme Court Civil Rules, Rule 23-1(10).</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0" w:name="Case Summary_2"/>
            <w:bookmarkEnd w:id="3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plaintiff, Royal Bank of Canada (RBC), for damages for negligent misrepresentation. RBC employed the defendant, Westech Appraisal Services Ltd. (Westech). Wesstech used its appraiser Bartlett to perform an assessment of a property on an application for a $1 million line of credit to be secured by a second mortgage. Bartlett gave the opinion that the property was worth $2,500,000 to $3,000,000. The RBC entered into the mortgage. The mortgagors went into default and declared bankruptcy. The property was sold by court order for $1.35 million. The first mortgagee suffered a deficiency of over $400,000. There were no proceeds remaining for RBC. RBC brought an action against Westech and Bartlett for $861,529, being the amount secured plus interest. RBC argued that Westech and Bartlett failed to meet professional standards in reaching their appraisal of the property. RBC relied on the opinion of its expert witness Doolan that the appraisal was incorrect. The defendants said the appraisal was performed to an acceptable standard of care for a professional real estate appraiser. They denied making any misrepresentation or overvaluing the property and denied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breach of contract. Further, the defendants said RBC's reliance on the appraisal was unreasonable because it was not used for its intended purpose, which was for conventional first mortgage financing.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1" w:name="Holdings of Court_2"/>
            <w:bookmarkEnd w:id="31"/>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use of the appraisal for other than first mortgage purposes was not unforeseen by the defendants. It was not unreasonable for RBC to use the appraisal to evaluate the second mortgage loan. The use of the appraisal was within the range of foreseeable intended uses. However, RBC failed to establish any breach of professional standards by the defendants. The data used by Bartlett was appropriate and relevant in coming to his opinion on value. Bartlett followed uniform practice standards in the selection of data and the use of appraisal methods. The reasoning used in support of his analyses, opinions and conclusions was reasonable and acceptable. Bartlett's testimony preferred over that of Doolan. Instead of considering whether Bartlett's data was adequate and relevant and whether his application of the appraisal methods was appropriate and reasonable, Doolan's approach considered what was the correct value of the property at the date of appraisal. While Bartlett's valuation was on the high side, his reasons for arriving at his opinion of value were adequately explained. RBC failed to prove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2" w:name="Legislation Cited_2"/>
      <w:bookmarkEnd w:id="3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43" style="position:absolute;z-index:2517125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Supreme Court Civil Rules, </w:t>
      </w:r>
      <w:r>
        <w:rPr>
          <w:rFonts w:ascii="arial" w:eastAsia="arial" w:hAnsi="arial" w:cs="arial"/>
          <w:i/>
          <w:color w:val="000000"/>
          <w:sz w:val="20"/>
          <w:lang w:val="en-US" w:eastAsia="en-US" w:bidi="ar-SA"/>
        </w:rPr>
        <w:t>B.C. Reg. 168/2009, Rule 23-1</w:t>
      </w:r>
      <w:r>
        <w:rPr>
          <w:rFonts w:ascii="arial" w:eastAsia="arial" w:hAnsi="arial" w:cs="arial"/>
          <w:color w:val="000000"/>
          <w:sz w:val="20"/>
          <w:lang w:val="en-US" w:eastAsia="en-US" w:bidi="ar-SA"/>
        </w:rPr>
        <w:t>(10)</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3" w:name="Counsel_2"/>
      <w:bookmarkEnd w:id="33"/>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44" style="position:absolute;z-index:2517637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Karen L.M. Carteri.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Nigel L. Trevethan, Kora Paciorek.</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4" w:name="Judgment_2"/>
      <w:bookmarkEnd w:id="34"/>
      <w:r>
        <w:pict>
          <v:line id="_x0000_s1045" style="position:absolute;z-index:25181491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5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5" w:name="G.B. BUTLER J."/>
            <w:bookmarkEnd w:id="35"/>
            <w:r>
              <w:rPr>
                <w:rFonts w:ascii="arial" w:eastAsia="arial" w:hAnsi="arial" w:cs="arial"/>
                <w:b/>
                <w:color w:val="000000"/>
                <w:sz w:val="30"/>
                <w:lang w:val="en-US" w:eastAsia="en-US" w:bidi="ar-SA"/>
              </w:rPr>
              <w:t>G.B. BUTLER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Royal Bank of Canada ("RBC"), is a chartered bank and routinely uses the services of real estate appraisers in the course of its mortgage lending business. The defendants, Sean Bartlett and Henk den Breejen, are professional real estate appraisers employed by the defendant, Westech Appraisal Services Ltd. ("Westech"). RBC maintained a list of approved fee appraisers from which it selected an appraiser when it required an appraisal report for mortgage purposes. On March 25, 1999, RBC appointed Mr. den Breejen to its list of approved fee appraisers for residential properties. After his appointment, he was often retained to provide residential appraisals. Pursuant to the appointment, he agreed to personally carry out the appraisal or assume full responsibility as a supervisory appraiser for appraisals performed by other qualified appraisers working for Westech.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In early October 2007, RBC contacted Westech and asked for an appraisal of the property at 6455 Mount Lehman Road in Abbotsford, B.C. (the "Property"). Mr. Bartlett routinely carried out appraisals of properties in the Abbotsford area for RBC and others. He was assigned the task of preparing the appraisal of the Property. Mr. den Breejen acted in a supervisory role and signed the appraisal dated October 5, 2007 (the "Appraisal"), as did Mr. Bartlett.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Property is an 8.44-acre rural lot located in the Bradner neighbourhood. It is in the Agricultural Land Reserve and is located directly across the street from an elementary school. The Property included a two-year-old 4300 square foot home with a fully finished 2500 square foot basement. It also included a 4300 square foot barn, a riding ring, a workshop, and a detached two-car garage, as well as a two-car garage in the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Appraisal was sought by RBC as a result of an application by David and Keely Ann Chalk (the "Borrowers") for a $1 million line of credit to be secured by a second mortgage against the Property. The loan was sought by the Borrowers to finance a new business venture. The Property was subject to a first mortgage in favour of Mount Lehman Credit Union (the "Credit Union"). The outstanding balance on the first mortgage was approximately $1.45 million, although at the time the Appraisal was requested, RBC believed that the first mortgage was in the amount of $1 million.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Appraisal concludes with the following statement under the heading, "Final Estimate of Value":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consider a value range of $2,500,000 to $3,000,000 is reasonable for first mortgage lending security purposes, assuming title, finance abilities, environmental and other legal conditions are normal. Please note that the property could sell for considerably more given the right buyer and a longer exposure time. The typical exposure time for this type of property would be 90 to 720 days.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loan application was adjudicated by Ronald Montgomery, an employee in RBC's Group Risk Management department. He approved a loan of $700,000 on a line of credit secured by a second mortgage, on the understanding that the loan would be temporary and would be replaced by a business loan facility. No business facility was ever established for the Borrowers' business and the loan was set up without any due date or other time limit. The loan required the Borrowers to make interest-only payments and they did so for approximately two years. The Borrowers defaulted on the RBC loan in October 2009 and filed an assignment in bankruptcy in December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2010, RBC and the Credit Union each commenced foreclosure proceedings. The Credit Union was granted conduct of sale. The Property remained vacant for almost two years and the Credit Union spent over $95,000 in protective disbursements. The Property was listed for sale in October 2011 for $1.975 million. In March 2012, the court approved a sale based on an offer in the amount of $1.985 million but the sale did not complete. Eventually, the Property was sold by court order on April 8, 2013 for $1.35 million. The amount owing to the Credit Union on its first mortgage at the time of sale was approximately $1.76 million. Accordingly, it suffered a deficiency of over $400,000. RBC received no proceeds from the sale of the Property and no repayment on the loan by the Borrowers after their assignment in bankruptcy.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RBC seeks to recover the loss it suffered when the Borrowers failed to repay the amounts owing on the mortgage loan. It says the loss was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failing to provide an appraisal that met the standard of care of a professional real estate appraiser. They say the Appraisal contained false, inaccurate or misleading information and that it grossly overvalued the Property. RBC asserts that the market value of the Property on October 5, 2007 was only $2.0 million. If it had received an appraisal indicating that value, it would not have made the loan. In the alternative, RBC advances a claim based on a breach of contract. Whether the claim is in tort or contract, it says it should recover as damages the full amount of the loss suffered on the loan.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the RBC foreclosure proceeding, Master Caldwell granted an order nisi on November 29, 2010, which provided that the total amount due to RBC under the 2007 mortgage was $721,326.01. In this action, RBC seeks to recover that amount plus interest at its prime rate from the date of the order nisi to the start of trial for a total of $861,529.48.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 defendants say the Appraisal was performed to an acceptable standard of care for a professional real estate appraiser. They deny making any misrepresentation or overvaluing the Property and deny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breach of contract. Further, the defendants say RBC's reliance on the Appraisal was unreasonable because it was not used for its intended purpose: for conventional first mortgage financing. The defendants say that RBC was negligent in assessing and evaluating the Borrowers' credit risk. The loan was a high-risk collateral second mortgage. In approving the loan, RBC ignored or breached its own guidelines and made a loan that greatly exceeded acceptable total debt servicing ratios. The defendants argue that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RBC is relevant to consideration of whether RBC can sustain a claim for negligent misrepresentation and to the issue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 trial of this matter took place before Madam Justice Harris over 14 days commencing on January 30, 2017 and concluding April 10, 2017. Judgment was reserved. On August 3, 2017, the Chief Justice made an </w:t>
      </w:r>
      <w:r>
        <w:rPr>
          <w:rFonts w:ascii="arial" w:eastAsia="arial" w:hAnsi="arial" w:cs="arial"/>
          <w:i/>
          <w:color w:val="000000"/>
          <w:sz w:val="20"/>
          <w:lang w:val="en-US" w:eastAsia="en-US" w:bidi="ar-SA"/>
        </w:rPr>
        <w:t>ex mero motu</w:t>
      </w:r>
      <w:r>
        <w:rPr>
          <w:rFonts w:ascii="arial" w:eastAsia="arial" w:hAnsi="arial" w:cs="arial"/>
          <w:color w:val="000000"/>
          <w:sz w:val="20"/>
          <w:lang w:val="en-US" w:eastAsia="en-US" w:bidi="ar-SA"/>
        </w:rPr>
        <w:t xml:space="preserve"> order pursuant to Rule 23-1(10)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nominating me to complete the disposition of this action. Rule 23-1(10)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Incapacity of judge</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an application ought to be made to, or any jurisdiction ought to be exercised by, the judge by whom a proceeding has been tried or partly tried, or heard or partly heard, then, if that judge dies or ceases to be a judge of the court during or after the trial or hearing, or if for any other reason it is impossible or inconvenient for that judge to act in the proceeding, the Chief Justice or next senior judge of the court may, either by a special order or by a general order, nominate some other judge to whom the application may be made or by whom the jurisdiction may be exercised.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order to complete that disposition, I have had the benefit of the Trial Record, all documents marked as exhibits, the recording of the trial proceeding as well as written transcripts of same, the video deposition of one witness, the written submissions of the parties, and the trial notes of Justice Harris. Counsel for the parties also appeared before me on October 31, 2017, at which time they made additional oral submissions and effectively explained and further amplified their detailed written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Court appreciates the patience of the parties and the able assistance provided by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These circumstances raise three central issues: first, was RBC's reliance on the Appraisal reasonable; second, did the Appraisal meet the standard of care of a professional appraiser; and third, was RBC contributorily negligent in approving the loan or in its reliance on the Appraisal? On the first question, I have determined that RBC reasonably relied on the Appraisal. However, I have determined that RBC has failed to prove that the defendants were negligent. In other words, RBC has failed to prove any breach of the requisite standard of care. Having reached that conclusion, I need not consider if RBC was contributorily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I also conclude that RBC has failed to prove any breach of contract. This is because the breach of contract claim was based on the allegation that the defendants breached an express or implied term of the agreement to exercise the reasonable care, skill, diligence, and competence as professional real estate appraisers. In other words, the alleged breach is of the same professional standard that forms the basis for the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In these circumstances I need not, and have not, considered the breach of contract as a separate basis for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 will explain my reasons for arriving at this conclusion by setting out a summary of the evidence and my findings of fact. In doing so, I describe the Appraisal in some detail and set out Mr. Bartlett's evidence about how he arrived at the conclusions set out in that document. The main focus of my evidence review is an examination of the evidence of Dean Doolan and Allan Beatty, professional appraisers who gave expert evidence about the professional standards of appraisers and provided opinions on whether the Appraisal met those standards.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 of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Sean Bartlett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Bartlett worked in housing construction for his father's business prior to becoming an appraiser. He became a site superintendent and acquired considerable knowledge about residential home construction. Subsequently, he obtained a diploma through BCIT to work as a home inspector. In 2002, he joined Westech and began appraising real estate. He worked throughout the Lower Mainland but focused mainly on properties in the Fraser Valley and in particular, on properties in Abbotsford. In 2003, he began courses to work towards becoming a Certified Residential Appraiser ("CRA"). He did not have that certification in 2007 when the Appraisal was performed and was not on RBC's list of approved fee appraisers. He obtained his CRA in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Prior to this assignment, Mr. Bartlett had prepared numerous appraisal reports for RBC. He understood that RBC generally did not want outbuildings to be included in residential appraisals to determine property value. He included values for the outbuildings in the Appraisal and this increased the value by at least $250,000. He had no recollection of being asked to value the outbuildings, but believes he was asked to do so as he would not have otherwise attributed any value to the outbuildings.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Bartlett was aware that the Westech intake form contained the notation "$3 million" and he understood that this was a reference to the possible value of the Property. He said this would have come from the person at RBC who requested the appraisal or the Borrowers. It is not uncommon for banks to communicate their views on the value of the subject property. However, he denied that such a notation or comment by a bank or borrower would have any influence on the value he arrived at in an appraisal and says it had no influence on the opinion of value arrived at in the Appraisal.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Appraisers describe the appraisals performed for RBC as "form appraisals" or "form reports", likely because they are prepared on a standard form document. Form appraisals are less extensive than "narrative appraisals" or "narrative reports", which involve much more investigation and use a narrative format. RBC expects Westech to provide a finished form appraisal within 24 hours of its request. Mr. Bartlett spoke to RBC on October 4, 2007 and inspected the Property on that date. The Appraisal is dated October 5, 2007 and was provided to RBC on that day. Pursuant to their agreement, RBC paid a modest fee (less than $800) to Westech for each form appraisal.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Appraisal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Given the passage of time, Mr. Bartlett does not recall the work he did to prepare the Appraisal in any detail. His evidence about the Appraisal was based on his standard practice and his review of the file material, including his handwritten notes, and the Appraisal. Prior to viewing the Property, he would have examined its MLS history and tax assessments. Next, he would have attended the Property and considered external influences. Relevant external influences here included the fact that the Property was a corner lot, which is desirable for acreage properties, and was directly across the street from an elementary school. Mr. Bartlett was of the view that the location was very desirable for a family with young children as it is rare to have an elementary school close to a rural acreage estate.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After looking at the external influences, Mr. Bartlett would have performed an interior inspection by walking through each room of the home to examine the features and finishings. He then would have walked around the Property to examine the exterior fixtures including the outbuildings. His notes indicate that he did not access the outbuildings. He infers from that circumstance that the request to include the value of the outbuildings in the Appraisal was made by RBC after he viewed the Property. He did not walk the entire acreage, but would have seen enough to get a sense of the Property. He took detailed notes of the interior and exterior inspection of the Property. The interior possessed numerous features that added to the cost per square foot value of the house. The exterior features and outbuildings were also of a high quality and would have increased that value. Mr. Bartlett characterized the home as a unique, custom-built, executive residence.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cover letter of October 5, 2007 is a standard form letter that states,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accordance with your request, we have appraised the above referenced property. The Purpose of this Appraisal Assignment is to determine value for first mortgage and/or lending security purposes based on the property's general condition and characteristics. This is a Form Report that is intended to comply with the reporting requirements of the Canadian Uniform Standards of Professional Appraisal Practice for a Form Appraisal Report as well as meeting the test of a "reasonable appraiser". As such, it presents only summary discussions of the data, reasoning and analyses that were used in the appraisal process to develop the appraiser's opinion of value.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Intended Use of the report is to evaluate the property (as of the effective date) for a mortgage finance transaction. The conclusions arrived at in the report are subject to the stated scope of work, reporting requirements and conditions contained in the appraisal report, and definition of Market Value. The appraiser is not aware of any third parties that are likely to rely on the report and no additional intended users were identified. Liability in this respect or any other use than that stated in the report is expressly denied.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Bartlett relied on two appraisal techniques to determine the value of the Property. Using the cost approach, the value of a subject property is determined by estimating the building replacement cost, deducting the cost of depreciation, and adding an estimate of land value. Using the direct comparison approach, the value of a subject property is determined by comparison with similar properties that have recently sold or are currently listed on the market. The direct comparison approach is the preferred approach and is used for almost all residential property appraisals.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Bartlett prepared the Appraisal using the standard "residential appraisal report" form. Much of the language contained in the Appraisal is boilerplate. The first page sets out the relevant details of the Property, the client and the neighbourhood. The intended use is described as "Conventional first mortgage financing security" and the intended user is RBC. Mr. Bartlett notes that the "full basement has been finished with similar finishings as the main and upper floors."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second page of the Appraisal sets out Mr. Bartlett's determination of value using the cost approach. He sets the land value at $1.2 million. In his determination of land value, Mr. Bartlett used one comparable property for land value only and relied on the land value of properties used in the direct comparison approach. He says he considered other land sales that are included in his appraisal file but those are not mentioned in the Appraisal. The land value works out to about $142,000 per acre. The appraisal file includes information about a five-acre property only two doors away that sold for about $150,000 per acre in March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To calculate the building cost, Mr. Bartlett used a figure of $250/square foot applied to the upper two floors. He used Westech construction budget data for high-quality homes. He used $60/square foot for the basement cost. He also added amounts for the garage, patios, decks and outbuildings. The substantial sum for the outbuildings reflects the size and quality of those structures. The house was only two years old (not seven years old as noted in the Appraisal) and so the cost was depreciated by 5%. The total depreciated value of the home and outbuildings by the cost approach was $1,567,500. When added to the land value, this produced a cost approach value of $2,868,000.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replacement cost for the entire house worked out to $180/square foot. Mr. Bartlett believes that was reasonable given the quality of the improvements. He is of the opinion that Mr. Doolan's rate of $130/square foot is far too 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Appraisal references five comparable properties (excluding the one used for land value) that Mr. Bartlett used to arrive at a value by the direct comparison approach. Usually, a form appraisal will include only three comparable properties. Mr. Bartlett used five because the Property is unusual and there was a lack of comparables with characteristics similar to the Property. Under the heading "Conclusions", Mr. Bartlett notes that while an effort was made to present comparable sales occurring within a six-month period prior to the effective date, if others were used it was to "reflect the selection of those sales deemed most comparable to the subject property, regardless of the time frame." The reader is referred to the attached "narrative" for the value by the direct comparison approach:</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Value range is between $2,500,000 and $3,000,000. Recent similar estate acreage properties similar to the Subject are very rare. </w:t>
      </w:r>
      <w:r>
        <w:rPr>
          <w:rFonts w:ascii="arial" w:eastAsia="arial" w:hAnsi="arial" w:cs="arial"/>
          <w:i/>
          <w:color w:val="000000"/>
          <w:sz w:val="20"/>
          <w:lang w:val="en-US" w:eastAsia="en-US" w:bidi="ar-SA"/>
        </w:rPr>
        <w:t>Please refer to the attached supplemental addendum for comments on analysis and conclusions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Bartlett attached a supplemental addendum (the "Addendum") in order to provide more information about the Property because it was so unique and he wanted to make it clear that it was difficult to appraise this Property as no two estate-style acreage properties are the same.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Under the heading "Sales History", Mr. Bartlett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MLS Data indicates that the Subject was listed on the open market for $2,760,000 from September 21, 2006 to March 31, 2007. Analysis of this listing price is beyond the scope of this assignment. The appraiser is unaware of any offers to purchase.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Under the heading "Comment on Reasonable Exposure Time", Mr. Bartlett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appraisal estimate of value was based upon an estimated reasonable market exposure time of between 90 and 720 days prior to the effective date of the appraisal. In an appraisal, the term "Exposure time" means the estimated length of time the property interest being appraised would have been offered on the market before the hypothetical consummation of a sale at market value on the effective date of the appraisal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Appraisal sets out the scope of the report on page four. Under that heading, Mr. Bartlett noted that he personally inspected the Property but that he did not do so for the comparable sales. The list of 14 "Ordinary Assumptions and Limiting Conditions" includes the statement that the report is "prepared at the request of the client and for the specific use referred to herein." It also includes the statement that the "appraiser has agreed to enter into the assignment as requested by the client named in the report for the use specified by the client, which is stated in the report." Following the list of Limiting Conditions, Mr. Bartlett checked off boxes indicating that there were no "Extraordinary Assumptions &amp; Limiting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Addendum contains the following relevant statements: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Properties similar to the Subject are rare in any community and, even under the best of circumstances, they are difficult to appraise. In some circumstances, valuing these homes can be almost impossible.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Comparing acreage properties is a very difficult assignment. No two properties are ever the same. Some general factors that would need to be considered if a complete appraisal is conducted are as follows: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Bartlett then lists 12 factors, some of which are discussed elsewhere in the Appraisal.]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Addendum contains a notation "strongly" advising the reader to review title and any conditions, covenants and restrictions that might be contained in the title report. That portion of the Addendum ended with the following statements: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a result, a complete appraisal analysis is clearly beyond the scope of this assignment. [highlighted in yellow]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Limited Form Report should not be construed as a full narrative report but is based on an assignment undertaking between the addressee and the undersigned. This form report was completed with an economic constraint. That is, the appraisal budget (and the fee for the appraisal) did not contain unlimited funds for investigation.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the portion of the Addendum commenting on the interior of the home and the outbuildings, Mr. Bartlett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Subject is a high quality executive style, two story contemporary style home constructed with very good quality materials and workmanship throughout. The home has been maintained in good condition and displays pride of ownership.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the portion of the Addendum outlining appraisal techniques, Mr. Bartlett describes the cost approach and the direct comparison approach. With regard to the latter, he notes that comparison properties should be similar to the subject property, but that it is not always possible to find such properties, in which case comparable properties must be adjusted for dissimilar characteristics. Mr. Bartlett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Please note that recent sales similar to the Subject are limited; in fact, there have been only 9 MLS listed sales (estate homes) in excess of $2,000,000 in the Fraser Valley area (Langley/Abbotsford) since January 2001. There are currently 11 listings (estate homes) in excess of $2,000,000 in the Fraser Valley area (Langley/Abbotsford).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next portion of the Addendum sets out Mr. Bartlett's comments on the comparable properties. Mr. Bartlett's comments, including his assessment of whether each comparable property is inferior, superior or similar to the Property are contained in the Addendum as well as in the tables. His comments may be summarized as follows:</w:t>
      </w:r>
      <w:r>
        <w:rPr>
          <w:rFonts w:ascii="arial" w:eastAsia="arial" w:hAnsi="arial" w:cs="arial"/>
          <w:sz w:val="20"/>
          <w:lang w:val="en-US" w:eastAsia="en-US" w:bidi="ar-SA"/>
        </w:rPr>
        <w:cr/>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#1 - 31111 N. Burgess Ave., Abbotsford (the "N. Burgess property"), is a [similar] sized home on a superior sized lot (30 acres) in an inferior location. The interior of the home is in inferior condition and there are no outbuildings. It sold in February 2007 after 133 days on the market for $2,750,000. It requires an upward time adjustment. Mr. Bartlett assessed this as inferior to the Property.</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#2 - 30068 Townshipline Rd. (the "Townshipline property"), is a superior sized home on a superior sized lot (12.2 acres) in an inferior location. The home is superior in condition and quality. There are no outbuildings. It sold in June 2006 after 16 days on the market for $2,400,000. It requires an upward time adjustment. On balance it is superior to the subject.</w:t>
      </w:r>
    </w:p>
    <w:p>
      <w:pPr>
        <w:numPr>
          <w:numId w:val="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#3 - 10282 Allard Crescent (the "Allard property"), is a superior sized home on an inferior sized lot (5.1 acres) in a superior location. The home is also superior in condition and quality. It is on the Fraser River and has a boathouse. It sold in 2006 for $2,675,000 after 299 days on the market. It requires an upward time adjustment. On balance it is superior to the subject.</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#4 - 25769 82nd Ave. (the "82nd Ave. property"), is an inferior sized home on an inferior sized lot (8.2 acres) in a superior location. The home is in inferior condition and of inferior quality. It has a barn and studio. It sold in June 2007 for $2,200,000 after 49 days on the market. On balance it is inferior to the subject.</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#5 - 4115 Ross Rd. (the "Ross property"), was used for land value only. It is a 9.5-acre property that had a small (1425 square foot) 26-year-old bungalow. It sold in May 2007 for $1,080,000 after 36 days on the market. It requires an upward time adjustment.</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#6 - 171 Gladwin Rd. (the "Gladwin property"), is a superior sized home on a superior sized lot in an inferior location. The home is similar in condition and quality. There are no outbuildings on the property. It was listed on the market for $4,600,000 on June 23, 2007 but had not sold. According to the listing agent there had been two offers in the mid-$3 million range which were declined. On balance it is superior to the subject.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Appraisal concluded with a final estimate of value, as set out above, and the following comments by Mr. Bartlett: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Reconciliation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Direct comparison approach method was relied upon as it is the best interpretation of current market activity in the local marketplace. The Cost approach to value was given less weight as the proper estimation of depreciation is a matter of appraisal judgement. Likewise, the local marketplace has not produced a sale in the Fraser Valley (for non-subdivision properties) of over $2,750,000.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At trial, Mr. Bartlett gave further evidence explaining his view of the comparable properties. He also responded to Mr. Doolan's critique of his appraisal. The following comments are relevant to issues raised by the expert evidence:</w:t>
      </w:r>
      <w:r>
        <w:rPr>
          <w:rFonts w:ascii="arial" w:eastAsia="arial" w:hAnsi="arial" w:cs="arial"/>
          <w:sz w:val="20"/>
          <w:lang w:val="en-US" w:eastAsia="en-US" w:bidi="ar-SA"/>
        </w:rPr>
        <w:cr/>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Bartlett was of the view that the house on the N. Burgess property was an older style and significantly smaller, both of which made it inferior. While the property was significantly larger, that does not necessarily mean it will attract a significantly higher price. This is because buyers of hobby farms in the Bradner area are not looking to produce farm income. The larger acreage provides little utility beyond additional privacy.</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Bartlett considered the Townshipline property an excellent indicator of the increasing market in the Bradner area. It sold for $1.6 million in 2004 and resold for $2.4 million in June 2006.</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Allard property was unique in that it was riverfront. That appeals to a specific buyer and it took 300 days to sell. Mr. Bartlett was of the view that the location of the property across from an elementary school was a similar unique feature, in that it would be of value to a specific buyer but may take longer to sell. Other similarities that added value were that the Allard property and the Property had valuable outbuildings and were north of the highway, thus providing easy access to Vancouver.</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Bartlett spoke to the listing realtor for the Gladwin property who advised of the offers. The Canadian Uniform Standards of Professional Appraisal Practice ("CUSPAP") permits information from a reliable source to be considered. Mr. Bartlett was of the view that this comparable was inferior in location: it was very close to the Abbotsford airport and located in an area of poor drainage. It was also significantly older than the Property. Mr. Bartlett was critical of Mr. Doolan's failure to consider this property. The Gladwin property sold for $3.8 million after the market crash in 2008.</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Bartlett indicated that the Ross property was cleared and was ready for construction of a home. In other words, it was reasonable to use the full sale price for land value.</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Bartlett was critical of Mr. Doolan's analysis of the property Mr. Doolan described as Index #4. The property was in an inferior location and sold for $1.92 million in May 2007. Mr. Bartlett did a quick quantitative analysis to demonstrate how that property actually supported his valuation. He said that if adjustments were made to that sale price to account for the larger square footage of the subject, the value of the outbuildings, the value of the finished basement and adjustment for market increases, the Property should be valued at $800,000 more than Index #4.</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Bartlett asserted that his discussion of the high-end Bradner sub-market was adequate; he identified the market and set out relevant information about the limited sales and listings for that market segment.</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Bartlett strongly disagreed with Mr. Doolan's view that an upward time adjustment was not warranted. Mr. Bartlett says that the paired sales analysis showed rapid growth including at the upper end of the market. This is also reflected in paired sales data found in the various working files.</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Bartlett was critical of the three comparable properties used by Mr. Doolan for land value. Comparable #3 was not similar because it is a narrow 10-acre strip that has a creek running through it and is located on a busier road. Nevertheless, it was good evidence of the rising market as paired sales showed an increase of 30% in just two years. Comparable #2 was located close to an industrial area on a trucking road and it likely sold for lot value. Paired sales for that property showed an increase of 8% in only five months. Comparable #1 actually sold after the Appraisal was done and could not have been used by Mr. Bartlett. Further, it is inferior because of close proximity to an industrial park.</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noted earlier, Mr. Bartlett was critical that Mr. Doolan rejected the five- acre property only two parcels away from the Property. It sold in March 2007 for $150,000 per acre; much more than the price per acre used by Mr. Bartlett. Further, paired sales for that lot showed an increase of 30% in only eight months.</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Bartlett was also critical of the comparable properties chosen by Mr. Doolan for his direct comparison approach. Index #3 was sold subsequent to the subject Appraisal and thus was not available to Mr. Bartlett. More significantly, it is smaller and located in an inferior area south of the highway. It is only two parcels away from an area designated for multifamily redevelopment by the community plan which would take away from the privacy sought by estate acreage purchasers.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Henk den Breejen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den Breejen started as a residential appraiser with Westech in 1994. He holds the "RI" designation from the Real Estate Institute of BC, and the CRA designation from the Appraisal Institute of Canada ("AIC") and held those at the time of the Appraisal. He became part owner of Westech six or seven years prior to 2007. He said that Westech has a reputation as a conservative residential appraisal company. Almost all of the appraisals it performs are for first mortgage lending purposes. RBC is Westech's biggest client.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Mr. den Breejen testified that an appraisal order from RBC was always made by telephone. The staff were trained to obtain relevant information about the appraisal. Sometimes the lender would state a value that it or the client thought the property was worth. Mr. den Breejen said that RBC only requested first mortgage, estate or matrimonial appraisals. RBC always advised Westech if the loan was not for conventional first mortgage purposes. Mr. den Breejen is not aware of any discussion with RBC where it was indicated that the Appraisal would be used for second mortgage purposes. Westech tries to stay away from doing appraisals for second mortgage loans. This is because they are prone to litigation and foreclosure. Had he known that the Appraisal was in support of a second mortgage loan, Mr. den Breejen would have had to consider whether or not Westech would accept the assignment and would have had a discussion with RBC. Had Mr. den Breejen known that the Borrowers had a very high total debt servicing ratio (52% to 82%), it is probable that Westech would have declined the assignment.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October 2007, Mr. den Breejen performed few appraisals himself as Westech was very busy. Instead of doing appraisals, he reviewed eight to ten appraisals a day in his supervisory role. In that role, Mr. den Breejen always reviewed an appraiser's conclusions to satisfy himself that they were arrived at properly. It was his practice to speak to the appraiser about any adjustments or issues that stood out in an appraisal. In 2007, he was of the view that Mr. Bartlett was a very good appraiser, in part because of his experience in the construction business and as a home inspector.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Mr. den Breejen testified that rural estate appraisals present special challenges. Each one is unique and it is much harder to find comparable properties for comparison purposes than it is with condominiums or more typical residential properties. The cost to build a rural estate home is higher than for a home in a typical subdivision, and most are built with high-quality materials and a custom finish. Rural estates require a longer marketing time, which means that listing periods are typically longer.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Mr. den Breejen has little recollection of the Appraisal. He described Mr. Bartlett's appraisal file as "thick" which suggested to him that the Appraisal involved a lot of data analysis. The use of six comparable properties was unusual and reflected the difficulty in finding similar comparable properties. Having reviewed the Appraisal for this litigation, he was of the view that it met the CUSPAP requirements and was a competent and well-considered appraisal.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Mr. den Breejen agrees that RBC's standard instructions were to exclude the value of the outbuildings in residential appraisals. The fact that outbuildings were included in the Appraisal was highly unusual and he believes it must have been done at RBC's request. However, there is nothing on the file to indicate when or if the request was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Mr. den Breejen strongly disagreed with Mr. Doolan's criticism of the Appraisal. Some of his concerns included the following:</w:t>
      </w:r>
      <w:r>
        <w:rPr>
          <w:rFonts w:ascii="arial" w:eastAsia="arial" w:hAnsi="arial" w:cs="arial"/>
          <w:sz w:val="20"/>
          <w:lang w:val="en-US" w:eastAsia="en-US" w:bidi="ar-SA"/>
        </w:rPr>
        <w:cr/>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rejects the suggestion that the purpose of the Appraisal is not clearly stated. The purpose is set out in numerous places. No extraordinary limiting condition was required for the appraisal, contrary to Mr. Doolan's view. Mr. Bartlett's comments about the difficulty in appraising this unique property were properly set out.</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 form appraisal, the sub-market information is typically very limited. Here, Mr. Bartlett described the subject and neighbourhood and included additional sub-market information in his direct comparison approach analysis in the Addendum. He is of the view that Mr. Bartlett appropriately dealt with the sub-market.</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den Breejen was critical of Mr. Doolan's suggestion that no upward time adjustment was warranted for high-end properties. The Abbotsford market at the time of the Appraisal was the hottest on record across all segments including the high-end properties.</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den Breejen disagreed with Mr. Doolan's criticism about the alleged failure to analyze a prior listing. The listing was noted in the Appraisal and it clearly stipulated that no further analysis was performed. This is typical for most form appraisals. In cross-examination, he agreed that he would not normally approve an appraisal where the value exceeded a prior list price where the property did not sell. He could not recall any discussion about that circumstance here, but believes he must have had a discussion about that with Mr. Bartlett who must have provided an explanation.</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den Breejen said there is nothing unreasonable about a maximum 720-day exposure time for the Property. High-end properties, such as those at Whistler, have long exposure times because of the unique nature of the properties and the small number of potential purchasers. He acknowledged that longer exposure times can indicate a soft market but that was not the case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In cross-examination, Mr. den Breejen agreed that RBC was entitled to assume and reasonably rely on values anywhere in the range of values provided in the Appraisal. He also agreed that a 25% difference between two appraisals of the same property at the same date would indicate that something was wrong with one of the appraisals, either in land value, building improvement value or in the adjustments made to comparable sales.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Michael Braun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Michael Braun is the realtor who listed the Property for the Borrowers on September 21, 2006 for $2.76 million. He believes that Mr. Chalk contacted him because he was the listing agent for the sale of the Townshipline property in June 2006. Mr. Chalk was the previous owner of the Townshipline property when the large home was constructed. Mr. Chalk learned of the $2.4 million sale and wanted to test the market for the Property. Mr. Braun believes that the Borrowers were not motivated to sell. The Property was listed in September 2006 and the listing was terminated early in 2007 after 138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Mr. Braun recalled the listing but had no access to his file. It was evident that his recollection was rather general. He recalls that Mr. Chalk believed that the Property was more valuable than the Townshipline property. Mr. Braun recalls thinking the Townshipline sale price was excellent and that he believed it was unlikely the Property would bring an equal or higher price. He reviewed the MLS listing sheets and noted that the Townshipline house was bigger and was situated on a 12.22-acre lot. It also had a nicer view. He agreed that both houses were built to a very high quality.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Mr. Braun did not recall any verbal or written offers being made on the Property, but it was evident that he could not be certain of that. He recalls having a disagreement or dispute with Mr. Chalk about the listing; Mr. Braun believed it was overpriced and implied that Mr. Chalk was not prepared to lower the listing price. Mr. Braun was of the view that there had been little or no action on the Property and accordingly he did not believe there was any point spending more time on it as a realtor.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In cross-examination, he agreed that the market slows down at the end of the year, which may have contributed to the lack of activity for the listing. He also agreed that when the Property was listed, the Abbotsford market was very strong and that the strength of the market continued through 2007. The strength in the market included the high-end properties. His recollection is that the market flattened in 2008 and then fell after that. It was evident from both his examination-in-chief and cross-examination that he had difficulty recalling the timing or strength of changes in the market with any precision.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Mr. Braun agreed in cross-examination that the per acre value of property falls rapidly for larger rural properties. It is a rule of thumb that small acreages bring a higher price per acre. He agreed with counsel's suggestion that the relationship between size and value can be reflected by the following: if one acre sells for $850,000, five acres of similar property might sell for $1.1 million (or $220,000 per acre); and 40 acres might sell for $2.2 million (or $55,000 per acre). In other words, there is a rapid diminution in value per acre as properties increase in size.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Mr. Braun also agreed that it is not uncommon for rural estate properties to be on the market for a lengthy period of time. The seller often has to wait for the right buyer.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Dean Doolan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Mr. Doolan has worked for 25 years in real estate appraisal. He is a member of the AIC and holds the senior designations, AACI (Accredited Appraiser Canadian Institute) and P. App (Professional Appraiser). He is a very experienced real estate appraiser. His appraisal practice has always been based in Richmond but he has performed appraisals throughout the Lower Mainland. He is experienced in appraising residential and agricultural properties.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Two reports prepared by Mr. Doolan for RBC set out his expert opinion evidence: a technical review of the Appraisal first completed in December 2010 and updated for trial on September 15, 2016 (the "Doolan Technical Review") and a retrospective appraisal originally prepared on November 5, 2014 and updated for trial on September 16, 2016 (the "Doolan Retrospective Appraisal"). A brief report commenting on Mr. Beatty's reports was also entered as an exhibit (the "Doolan Reply").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Doolan Technical 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A technical review is an appraisal report performed in accordance with the CUSPAP for the purpose of forming an opinion as to whether the analysis, opinions and conclusions contained in an appraisal are appropriate and reasonable, and whether they have been prepared in compliance with the CUSPAP. (I should note that in the balance of these reasons I refer frequently to the provisions of the CUSPAP. Some parts of the CUSPAP are Rules, including the provisions in sections 6 and 8, and others are described as Comments, such as those in section 7. For simplicity, I have referred to all provisions by way of "section" numbers.)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Doolan Technical Review identifies a number of inaccuracies and deficiencies in the Appraisal. He described the four most significant issues:</w:t>
      </w:r>
      <w:r>
        <w:rPr>
          <w:rFonts w:ascii="arial" w:eastAsia="arial" w:hAnsi="arial" w:cs="arial"/>
          <w:sz w:val="20"/>
          <w:lang w:val="en-US" w:eastAsia="en-US" w:bidi="ar-SA"/>
        </w:rPr>
        <w:cr/>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failure to clearly state the purpose and scope of the appraisal, which could be misleading to the reader;</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failure to accurately describe the state of the sub-market involved, and its impact on the value and marketability of the subject;</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appraiser's conclusion that the subject property had a market value range on October 5, 2007, from $2,500,000 to $3,000,000, is not supported by the data presented; and</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failure to analyse the recent listing of the property at $2.76 million, which was required under Section 7.24.1 of the 2007 edition of the CUSPAP.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Mr. Doolan's comments on the inaccuracies and deficiencies are summarized below.</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a) Failure to state the purpose and scope of the Appraisal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failure to clearly state the purpose and scope of the Appraisal is said to arise from comments in the Addendum that cast doubt on the validity of the value estimate. These include Mr. Bartlett's statements that, "valuing these homes can be almost impossible"; "a complete appraisal analysis is clearly beyond the scope of this assignment"; and "[t]his form report was completed with an economic constraint. That is, the appraisal budget (and the fee for the appraisal) did not contain unlimited funds for investigation." Mr. Doolan notes that Mr. Bartlett also "reserves the right to revise any values should a complete narrative appraisal be carried out". He is critical of the comments because they suggest that the value estimate may be subject to change if a complete narrative appraisal was to be carried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Mr. Doolan concludes that Mr. Bartlett's comments about the limitations of the Appraisal are confusing and thus offend provisions of the CUSPAP. He says that Mr. Bartlett did not meet the CUSPAP requirements because "these Limiting Conditions" were not clearly articulated in the Appraisal. He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While it is understandable that fees paid for form reports will not, in many cases, allow in-depth market research, such lack of research or any other shortened process that might result in a value estimate that is susceptible to change constitutes an Extraordinary Limiting Condition that must be clearly expressed to the client, in accordance with Article 6.2.10 of the 2007 edition of CUSPAP, which states: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6.2.10 identify all assumptions and limiting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Mr. Doolan then refers to section 12.32.1.ii (a Practice Note) that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Certain conditions are unacceptable in any assignment where they: Limit the scope of work to such a degree that the results are not credible given the purpose of the assignment and the intended use of the results.</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Failure to describe the sub-market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Mr. Doolan's complaint about Mr. Bartlett's failure to accurately describe the state of the sub-market arises from his view that there is no basis for an upward time adjustment for rural estate properties priced above $2 million in the Abbotsford area. He notes that the Appraisal refers to a number of salient circumstances: in the previous seven years, only nine single-family homes had sold for over $2 million; the previous unsuccessful listing of the Property; the fact that there had never been a residential property sold in the Fraser Valley for more than $2,750,000; and Mr. Bartlett's view that a typical exposure time for the Property would be from 90 to 720 days. Mr. Doolan then opines: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These factors all point to a very slow market for homes over $2 million in this area in the few years leading up to the date of the appraisal. No information was provided as to how price trends for this type of real estate might have changed over these years, and it would admittedly be difficult to measure any such change in the absence of sales. Nevertheless, Mr. Bartlett suggested that all five of the comparable sales reported required upward adjustments for time, even the three sales that took place in 2007.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basis for his upward time adjustments is not discussed; therefore, little credibility can be given to their amounts.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Mr. Doolan concludes this section of his technical review by stating that a two-year exposure period is not appropriate for mortgage lending purposes because it "points to weak demand and augers against capital appreciation over that time."</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c) The market value range is not supported by the data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Mr. Doolan's third criticism of the Appraisal is that the market data does not support Mr. Bartlett's conclusion that the Property had a market value range on October 5, 2007 of $2,500,000 to $3,000,000.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Mr. Doolan was critical of the single property used for a land comparable for two reasons: it failed to take into account the value of the buildings according to the BC Assessment Authority assessment; and the 25% time adjustment could not be supported because the sale took place only five months before the date of the Appraisal.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Mr. Doolan concluded that the other five comparable properties referenced in the Appraisal did not support Mr. Bartlett's range of probable value for the Property. He was of the view that the Gladwin property was not helpful in estimating value as it was a listing, not a sale, for a much larger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Mr. Doolan accepts that the other four properties used for comparison by Mr. Bartlett are relevant comparable properties, but disagrees with Mr. Bartlett's conclusion about the relative value of those when compared to the Property. This conclusion is based largely on his assessment of the N. Burgess property. Mr. Doolan says it should not have been considered to be inferior overall because the assessed value of the improvements was only 5% less than the Property's improvements and the land area was more than three times larger. He says there is no appreciable difference in building quality and that the small difference in building size is overshadowed by the large difference in land size. He considers the N. Burgess property to be clearly superior.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Mr. Doolan says that if the N. Burgess property is considered to be superior, then a proper analysis of the four comparable properties suggests a price range of $2.2 million to $2.4 million for the Property. He says the comparable properties certainly do not support the conclusion arrived at by Mr. Bartlett. He concludes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These sales illustrate a range of probable value for the subject, based specifically upon Mr. Bartlett's narrative, between $2.2 million and $2.4 million. They did not support the appraiser's conclusion of a range in market value for the subject of $2.5 million to $3 million, particularly in light of the subject property having been listed unsuccessfully for over six months at an asking price of $2,760,000 during the year leading up to the date of the appraisal.</w:t>
      </w:r>
    </w:p>
    <w:p>
      <w:pPr>
        <w:spacing w:before="120"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d) Failure to analyze the Property listing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Mr. Doolan is also critical of the lack of analysis of the previous listing of the Property for $2.76 million. He acknowledges that "[u]nder some conditions, a particular property may be listed for sale at a lower price than its current market value; however, these would be very unusual circumstances that would require a detailed, well-reasoned explanation on the part of the appraiser." He notes that section 7.24.1 of the CUSPAP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Agreement for Sale/Option/Listing: Must be analyzed and reported if any agreement for sale, option or listing of the subject property occurred within one year prior to the date of valuation, if such information is available to the appraiser in the normal course of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Mr. Doolan concludes by stating that the major issues he outlined "served to seriously erode the credibility of the Report as an indication of market value for mortgage lending purposes, even when an exposure time of up to 24 months was invoked." He also concludes that he does not believe "that the analysis, opinions or conclusions of this Report were appropriate and reasonable, nor do I feel they conformed with the 2007 issue of CUSPAP."</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Doolan Retrospective Appraisal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Doolan Retrospective Appraisal was performed to estimate the market value of the Property as of October 5, 2007; in other words, on the date of the Appraisal. He initially undertook the assignment in 2014 and modified it slightly for trial. Both versions of the appraisal conclude that the value of the Property on October 5, 2007 was $2 million using the direct comparison approach. Both arrive at a value of $1.95 million using the cost approach. The Doolan Retrospective Appraisal is a narrative report and accordingly contains significantly more narrative and analysis than a form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Mr. Doolan sets out the sales history of the Property including the listings and sale after October 2007. The Property was transferred in May 2004 for $685,000. The house was built in 2005. The Property was listed for sale on September 28, 2006 for $2.76 million. The listing was cancelled on February 6, 2007. The Property was listed for sale "at various times" between October 2011 and March 2013 at prices ranging from $1.595 million to $1.975 million. It sold in March 2013 for $1.35 million.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Mr. Doolan did not view the interior of the home or the outbuildings. Accordingly, he used information about the condition and quality of the home contained in the Appraisal.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Under the heading "Market Conditions", Mr. Doolan notes that the Housing Price Index for Abbotsford and Bradner increased 9% from October 2006 and 23% (Abbotsford) or 24% (Bradner) from October 2005. However, he does not believe that a time adjustment showing increasing values is warranted for higher priced properties in this area: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subject was at a much higher general price denomination ... which does not perform in the same manner as its lower-priced counterparts. While there are too few sales in this general price denomination with which to estimate changes due to market conditions, what can be measured is the number of transactions of high-end residential properties, which showed very little movement in the three-year period between 2006 and 2008. For instance, in all of 2007, only seven single-family dwellings were sold at or above $1.5 million in the City of Abbotsford, similar to the figure that was recorded in all of 2006, at eight transactions, and in 2008, at five transactions.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Due to the very low sales volumes for residential properties in the general price denomination of the subject, I do not believe that time adjustments are warranted for the comparable sales.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In the May 2014 retrospective report, he expressed his views somewhat differently. He did not say that time adjustments were not warranted, but rather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 not attempted to show time adjustments to the comparable sales, as they are very difficult to estimate and are often not valid.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Mr. Doolan used the direct comparison approach to estimate land value. He arrived at a figure of $105,000 per acre, which works out to a value of $890,000 for the Property. The properties used for comparison were all sold between May and November 2007 and were between five and ten acres in size. Two of the properties had existing old homes on them. The 2014 report uses the same three properties to arrive at the same conclusion. He justifies the use of a sale made in November 2007, after the date of the Appraisal, because the CUSPAP permits reference to subsequent sales in a retrospective appraisal.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Mr. Doolan also estimated the value of the Property using the cost approach by adding the building replacement cost, less accrued depreciation, to the land value he determined. He used the value arrived at by the cost approach as an indication of the value of the Property and a check against the value arrived at by the direct comparison approach.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In order to arrive at the replacement cost for the home, he referred to a range of construction cost figures he was familiar with for new residential construction in the Greater Vancouver and Fraser Valley area. The low end of the range was $125/square foot for a 2,500 square foot average-to-good quality home in Ladner, and the high end of the range was $250/square foot for a 5,500 square foot very good quality home on the west side of Vancouver. He provided perfunctory reasons - the relatively large size of the home and the extent of the basement development - for his conclusion that the "market's perception of costs would have averaged" $130/square foot for the Property. This produces a replacement cost for the home of $889,200. He estimated a replacement cost of $235,000 for the barn and workshop. He totalled those two figures to arrive at $1.124 million for the total replacement costs. Adding this figure to the land value, he concluded that the estimate of value on the cost approach is $1.95 million.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For the direct comparison approach, he relied on five sales, which took place between June 2006 and November 2007. The price range for these sales is $1.8 million to $2.75 million. The homes were exposed to the market for an average of 35 days. The comparable properties are:</w:t>
      </w:r>
      <w:r>
        <w:rPr>
          <w:rFonts w:ascii="arial" w:eastAsia="arial" w:hAnsi="arial" w:cs="arial"/>
          <w:sz w:val="20"/>
          <w:lang w:val="en-US" w:eastAsia="en-US" w:bidi="ar-SA"/>
        </w:rPr>
        <w:cr/>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Index #1 (the Townshipline property in the Appraisal) - this is a 12.22-acre site improved with an 8700 square foot home built in 2003. It sold for $2.4 million in June 2006. Mr. Doolan concludes that it is superior in terms of lot size and house size and that "a much lower value was warranted for the subject".</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Index #2 (the N. Burgess property in the Appraisal) - this is a 30-acre parcel with a 6300 square foot home. It sold in February 2007 for $2.75 million. The house is slightly older and smaller, but it is on a much larger lot. Mr. Doolan concludes that, "owing almost entirely to lot size, this was a far superior property and a much lower value was warranted for the subject."</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Index #3 - this is a 4.25-acre parcel with an eight-year-old 5000 square foot home. It was listed for sale in October 2007 at a price of $1.994 million and sold in early November 2007 for $1.8 million. Mr. Doolan concludes that it is a far superior location, but owing to lot size and the age and size of the home, a higher value was warranted for the subject property. On the basis of the photograph, this house looks like it was built in the 1970s. This property was not included in the Appraisal and could only have been referred to as a listing. At the time of the Appraisal, it was listed for sale at $1.994 million and did not sell until November 2007. It is located miles southwest of the Property in Langley.</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Index #4 - this is a 2.45-acre parcel with a 5800 square foot two-year-old home with a large unfinished basement. It sold in May 2007 for $1.92 million. Mr. Doolan concludes that this is a superior location "but consists of a much smaller lot and was improved with a smaller dwelling with an unfinished basement. On balance, a slightly higher value was warranted for the subject." It has an in-ground outdoor pool but no outbuildings. This property was not in the Appraisal. It is located in a quiet agricultural area south of Langley, a long distance from the Property.</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Index #5 (the 82nd Ave. property in the Appraisal) - this is an 8.23-acre parcel improved with a 13-year-old 5800 square foot home. It also has an in-ground swimming pool and a 1500 square foot barn. It was sold in June 2007 for $2.2 million. Mr. Doolan concludes that even though the home is older and smaller, "it has a far superior location ... On balance, a lower value was warranted for the subject." This home is located northwest of the Property in Langley.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Mr. Doolan determined that Indexes #3 to #5 inclusive, are similar to the Property and Indexes #1 and #2 are superior.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Mr. Doolan reasons that Index #2 (the N. Burgess property) is far superior and little weight can be placed on that comparable. Index #1 (the Townshipline property) is also far superior in terms of lot size and house size. He reasons, on the basis of the other three comparables, that the range of values is $1.8 million to $2.2 million and chooses the midpoint.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Finally, Mr. Doolan opined that the cost approach is less reliable because of the difficulty in accurately estimating construction costs. The direct comparison approach "has traditionally been the most commonly used method by all participants in the single-family market". He believes the data presented provides the most compelling evidence of value and accordingly concludes that the market value was $2 million.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Mr. Doolan's earlier appraisal done in 2014 does not include Index #5. This may be because of its location, more than 15 km away from the Property in the Township of Langley. Nevertheless, he arrived at the same conclusion. However, he did so with slightly different reasoning. He stated that Indexes #2 and </w:t>
      </w:r>
      <w:r>
        <w:rPr>
          <w:rFonts w:ascii="arial" w:eastAsia="arial" w:hAnsi="arial" w:cs="arial"/>
          <w:color w:val="000000"/>
          <w:sz w:val="20"/>
          <w:u w:val="single"/>
          <w:lang w:val="en-US" w:eastAsia="en-US" w:bidi="ar-SA"/>
        </w:rPr>
        <w:t>#3 are the least reliable</w:t>
      </w:r>
      <w:r>
        <w:rPr>
          <w:rFonts w:ascii="arial" w:eastAsia="arial" w:hAnsi="arial" w:cs="arial"/>
          <w:color w:val="000000"/>
          <w:sz w:val="20"/>
          <w:lang w:val="en-US" w:eastAsia="en-US" w:bidi="ar-SA"/>
        </w:rPr>
        <w:t xml:space="preserve"> and that Index #1 is also far superior. This is in contrast to his statement in the trial appraisal where he found that Index </w:t>
      </w:r>
      <w:r>
        <w:rPr>
          <w:rFonts w:ascii="arial" w:eastAsia="arial" w:hAnsi="arial" w:cs="arial"/>
          <w:color w:val="000000"/>
          <w:sz w:val="20"/>
          <w:u w:val="single"/>
          <w:lang w:val="en-US" w:eastAsia="en-US" w:bidi="ar-SA"/>
        </w:rPr>
        <w:t>#3 was similar to the Property</w:t>
      </w:r>
      <w:r>
        <w:rPr>
          <w:rFonts w:ascii="arial" w:eastAsia="arial" w:hAnsi="arial" w:cs="arial"/>
          <w:color w:val="000000"/>
          <w:sz w:val="20"/>
          <w:lang w:val="en-US" w:eastAsia="en-US" w:bidi="ar-SA"/>
        </w:rPr>
        <w:t>. In the earlier report, he relied on Index #4 to conclude that $2 million is the market value.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Doolan Reply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This report, dated January 25, 2017, was a brief reply to Mr. Beatty's report critiquing the Doolan Retrospective Appraisal. There is little in the Doolan Reply that is controversial or of particular relevance to the issues to be considered.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Mr. Doolan questioned the validity of Mr. Beatty's comments on the principle of diminishing returns, which impacts land values in accordance with their relative sizes. Mr. Doolan says that a "principle" in land valuation refers to the guiding concept rather than the quantum of adjustment. He agrees that the concept that the per acre value of land decreases as the size of a parcel of land increases is a principle accepted within the appraisal industry. However, he disagreed with the apparent application of the principle based on a comment made by Mr. Beatty in relation to land valuations for the comparables referenced in Mr. Doolan's report. Nevertheless, Mr. Doolan acknowledges that the principle of diminishing returns is well recognized by appraisers. Mr. Beatty and Mr. Bartlett also acknowledge the validity of that concept.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 Doolan Reply also comments on Mr. Beatty's criticism of Mr. Doolan's estimate of the depreciated replacement cost in the context of the cost approach. Mr. Doolan defends his opinion by stating that the replacement cost is "an opinion to be formed and not a fact to be found". He says that his opinion is in the middle of possible opinions available in this case: it is higher than the BC Assessment building values for the Property and lower than the opinions of Messrs. Beatty and Bartlett.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In cross-examination, Mr. Doolan agreed that if a property is unique, it is more difficult to appraise and it is likely that the range of values provided by different appraisers will be larger than for a standard city home or condominium. He reluctantly agreed that it was "suitable and useful" for the Appraisal to contain the caution that "[p]roperties similar to the subject are rare in any community and they are difficult to appraise."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Mr. Doolan conceded that Mr. Beatty is more experienced than he is with regard to the interpretation and application of the CUSPAP. Mr. Doolan also agreed in cross-examination that performing a physical inspection is advantageous in conducting an appraisal, as interior finish can significantly influence the valuation. He conceded that Mr. Bartlett has a better sense than he does of the build quality of the Property.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Allan Beatty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Mr. Beatty has worked as an appraiser for almost 50 years. He is accredited as an AACI and a P. App. His practice has been centred in Kamloops, B.C. and he does not have extensive experience in appraisals in the Abbotsford area. He does have appraisal experience generally in a broad range of properties, although his practice has focused on commercial and industrial valuations. In addition to his practice as an appraiser, he has been actively involved in work for the AIC having served at the chapter, provincial and national levels since 1984. He sat on the Standards Board of the AIC from 1999 to 2007 and was appointed to assist in rewriting the Canadian uniform standards for the profession, serving as chair of the committee that undertook the project from 2003 to 2005. The CUSPAP (2007), which is relevant to assessment of the Appraisal, was the product of the work of that committee. In 1997, he was appointed to the rank of Fellow of the AIC for meritorious service to that institute and to the appraisal profession. He has served on other boards dealing with valuation standards, including the Toronto Valuation Accord, the Canadian Institute of Chartered Accountants and the International Valuation Standards Committee.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Mr. Beatty prepared three reports: a technical review of the Appraisal dated September 19, 2016 (the "Beatty Technical Review"); a reply to the Doolan Technical Review (the "Beatty Reply") dated December 9, 2016; and a review of the Doolan Retrospective Appraisal (the "Beatty Doolan Critique") dated December 9, 2016.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Beatty Technical 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 Beatty Technical Review, like the Doolan Technical Review, is carried out in accordance with the relevant provisions of the CUSPAP. Mr. Beatty begins by noting: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a brief overview of the Bartlett report, the subject property and its neighbourhood are described in good detail. The description of the improvements is thorough and complete. The report generally contains sufficient information to provide a basis for the opinions sought, as commented on in the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Mr. Beatty provides three opinions about the Appraisal with specific reference to the CUSPAP requirements for a technical 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Section 8.2.8 of the CUSPAP requires that a technical review must "provide an opinion as to the completeness of the report under review within the scope of work applicable in the review assignment." Mr. Beatty notes that the Appraisal was a form report and that Mr. Bartlett both used the appropriate form and added to it to ensure that it was compliant in terms of content. The comments in the Appraisal suggested a "tailored scope of work" and led Mr. Bartlett "to conclude that a range in value was appropriate rather than a 'point' estimate (i.e. specific figure)." Mr. Beatty also noted that the Appraisal included a property history as required by the CUSPAP, which included the reference to the previous listing. Mr. Beatty concluded that the Appraisal is compliant with the CUSPAP standards with respect to content and completeness.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Mr. Beatty next considered sections of the CUSPAP that require a review appraiser to provide an opinion "as to the apparent adequacy and relevance of the data and the propriety of any adjustments to the data" (section 8.2.9) as well as "an opinion as to the appropriateness and proper application ... of the methods and techniques used" (section 8.2.10).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With regard to section 8.2.10 of the CUSPAP, Mr. Beatty notes that the direct comparison approach is widely accepted as the most pertinent for valuing existing residential property. When using that approach, there are two processes for evaluating comparable properties: qualitative or quantitative. Using the qualitative process, comparable properties are considered to be either similar, superior or inferior to the subject property and the appraiser then determines where the subject property best fits within the range. The quantitative process applies dollar or percentage amounts to each comparable property. Mr. Beatty was of the view that Mr. Bartlett's use of the qualitative technique was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Section 8.2.9 of the CUSPAP requires an examination of the apparent adequacy and relevance of the data. Mr. Beatty notes that the Appraisal discusses at length, the challenges the valuation of the Property posed, including the limited sales and inventory for similar homes in that market. The Appraisal also noted that the uniqueness of the Property meant that a lengthy exposure time may be required to achieve the value indicated. Commenting on the comparable properties used, Mr. Beatty noted: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Stated simply, there are no other sales to be considered ... there were only 9 sales over the $2.0 million mark since 2001 ... The report considers four of the most recent of those, plus one listing ... The Bartlett report labels these sales as the most comparable, and a review of the commentary in the analysis is internally consistent.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Mr. Beatty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that the data in the Bartlett report, including the choice of suitable comparable sales, meets the test of containing sufficient, adequate and relevant data, within an acceptable approach to value. There is no indication of inconsistent or incorrect consideration of the available sales data. More important to my opinion is that the analysis aligns with the scope of work that is outlined in the Bartlett report. Also in my opinion, the Bartlett report goes further to outline the challenges of the particular assignment than many other appraisers would endeavour to comment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Section 8.2.10 of the CUSPAP also requires an appraiser to "provide an opinion as to whether the analyses, opinions and conclusions in the report under review are appropriate and reasonable and suitable for reliance by the intended user for the intended use". Mr. Beatty concludes that Mr. Bartlett met the standards of a reasonable appraiser. He summarized his reasons for arriving at that conclusion at page 13:</w:t>
      </w:r>
      <w:r>
        <w:rPr>
          <w:rFonts w:ascii="arial" w:eastAsia="arial" w:hAnsi="arial" w:cs="arial"/>
          <w:sz w:val="20"/>
          <w:lang w:val="en-US" w:eastAsia="en-US" w:bidi="ar-SA"/>
        </w:rPr>
        <w:cr/>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Bartlett report was responsive to the limited scope of investigation that was articulated by the client.</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report adequately describes the subject property.</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report suggests that a longer exposure time than the norm may be required to sell the property.</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report carefully outlined the difficulties associated with the assignment that were beyond the norm for other residential appraisals.</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sales data presented is reported to be the most reliable available at the time of the appraisal.</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analysis of the data is consistent with the description of the subject property.</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Insofar as the actual range in values, prescribed to the property in this case, one must appreciate that opinions almost always vary between appraisers. However, I can say the values concluded in the Bartlett report appear reasonable, based on the comparable sales and the processes employed by the appraiser, including the warnings provided to the intended user.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Mr. Beatty goes on to comment on the impact of foreclosure on the selling price of the Property. He is of the view that foreclosure sales produce lower prices because there is often less than adequate exposure, as well as high motivation by the seller, usually a financial institution, to sell. Further, the physical condition of properties often deteriorates. He examined two foreclosure sales and compared them to other similar properties. He found that in the time in question - from 2007 to 2013 - there was a 10 to 25% difference over time. He concludes: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my opinion that foreclosure property, before considering extraordinary factors such as poor repair, generally sell for between 10% and 25% below their normal market value, due to motivation of the parties, a shorter than normal exposure time, and the impairment of the bundle of rights associated with foreclosed residential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Mr. Beatty next looks at how events specific to the Property that took place subsequent to commencement of the foreclosure proceedings impacted the sale of the Property. The two issues are: 1) the amount of time and the condition of the Property during the period between the date when the foreclosure proceedings began and the sale; and 2) the general market conditions as of the date of sale in 2013. An appraisal done in 2011 comments on the observable damage to the interior of the home. Repairs to the home were approved later on. He concludes that both the length of time that the subject was exposed to the market (18 months) and the relative state of repair would have adversely affected the achievable price.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Mr. Beatty also examines the state of the market between 2007 and 2013. He concludes that the market demand conditions and price levels in 2013 were approximately 13% below their level in 2007 for properties valued between $1.25 million and $3 million in the rural Abbotsford area. He concludes that 10 to 15% of the difference between the Appraisal value in 2007 and the selling price in 2013 can be attributed to weaker market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In cross-examination, Mr. Beatty indicated that his technical review was prepared without having seen Mr. Doolan's reports. In other words, his conclusions were formed independent of Mr. Doolan's opinions.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Beatty Reply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This report is a reply to the Doolan Technical Review. Mr. Beatty disagrees with the conclusions stated in Mr. Doolan's report. Under the heading "Scope of Work", Mr. Beatty highlights one important assumption underlying his own analysis: "the Property is accurately described in the Bartlett appraisal". Mr. Beatty notes that this is significant because it means that he disagrees with Mr. Doolan's assessment of the Property. Mr. Doolan concluded that the home was merely of "good quality construction". Mr. Beatty is critical of this assumption because Mr. Doolan did not view the home, while Mr. Bartlett inspected the Property and described the construction quality as "very good to excellent", "estate quality" and similar to a mansion. Mr. Beatty accepts that assessment of the quality of construction.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The bulk of the Beatty Reply responds to three of the significant issues identified in the Doolan Technical Review: a) the purpose and scope of the Appraisal; b) whether the Appraisal adequately described the sub-market; and c) whether the conclusion in the Appraisal was supported by the data. Mr. Beatty's reply can be summarized as follows.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a) The purpose and scope of the Appraisal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Mr. Beatty disagrees with Mr. Doolan's conclusion that the Appraisal fails to clearly state its purpose and scope. Some of the key provisions in the Beatty Reply include: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disagree that the Bartlett report is deficient in stating the purpose and scope of the report. Passages that are offered in support of the opinion in the Doolan report provide a cautionary tone to the Bartlett report, which in my opinion enhance its suitability for the intended use (i.e. to determine a value for lending purposes).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Is not clear how the purpose of the appraisal in the Bartlett report could be more plainly stated. First, one must recognize that a "form" report has limitations in the space allotted to expand or explain factors that might affect the use of the report.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view of these limitations, the Appraisal Institute of Canada has instructed its members that the form of an appraisal should not limit the appraiser from explaining, as fully as possible, limitations of the assignment. The Bartlett report does just that, and the passages that are highlighted in the Doolan review (page 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None of the passages from the Bartlett report change the purpose or the intended use: "to estimate value for first mortgage and/or lending security purposes".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RBC accepted the assignment limitations, including that the result would be a range in value ... It is a reasonable expectation of an appraiser to believe that a sophisticated mortgage lender, such as RBC, would understand the significance of the assignment limitations commented on, at some length, in the appraisal.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Mr. Beatty opines that "the Doolan report interprets the wording of the Bartlett report in a way that is inconsistent with appraisal industry standard." He goes on to explain the difference between a narrative appraisal and the limitations imposed by the fee offered for a form appraisal. Mr. Beatty also disagrees with the Doolan conclusion that an extraordinary limiting condition or "ELC" was required in light of Mr. Bartlett's comments: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Bartlett report does not require an ELC, since no Standard Rule is set aside or modified. CUSPAP recognizes that value estimates may be reported within a range. For the Bartlett report, the use of a value range comes directly from the terms of reference to complete the assignment within budget constraints, and to the extent that a valuation of this nature could produce a reliable range in value for lending purposes in this specific case. The diminished reliability of the report, if any, is a function of the terms of reference/scope of work, and must be viewed from the perspective that it is the instructions from the client that affect the level of risk involved, not the appraiser skipping any steps in the valuation process.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criticism of the Bartlett report with regard to the requirement of an ELC is therefore unfounded. In my opinion, it is inconsistent with the commonly accepted definition of an ELC.</w:t>
      </w:r>
    </w:p>
    <w:p>
      <w:pPr>
        <w:spacing w:before="120"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b) Did the Appraisal adequately describe the sub-market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Mr. Beatty expresses the opinion that the Appraisal accurately describes the sub-market for higher-end homes in the local market. He notes that Mr. Bartlett accurately reports the number of sales above the $2 million mark that had occurred in the previous years and the number of listings in that price range as of October 2007. Mr. Beatty is highly critical of Mr. Doolan's suggestion that the market for properties over $2 million was very slow in 2007: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commentary is interesting in light of the fact the Doolan report criticizes the Bartlett report for not supporting the statement with any research, but does not back up its own conclusion with research to indicate that time adjustments were not warranted. The market in the Abbotsford area in 2007 was nearing an all-time peak in terms of the volume of sales and unprecedented price increases characterized the market for at least the three years leading to the effective date in 2007.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natural outcome of these type of increases would lead to a record number of property values being above the $2.0 million mark relative to any other historic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Mr. Beatty then refers to paired sales data for the Townshipline property and additional research he did to conclude that average prices for properties over $1 million were increasing in the period between 2005 and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Mr. Doolan is critical of Mr. Bartlett's indication that the upper limit of the value range could be as high as $3 million or even higher with lengthy exposure. He believes the long exposure time points to a weak market. Mr. Beatty disagrees with Mr. Doolan's conclusion and states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comment in the [Bartlett] report must be considered in context of the market conditions at the time, not in hindsight 9 years later. If the market was escalating dramatically, it is possible that prices could be achieved at levels not previously common in the local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Mr. Beatty is also critical of Mr. Doolan's suggestion that "a two-year exposure time is not appropriate for mortgage lending purposes" for two reasons. First, he says that it is "entirely appropriate to the intended use of the report to suggest that it may take an extended period of time to realize on the security should that be required." He approves of the exposure time as a "red flag" to RBC. Second, he says that Mr. Doolan's opinion is beyond his expertise; he is not a mortgage underwriter.</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c) Was the conclusion of the Appraisal supported by the data presented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Mr. Beatty also disagrees with Mr. Doolan's criticism of the land value and overall value of the Property as set out in the Appraisal. With regard to the land value, he notes that Mr. Doolan appears to have misunderstood that Mr. Bartlett may have used other data not referred to in the form report. In addition, he is critical of Mr. Doolan's reliance on the BC Assessment figures for improvements. He states that "it is well-known in the appraisal industry that reference to BC Assessment figures are often not representative of actual values, particularly for buildings."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With regard to the total property value, Mr. Beatty is critical of Mr. Doolan's disregard of the Gladwin property listing. By doing so, he ignored the existence of price expectations in the current market of more than $3 million.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Mr. Beatty also criticizes Mr. Doolan's assessment of the N. Burgess property. He points out that Mr. Doolan's technical review fails to account for any differences in the properties other than lot size. In particular, it fails to account for the fact that the N. Burgess property sold 15 months earlier and that it does not have any outbuildings. He is of the view that the failure to recognize the value of outbuildings is a serious oversight "since the value of those assets might fully offset any downward adjustment for site size."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Mr. Beatty concludes his reply by expressing his disagreement with Mr. Doolan's conclusion that the Appraisal did not meet the CUSPAP standards. He notes that the sections of the CUSPAP referred to in the Doolan Technical Review are those dealing with misleading reports and the ethics provision that requires appraisers to act in a manner consistent with the concept of the "reasonable appraiser". He concludes that Mr. Bartlett has acted in accordance with the standard of a reasonable appraiser and performed the assignment in a manner consistent with the ethics standard of the AIC.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Beatty Doolan Critique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Mr. Beatty's third report is a critique of the Doolan Retrospective Appraisal. In accordance with section 8.2.8 of the CUSPAP, Mr. Beatty considers the completeness of the Doolan Retrospective Appraisal and finds that it meets the standard with respect to content and completeness.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Mr. Beatty comments on the apparent adequacy and relevance of Mr. Doolan's data in accordance with section 8.2.9 of the CUSPAP. He notes that the report uses a qualitative rating process in order to relate the comparable sales to the Property, and that the rating process is directly affected by the description and rating of the Property. Mr. Beatty opines that, "[t]he Doolan report does not adequately describe the quality of the home." Mr. Doolan's characterization of the home as being of good quality is in contrast to the description in the Appraisal and the MLS listing. Mr. Beatty says the issue is of critical importance in making appropriate comparisons because no attempt is made by Mr. Doolan to quantify differences in quality of the subject home and the comparable properties. This is important because of the requirement "to ensure that one is comparing like to like."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Mr. Beatty challenges Mr. Doolan's suggestion that there is no evidence of increasing prices in the upper price levels of the local market. Mr. Beatty finds that Mr. Doolan's conclusion is without reasonable support for a number of reasons:</w:t>
      </w:r>
      <w:r>
        <w:rPr>
          <w:rFonts w:ascii="arial" w:eastAsia="arial" w:hAnsi="arial" w:cs="arial"/>
          <w:sz w:val="20"/>
          <w:lang w:val="en-US" w:eastAsia="en-US" w:bidi="ar-SA"/>
        </w:rPr>
        <w:cr/>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average price increases of 9% and 23% in the two years prior to the Appraisal represent very buoyant market conditions.</w:t>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Doolan's conclusion is based solely on the fact that not many properties were trading.</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fact, Indexes #1 and #5 (the Townshipline and 82nd Ave. properties) are examples of re-sales (or paired sales) within the pertinent time frame. One represents a 50% increase in just over two years and the other a 16% increase in just over one year. He comments that in appraisal analysis, "paired sale analysis is considered strong evidence of market trends, preferred over general statistical data."</w:t>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Beatty also conducted an examination of sales of properties between $1.25 million and $3 million from 2005 to 2007 in nearby neighbourhoods. He found an increase of 4% in that market segment in the first year and 5% in the second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Mr. Beatty also comments on the five comparables used by Mr. Doolan:</w:t>
      </w:r>
      <w:r>
        <w:rPr>
          <w:rFonts w:ascii="arial" w:eastAsia="arial" w:hAnsi="arial" w:cs="arial"/>
          <w:sz w:val="20"/>
          <w:lang w:val="en-US" w:eastAsia="en-US" w:bidi="ar-SA"/>
        </w:rPr>
        <w:cr/>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Index #1 (Townshipline Rd. property) - Mr. Beatty says that Mr. Doolan failed to comment on the 16-month earlier sale date and the lower quality of construction. As a result of these factors, there is more similarity between the properties than Mr. Doolan indicates.</w:t>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Index #2 (N. Burgess property) - this is rated as far superior by Mr. Doolan, but Mr. Beatty notes that it is five years older than the subject Property, has a 10% smaller home, does not have outbuildings and sold eight months earlier. Mr. Doolan also failed to comment on the outbuildings on the Property. The outbuildings have a value of at least $200,000 if the second garage is included. Mr. Beatty opines that "any difference in land value will in large part be offset by the features of the subject that the comparable lacks"; in other words, the outbuildings and larger home as well as age and quality. He notes that the principle of diminishing returns suggests that the land value per acre decreases as the size of the property increases.</w:t>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Index #3 - this is a 4.25-acre parcel with an eight-year-old 5000 square foot home. It was listed for sale in October 2007 at a price of $1.994 million and sold in early November 2007 for $1.8 million. Mr. Beatty notes that this property is 20 km away from the subject Property. He notes from listing photographs that the quality of construction is far inferior to an estate-quality residence and says that for comparison it would require a significant upward adjustment for construction quality. In addition, the home is 35% smaller on a parcel of land that is 50% smaller. Mr. Beatty is of the view that this property is not appropriate to be considered as similar to the Property; it is an inferior property.</w:t>
      </w:r>
    </w:p>
    <w:p>
      <w:pPr>
        <w:numPr>
          <w:numId w:val="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Index #4 - this is a 2.45-acre parcel with a 5800 square foot two-year-old home with a large unfinished basement. It sold in May 2007 for $1.92 million. Mr. Beatty notes that this home is 15% smaller and the land is less than one-third of the size. However, 33% of the reported size is unfinished basement compared to the Property, which had a fully finished basement. Further, there are no outbuildings on this property. Mr. Beatty is of the view that this would require a substantial upward adjustment. The basement finish and outbuildings alone would account for approximately $250,000 in adjustments or more than 10% before considering quality, date of sale, size or land size. Accordingly, this is not a similar property.</w:t>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Index #5 (82nd Ave. property) - this is an 8.23-acre parcel improved with a 13-year-old 5800 square foot home. It also has an in-ground swimming pool and a 1500 square foot barn. It was sold in June 2007 for $2.2 million. Mr. Beatty says that the size, configuration and quality of the home require a significant upward adjustment when compared to the Property. Even if the upper floor, which is described as a single room, could be considered comparable, the house is still 15% smaller. He is of the view that it is an inferior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Mr. Beatty concludes that Mr. Doolan's opinion that Indexes #3 to #5 are similar to the Property "does not represent sound reasoning in view of the differences discussed". Mr. Beatty's final conclusion on the direct comparison approach, in accordance with the requirements of section 8.2.9 of the CUSPAP, is that although the Doolan Retrospective Appraisal contains sufficient data to support an opinion of value, "the adjustments to the data (or lack thereof) are not supported by an objective view of the data."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Mr. Beatty then turns to examination of the cost approach. In accordance with section 8.2.10 of the CUSPAP, he provides an opinion as to the appropriateness and proper application of the methods and techniques used by Mr. Doolan in his cost approach appraisal. He accepts Mr. Doolan's estimate of land value using the per unit cost of $105,000 per acre but opines that Mr. Doolan's costs of construction are significantly understated in light of the quality of the subject. He says that the approach taken by Mr. Doolan is not one that is commonly accepted in the appraisal industry. He uses a replacement cost that he applies to all attached structures. Most appraisers use a replacement cost figure for finished areas above grade and then add amounts for basements and other improvements not included in the finished areas. This is what Mr. Bartlett did in the Appraisal.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Mr. Doolan then considers two very different "known" per square foot costs; one of a dwelling in Ladner and one of a home in Vancouver. Little information is given about the properties. For reasons that are inexplicable to Mr. Beatty, Mr. Doolan assumes that the cost of the subject Property would be closer to the lower cost home and uses $130 per square foot as the replacement cost figure. Mr. Beatty opines that this replacement cost is "very significantly understated".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Mr. Beatty then goes through a lengthy analysis to assess the reasonable replacement cost for the homes on the properties used as comparables by Mr. Doolan. In doing so, he accepts the land value used by Mr. Doolan, but adjusts it in accordance with the principle of diminishing returns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for purposes of this exercise this rate per acre is doubled for the smallest site for the comparable data set ... and halved for the largest comparable site... Outbuildings are considered on a similar basis as the depreciated costs used in the Doolan report, except where they are clearly superior or inferior.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Mr. Beatty concludes that the comparable properties indicate a reasonable range of replacement cost of $155 to $238 per square foot. Given that range and the quality of construction of the Property, he says an appropriate figure to apply to the Property when considering the cost approach would be $200 per square foot. He notes that if Mr. Doolan had used that figure to estimate the replacement cost for the improvements (rather than $130) for his cost approach for the Property, he would have arrived at a property value of $2,446,000.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Mr. Beatty's point in making this comparison is that there must be something wrong with Mr. Doolan's cost approach: he must have used either an incorrect land value, an incorrect calculation of the "replacement cost new", or an incorrect calculation of depreciation. Mr. Beatty concludes: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my opinion that the Replacement Cost New is significantly understated and this error leads to an inappropriate conclusion of value by the Cost approach in the Doolan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Mr. Beatty concludes his report by setting out his reasons for agreement or disagreement with the Doolan Retrospective Appraisal. He finds that "the report contains internal inconsistencies and fails to consider aspects of comparability between the comparable sales and the subject property which are essential to a supportable opinion of market value." The areas of agreement include the use of adequate data, standard appraisal methodology and reporting in a standard-compliant format. He also states, "I agree with the estimate of land value and the depreciated cost of outbuildings."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Mr. Beatty was questioned in cross-examination about his statement in the Beatty Doolan Critique that he agreed with Mr. Doolan's estimate of land value.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It's probably misstated, but ... and the reason I say that is because I didn't do my own analysis to say whether I would've come to the same conclusion. But I accept his land value in -- I've accepted it for purposes of analysing other aspects of his -- of his 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Mr. Beatty's areas of disagreement with the Doolan Retrospective Appraisal are:</w:t>
      </w:r>
      <w:r>
        <w:rPr>
          <w:rFonts w:ascii="arial" w:eastAsia="arial" w:hAnsi="arial" w:cs="arial"/>
          <w:sz w:val="20"/>
          <w:lang w:val="en-US" w:eastAsia="en-US" w:bidi="ar-SA"/>
        </w:rPr>
        <w:cr/>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comparative rating of the comparable sales and in particular, Index #2.</w:t>
      </w:r>
    </w:p>
    <w:p>
      <w:pPr>
        <w:numPr>
          <w:numId w:val="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quality of the subject Property is not "considered relative to the comparable sales".</w:t>
      </w:r>
    </w:p>
    <w:p>
      <w:pPr>
        <w:numPr>
          <w:numId w:val="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disagrees that the depreciated value of the subject building bears a reasonable relationship to market evidence.</w:t>
      </w:r>
    </w:p>
    <w:p>
      <w:pPr>
        <w:numPr>
          <w:numId w:val="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disagrees with the selection of $130 per square foot as the appropriate replacement cost new.</w:t>
      </w:r>
    </w:p>
    <w:p>
      <w:pPr>
        <w:numPr>
          <w:numId w:val="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disagrees with the methodology for calculating the replacement cost new.</w:t>
      </w:r>
    </w:p>
    <w:p>
      <w:pPr>
        <w:numPr>
          <w:numId w:val="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disagrees with the application of the cost approach and with Mr. Doolan not considering site improvements as a source of replacement cost.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Mr. Beatty concludes by opining that the Doolan Retrospective Appraisal "was not completed in a fashion that is compliant with the Reasonable Appraiser Standard" and "is not suitable to be relied upon for its intended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Positions of the Parties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Position of RBC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RBC says the defendants owed a duty of care to carry out their work as real estate appraisers with a reasonable degree of care, knowledge and skill. As agreed between the parties, RBC accepted and relied on the Appraisal to make the mortgage loan to the Borrowers. RBC's reliance on the Appraisal was reasonable. There is no merit to the defendants' suggestion that the Appraisal could only be relied upon in support of first mortgage loans. As set out in the cover letter, and as anticipated by the parties, the Appraisal was performed "for first mortgage and/</w:t>
      </w:r>
      <w:r>
        <w:rPr>
          <w:rFonts w:ascii="arial" w:eastAsia="arial" w:hAnsi="arial" w:cs="arial"/>
          <w:color w:val="000000"/>
          <w:sz w:val="20"/>
          <w:u w:val="single"/>
          <w:lang w:val="en-US" w:eastAsia="en-US" w:bidi="ar-SA"/>
        </w:rPr>
        <w:t>or lending security purposes</w:t>
      </w:r>
      <w:r>
        <w:rPr>
          <w:rFonts w:ascii="arial" w:eastAsia="arial" w:hAnsi="arial" w:cs="arial"/>
          <w:color w:val="000000"/>
          <w:sz w:val="20"/>
          <w:lang w:val="en-US" w:eastAsia="en-US" w:bidi="ar-SA"/>
        </w:rPr>
        <w:t>" (emphasis added). In other words, the Appraisal was intended to be used for mortgage financing transactions or any lending security. RBC used the Appraisal for the very purpose that it was provided.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RBC argues the defendants failed to live up to the standard of care because the Appraisal contains false, inaccurate or misleading statements. The main misstatement is the overvaluation of the Property. The Property was only worth $2 million on October 5, 2007, as set out in the Doolan Retrospective Appraisal, rather than $2.5 million to $3 million as set out in the Appraisal.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Other misstatements made by the defendants include: the representation that the market for high-end properties in the Abbotsford area was increasing at the time of the Appraisal; the suggestion that the Property could sell for considerably more than $3 million with a longer exposure time; the representation - without any limiting conditions - that an appraisal of the Property was challenging and that a complete appraisal could not be done; and the statement in the Appraisal that an analysis of the prior listing of the Property was beyond the scope of the assignment.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In support of these alleged misrepresentations, RBC points to a lack of any analysis in the Appraisal to support the view that an upward time adjustment to values was required because of a rising market. Indeed, RBC argues, based on Mr. Doolan's reports, that the market for high-end properties in the Abbotsford area was stable at the time. Further, the suggestion that an exposure time of up to two years was required to achieve a sale of the Property is confirmation that the high-end market was slow.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RBC also relies on the Doolan Technical Review in support of its contention that the Appraisal did not meet the CUSPAP requirements. In addition to the Appraisal's failure to provide appropriate and reasonable analyses, opinions and conclusions as required by the CUSPAP, it fails to identify limiting conditions (contrary to section 6.2.10) and analyze the prior listing of the Property (contrary to section 6.2.23).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RBC acknowledges that expert evidence is critical to assessment of the key issues. It says that Mr. Doolan's opinions should be preferred to those of Mr. Beatty. Mr. Doolan is better qualified because he has extensive experience appraising residential properties in the Lower Mainland and Fraser Valley. By contrast, Mr. Beatty's experience is primarily in commercial and industrial properties outside of the Lower Mainland. Further, RBC argues that Mr. Doolan's reports are entitled to greater weight as they were initially prepared outside of this litigation and contain a greater depth of analysis. In addition, RBC says that Mr. Beatty presented as a defensive witness; he was argumentative in attempting to defend his superficial technical review of the Appraisal.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Nevertheless, RBC says that important portions of Mr. Beatty's evidence actually support Mr. Doolan's opinions. First, Mr. Beatty's assertion that the value of the Property fell by approximately 30% (17.5% because of foreclosure and 12.5% because of market decline) between October 2007 and April 2013, supports a value in October 2007 of $2 million. Second, Mr. Beatty agreed with the land value ascribed to the Property in the Doolan Retrospective Appraisal. Third, Mr. Beatty acknowledges in the Beatty Reply that the proper range of values for the Property is $2.3 million to $2.65 million; in other words, he agrees that the defendants misrepresented the value of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In summary, RBC says it is clear that the defendants owed a duty of care, which they failed to meet.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Position of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The defendants argue that they met the standard of care of a reasonable appraiser and that the Appraisal did not negligently misrepresent the market value of the Property as of October 5, 2007. Moreover, the defendants assert that the Appraisal clearly provides that its intended use by RBC was for "Conventional First Mortgage financing security". RBC's reliance on the Appraisal for a collateral second mortgage was thus unreasonable. RBC's inability to prove reasonable reliance is fatal to its claim in negligent misrepresentation. Alternatively, it is estopped from advancing the claim because the Appraisal was used for a purpose other than that for which it was provided.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The defendants say the Appraisal was performed to an acceptable standard of care for a professional real estate appraiser. They emphasize that appraisal is an art not a science and that the mere disagreement of opinion between two appraisers does not mean that one appraiser was negligent. Further, verification of an appraisal is not necessarily found in the market price at which the property sells many years later. Here, the 2008 global financial crisis and the physical deterioration of the Property during foreclosure were significant events that negatively impacted the value of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xml:space="preserve">  The defendants deny the Appraisal overvalued the Property at all, and say that to establish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 plaintiff must prove that a property was "grossly" overvalued. The defendants contend there is no substance to any allegation of overvaluation. This was a difficult appraisal assignment; the Appraisal clearly highlighted the difficulties and the opinion of market value was easily within a reasonable range.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The defendants agree that the opinion evidence of Messrs. Doolan and Beatty is key to assessing liability. They argue that Mr. Beatty is better qualified than Mr. Doolan to give an opinion as to the appropriate standard of care and whether the defendants met that standard. Indeed, Mr. Beatty assisted in writing the standards for the profession and has been professionally involved for many years in considering the proper application of the CUSPAP. Mr. Beatty opined that the Appraisal met the CUSPAP requirements, and that Mr. Bartlett used an appropriate process to arrive at an opinion of value for the Property that was reasonable in light of the data. The defendants also say that Mr. Doolan was unfairly biased or argumentative and his opinion was "goal oriented" and relied on data not available to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The defendants point to three significant problems with Mr. Doolan's opinions as highlighted by Mr. Beatty. First, his suggestion that Mr. Bartlett committed technical breaches of the CUSPAP is without substance. The Appraisal was compliant with standards for content and completeness and appropriately reported a range of values. It analyzed sufficient, adequate and relevant data and applied an appropriate methodology to analyze the data. Further, the range of market values was reasonable, particularly in view of the warnings provided to RBC.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Second, Mr. Doolan's criticism of the Appraisal's assessment of the sub-market for high-end properties is based on no analysis and is simply incorrect. The housing market leading up to October 2007 was heated and prices in all ranges were rising rapidly. There is no evidence to support the assertion that the rapid price rise did not apply to the high-end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Third, Mr. Doolan's application of the cost approach to check on the value he arrived at by direct comparison is seriously flawed. He utilizes a replacement cost figure for the home that is unsupportable and seriously understates the value of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These arguments raise two sub-issues for determination:</w:t>
      </w:r>
      <w:r>
        <w:rPr>
          <w:rFonts w:ascii="arial" w:eastAsia="arial" w:hAnsi="arial" w:cs="arial"/>
          <w:sz w:val="20"/>
          <w:lang w:val="en-US" w:eastAsia="en-US" w:bidi="ar-SA"/>
        </w:rPr>
        <w:cr/>
      </w:r>
    </w:p>
    <w:p>
      <w:pPr>
        <w:numPr>
          <w:numId w:val="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RBC reasonably rely on the Appraisal, such that the duty of care owed by the defendants was not negated?</w:t>
      </w:r>
    </w:p>
    <w:p>
      <w:pPr>
        <w:numPr>
          <w:numId w:val="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Appraisal contain statements that were untrue, inaccurate or misleading such that it failed to meet the standard of care of a reasonable appraiser?</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Did RBC reasonably rely on the Appraisal, such that the</w: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 duty of care owed by the defendants was not negated?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xml:space="preserve">  The proposition that appraisers retained by lenders and others to provide opinions of value of real property owe a duty of care to their client is not controversial. Decisions in this province including, </w:t>
      </w:r>
      <w:r>
        <w:rPr>
          <w:rFonts w:ascii="arial" w:eastAsia="arial" w:hAnsi="arial" w:cs="arial"/>
          <w:i/>
          <w:color w:val="000000"/>
          <w:sz w:val="20"/>
          <w:lang w:val="en-US" w:eastAsia="en-US" w:bidi="ar-SA"/>
        </w:rPr>
        <w:t>Royal Bank v. Richardson Appraisals Inc.</w:t>
      </w:r>
      <w:r>
        <w:rPr>
          <w:rFonts w:ascii="arial" w:eastAsia="arial" w:hAnsi="arial" w:cs="arial"/>
          <w:color w:val="000000"/>
          <w:sz w:val="20"/>
          <w:lang w:val="en-US" w:eastAsia="en-US" w:bidi="ar-SA"/>
        </w:rPr>
        <w:t xml:space="preserve">, </w:t>
      </w:r>
      <w:hyperlink r:id="rId55" w:history="1">
        <w:r>
          <w:rPr>
            <w:rFonts w:ascii="arial" w:eastAsia="arial" w:hAnsi="arial" w:cs="arial"/>
            <w:i/>
            <w:color w:val="0077CC"/>
            <w:sz w:val="20"/>
            <w:u w:val="single"/>
            <w:shd w:val="clear" w:color="auto" w:fill="FFFFFF"/>
            <w:lang w:val="en-US" w:eastAsia="en-US" w:bidi="ar-SA"/>
          </w:rPr>
          <w:t>2003 BCSC 718</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VSH Management Inc. v. Neufeld</w:t>
      </w:r>
      <w:r>
        <w:rPr>
          <w:rFonts w:ascii="arial" w:eastAsia="arial" w:hAnsi="arial" w:cs="arial"/>
          <w:color w:val="000000"/>
          <w:sz w:val="20"/>
          <w:lang w:val="en-US" w:eastAsia="en-US" w:bidi="ar-SA"/>
        </w:rPr>
        <w:t xml:space="preserve">, </w:t>
      </w:r>
      <w:hyperlink r:id="rId56" w:history="1">
        <w:r>
          <w:rPr>
            <w:rFonts w:ascii="arial" w:eastAsia="arial" w:hAnsi="arial" w:cs="arial"/>
            <w:i/>
            <w:color w:val="0077CC"/>
            <w:sz w:val="20"/>
            <w:u w:val="single"/>
            <w:shd w:val="clear" w:color="auto" w:fill="FFFFFF"/>
            <w:lang w:val="en-US" w:eastAsia="en-US" w:bidi="ar-SA"/>
          </w:rPr>
          <w:t>2002 BCSC 755</w:t>
        </w:r>
      </w:hyperlink>
      <w:r>
        <w:rPr>
          <w:rFonts w:ascii="arial" w:eastAsia="arial" w:hAnsi="arial" w:cs="arial"/>
          <w:color w:val="000000"/>
          <w:sz w:val="20"/>
          <w:lang w:val="en-US" w:eastAsia="en-US" w:bidi="ar-SA"/>
        </w:rPr>
        <w:t xml:space="preserve">, have accepted the characterization of that duty as set out in </w:t>
      </w:r>
      <w:r>
        <w:rPr>
          <w:rFonts w:ascii="arial" w:eastAsia="arial" w:hAnsi="arial" w:cs="arial"/>
          <w:i/>
          <w:color w:val="000000"/>
          <w:sz w:val="20"/>
          <w:lang w:val="en-US" w:eastAsia="en-US" w:bidi="ar-SA"/>
        </w:rPr>
        <w:t>Avco Financial Services v. Holstein</w:t>
      </w:r>
      <w:r>
        <w:rPr>
          <w:rFonts w:ascii="arial" w:eastAsia="arial" w:hAnsi="arial" w:cs="arial"/>
          <w:color w:val="000000"/>
          <w:sz w:val="20"/>
          <w:lang w:val="en-US" w:eastAsia="en-US" w:bidi="ar-SA"/>
        </w:rPr>
        <w:t xml:space="preserve"> </w:t>
      </w:r>
      <w:hyperlink r:id="rId57" w:history="1">
        <w:r>
          <w:rPr>
            <w:rFonts w:ascii="arial" w:eastAsia="arial" w:hAnsi="arial" w:cs="arial"/>
            <w:i/>
            <w:color w:val="0077CC"/>
            <w:sz w:val="20"/>
            <w:u w:val="single"/>
            <w:shd w:val="clear" w:color="auto" w:fill="FFFFFF"/>
            <w:lang w:val="en-US" w:eastAsia="en-US" w:bidi="ar-SA"/>
          </w:rPr>
          <w:t>(1980), 109 D.L.R. (3d) 128</w:t>
        </w:r>
      </w:hyperlink>
      <w:r>
        <w:rPr>
          <w:rFonts w:ascii="arial" w:eastAsia="arial" w:hAnsi="arial" w:cs="arial"/>
          <w:color w:val="000000"/>
          <w:sz w:val="20"/>
          <w:lang w:val="en-US" w:eastAsia="en-US" w:bidi="ar-SA"/>
        </w:rPr>
        <w:t xml:space="preserve"> (Sask. Q.B.) at p. 130: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duty owed by an appraiser to his client is identical in principle to the duty owed by all professional men to people who employ them. It is always implied that he will carry out the duty with a reasonable degree of care, knowledge and skill. An appraiser who fails to live up to that standard is negligent and is liable for his client's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xml:space="preserve">  RBC's allegation that the Appraisal contains false, misleading or inaccurate statements raises a claim in negligent misstatement. The general test for negligent misstatement is set out in </w:t>
      </w:r>
      <w:r>
        <w:rPr>
          <w:rFonts w:ascii="arial" w:eastAsia="arial" w:hAnsi="arial" w:cs="arial"/>
          <w:i/>
          <w:color w:val="000000"/>
          <w:sz w:val="20"/>
          <w:lang w:val="en-US" w:eastAsia="en-US" w:bidi="ar-SA"/>
        </w:rPr>
        <w:t>Queen v. Cognos Inc.</w:t>
      </w:r>
      <w:r>
        <w:rPr>
          <w:rFonts w:ascii="arial" w:eastAsia="arial" w:hAnsi="arial" w:cs="arial"/>
          <w:color w:val="000000"/>
          <w:sz w:val="20"/>
          <w:lang w:val="en-US" w:eastAsia="en-US" w:bidi="ar-SA"/>
        </w:rPr>
        <w:t xml:space="preserve">, </w:t>
      </w:r>
      <w:hyperlink r:id="rId58" w:history="1">
        <w:r>
          <w:rPr>
            <w:rFonts w:ascii="arial" w:eastAsia="arial" w:hAnsi="arial" w:cs="arial"/>
            <w:i/>
            <w:color w:val="0077CC"/>
            <w:sz w:val="20"/>
            <w:u w:val="single"/>
            <w:shd w:val="clear" w:color="auto" w:fill="FFFFFF"/>
            <w:lang w:val="en-US" w:eastAsia="en-US" w:bidi="ar-SA"/>
          </w:rPr>
          <w:t>[1993] 1 S.C.R. 87</w:t>
        </w:r>
      </w:hyperlink>
      <w:r>
        <w:rPr>
          <w:rFonts w:ascii="arial" w:eastAsia="arial" w:hAnsi="arial" w:cs="arial"/>
          <w:color w:val="000000"/>
          <w:sz w:val="20"/>
          <w:lang w:val="en-US" w:eastAsia="en-US" w:bidi="ar-SA"/>
        </w:rPr>
        <w:t xml:space="preserve"> at p. 110: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required elements for a successful </w:t>
      </w:r>
      <w:r>
        <w:rPr>
          <w:rFonts w:ascii="arial" w:eastAsia="arial" w:hAnsi="arial" w:cs="arial"/>
          <w:i/>
          <w:color w:val="000000"/>
          <w:sz w:val="20"/>
          <w:lang w:val="en-US" w:eastAsia="en-US" w:bidi="ar-SA"/>
        </w:rPr>
        <w:t>Hedley Byrne</w:t>
      </w:r>
      <w:r>
        <w:rPr>
          <w:rFonts w:ascii="arial" w:eastAsia="arial" w:hAnsi="arial" w:cs="arial"/>
          <w:color w:val="000000"/>
          <w:sz w:val="20"/>
          <w:lang w:val="en-US" w:eastAsia="en-US" w:bidi="ar-SA"/>
        </w:rPr>
        <w:t xml:space="preserve"> claim have been stated in many authorities, sometimes in varying forms. The decisions of this Court cited above suggest five general requirements: (1) there must be a duty of care based on a "special relationship" between the representor and the representee; (2) the representation in question must be untrue, inaccurate, or misleading; (3) the representor must have acted negligently in making said misrepresentation; (4) the representee must have relied, in a reasonable manner, on said negligent misrepresentation; and (5) the reliance must have been detrimental to the representee in the sense that damages resulted.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It is not surprising that RBC alleges the existence of a special relationship between the parties. Westech provided professional real estate appraisal services to RBC on a frequent basis for residential mortgage loan purposes for many years. However, the defendants say the use to which RBC put the Appraisal was sufficiently outside of the parties' expectations that RBC's reliance on it was unreasonable. As a result, it says the duty of care is negated. In other words, the defendants concede that but for RBC's unreasonable reliance, they owed a duty of care to RBC.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xml:space="preserve">  In advancing this argument, the defendants rely on the comments of Mr. Justice La Forest in </w:t>
      </w:r>
      <w:r>
        <w:rPr>
          <w:rFonts w:ascii="arial" w:eastAsia="arial" w:hAnsi="arial" w:cs="arial"/>
          <w:i/>
          <w:color w:val="000000"/>
          <w:sz w:val="20"/>
          <w:lang w:val="en-US" w:eastAsia="en-US" w:bidi="ar-SA"/>
        </w:rPr>
        <w:t>Hercules Managements Ltd. v. Ernst &amp; Young</w:t>
      </w:r>
      <w:r>
        <w:rPr>
          <w:rFonts w:ascii="arial" w:eastAsia="arial" w:hAnsi="arial" w:cs="arial"/>
          <w:color w:val="000000"/>
          <w:sz w:val="20"/>
          <w:lang w:val="en-US" w:eastAsia="en-US" w:bidi="ar-SA"/>
        </w:rPr>
        <w:t xml:space="preserve">, </w:t>
      </w:r>
      <w:hyperlink r:id="rId59" w:history="1">
        <w:r>
          <w:rPr>
            <w:rFonts w:ascii="arial" w:eastAsia="arial" w:hAnsi="arial" w:cs="arial"/>
            <w:i/>
            <w:color w:val="0077CC"/>
            <w:sz w:val="20"/>
            <w:u w:val="single"/>
            <w:shd w:val="clear" w:color="auto" w:fill="FFFFFF"/>
            <w:lang w:val="en-US" w:eastAsia="en-US" w:bidi="ar-SA"/>
          </w:rPr>
          <w:t>[1997] 2 S.C.R. 165</w:t>
        </w:r>
      </w:hyperlink>
      <w:r>
        <w:rPr>
          <w:rFonts w:ascii="arial" w:eastAsia="arial" w:hAnsi="arial" w:cs="arial"/>
          <w:color w:val="000000"/>
          <w:sz w:val="20"/>
          <w:lang w:val="en-US" w:eastAsia="en-US" w:bidi="ar-SA"/>
        </w:rPr>
        <w:t>. At para. 24, Mr. Justice La Forest explained how proximity could be useful in helping to define when a duty of care exists in negligent misstatement cases: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24 ... In cases of negligent misrepresentation, the relationship between the plaintiff and the defendant arises through reliance by the plaintiff on the defendant's words. Thus, if "proximity" is meant to distinguish the cases where the defendant has a responsibility to take reasonable care of the plaintiff from those where he or she has no such responsibility, then in negligent misrepresentation cases, it must pertain to some aspect of the relationship of reliance. To my mind, proximity can be seen to inhere between a defendant-representor and a plaintiff-representee when two criteria relating to reliance may be said to exist on the facts: (a) the defendant ought reasonably to foresee that the plaintiff will rely on his or her representation; and (b) reliance by the plaintiff would, in the particular circumstances of the case, be reasonable. To use the term employed by my colleague, Iacobucci J., in </w:t>
      </w:r>
      <w:r>
        <w:rPr>
          <w:rFonts w:ascii="arial" w:eastAsia="arial" w:hAnsi="arial" w:cs="arial"/>
          <w:i/>
          <w:color w:val="000000"/>
          <w:sz w:val="20"/>
          <w:lang w:val="en-US" w:eastAsia="en-US" w:bidi="ar-SA"/>
        </w:rPr>
        <w:t>Cognos, supra</w:t>
      </w:r>
      <w:r>
        <w:rPr>
          <w:rFonts w:ascii="arial" w:eastAsia="arial" w:hAnsi="arial" w:cs="arial"/>
          <w:color w:val="000000"/>
          <w:sz w:val="20"/>
          <w:lang w:val="en-US" w:eastAsia="en-US" w:bidi="ar-SA"/>
        </w:rPr>
        <w:t>, at p. 110, the plaintiff and the defendant can be said to be in a "special relationship" whenever these two factors inhere.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xml:space="preserve">  The two criteria outlined by Mr. Justice La Forest must be considered together. In order for a duty of care to arise in negligent misrepresentation, there must be a finding that reliance was reasonable, as seen from both sides: </w:t>
      </w:r>
      <w:r>
        <w:rPr>
          <w:rFonts w:ascii="arial" w:eastAsia="arial" w:hAnsi="arial" w:cs="arial"/>
          <w:i/>
          <w:color w:val="000000"/>
          <w:sz w:val="20"/>
          <w:lang w:val="en-US" w:eastAsia="en-US" w:bidi="ar-SA"/>
        </w:rPr>
        <w:t>VSH Management</w:t>
      </w:r>
      <w:r>
        <w:rPr>
          <w:rFonts w:ascii="arial" w:eastAsia="arial" w:hAnsi="arial" w:cs="arial"/>
          <w:color w:val="000000"/>
          <w:sz w:val="20"/>
          <w:lang w:val="en-US" w:eastAsia="en-US" w:bidi="ar-SA"/>
        </w:rPr>
        <w:t xml:space="preserve"> at para. 123; and </w:t>
      </w:r>
      <w:r>
        <w:rPr>
          <w:rFonts w:ascii="arial" w:eastAsia="arial" w:hAnsi="arial" w:cs="arial"/>
          <w:i/>
          <w:color w:val="000000"/>
          <w:sz w:val="20"/>
          <w:lang w:val="en-US" w:eastAsia="en-US" w:bidi="ar-SA"/>
        </w:rPr>
        <w:t>Kingu v. Walmar Ventures Ltd</w:t>
      </w:r>
      <w:r>
        <w:rPr>
          <w:rFonts w:ascii="arial" w:eastAsia="arial" w:hAnsi="arial" w:cs="arial"/>
          <w:color w:val="000000"/>
          <w:sz w:val="20"/>
          <w:lang w:val="en-US" w:eastAsia="en-US" w:bidi="ar-SA"/>
        </w:rPr>
        <w:t xml:space="preserve">. </w:t>
      </w:r>
      <w:hyperlink r:id="rId60" w:history="1">
        <w:r>
          <w:rPr>
            <w:rFonts w:ascii="arial" w:eastAsia="arial" w:hAnsi="arial" w:cs="arial"/>
            <w:i/>
            <w:color w:val="0077CC"/>
            <w:sz w:val="20"/>
            <w:u w:val="single"/>
            <w:shd w:val="clear" w:color="auto" w:fill="FFFFFF"/>
            <w:lang w:val="en-US" w:eastAsia="en-US" w:bidi="ar-SA"/>
          </w:rPr>
          <w:t>(1986), 10 B.C.L.R. (2d) 15</w:t>
        </w:r>
      </w:hyperlink>
      <w:r>
        <w:rPr>
          <w:rFonts w:ascii="arial" w:eastAsia="arial" w:hAnsi="arial" w:cs="arial"/>
          <w:color w:val="000000"/>
          <w:sz w:val="20"/>
          <w:lang w:val="en-US" w:eastAsia="en-US" w:bidi="ar-SA"/>
        </w:rPr>
        <w:t xml:space="preserve"> (C.A.). The issue here is whether, in light of all of the circumstances, the defendants can say they did not reasonably foresee that RBC would rely on the Appraisal or that it was not reasonable for RBC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It is difficult for the defendants to contest that RBC's reliance on the Appraisal was reasonably foreseeable. The defendants provided the Appraisal for a fee pursuant to a standing arrangement between Mr. den Breejen (on behalf of Westech) and RBC. Mr. den Breejen was appointed to RBC's panel of appraisers in 1999 "as an individual appraiser for mortgage purposes". The appointment was made in response to Mr. den Breejen's letter of February 22, 1999 in which he asked to be added to the approved panel indicating that "our focus... is to determine, and offer, an opinion of value that provides good security for mortgage lending purposes." The letter of appointment of March 25, 1999 set out the policy to be followed for each appraisal. Westech was to deliver two copies of each appraisal "with a covering letter indicating that the attached mortgage appraisal has been prepared solely for mortgage lending purposes and may not be suitable for other purposes." It is noteworthy that nothing in this exchange of correspondence suggests that the appraisals provided by Mr. den Breejen would only be used for first mortgage lending purposes.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The defendants argue they could not reasonably have foreseen that RBC would use the Appraisal in support of a second mortgage loan. This is based on the defendants' understanding, as explained by Mr. den Breejen, that most of the appraisal assignments sent by RBC to Westech were for first mortgages, or to be used for matrimonial or estate purposes. It was Mr. den Breejen's belief that if the appraisal was for other than conventional first mortgage financing, RBC would advise Westech of the intended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More importantly, the defendants rely on the language in the Appraisal and the statement of intended use on the first page of the Appraisal. The Appraisal was provided on a standard form document that contained the following statement: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INTENDED USE OF APPRAISAL: Conventional first mortgage financing security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Under the heading "Final Estimate of Value" the Appraisal concludes, "we consider a value range of $2,500,000 to $3,000,000 is reasonable for first mortgage lending security purposes..." In addition, paragraph 1 of the limiting conditions of the Appraisal states, "This report is prepared at the request of the client and for the specific use referred to herein..." In other words, the defendants say the value range set out in the Appraisal was only intended to be used for first mortgage financing purposes and that when RBC used it for a higher risk second mortgage loan, any duty of care owed by the defendants was negated.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In order to determine if reliance on the Appraisal was reasonable, all of the circumstances must be considered. The parties were knowledgeable and sophisticated in their understanding of the appraisal profession and the use of appraisals by lending institutions. They were well aware that the CUSPAP standards make it clear that the client specifies the intended use of an appraisal, not the appraiser. Section 7.3.1 provides that the intended use of the appraiser's opinions and conclusions must be established by the client and stated in an appraisal report. The appraiser is expected to ascertain the client's intended use, not just make an assumption about it. Section 2.31 of the CUSPAP definitions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Intended Use: the use or uses of an appraiser's reported appraisal, consulting, or review assignment opinions and conclusions, as identified by the appraiser based on communication with the client at the time of assignment.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It is evident that the communication that was supposed to take place with RBC did not occur regularly. The defendants did not ask RBC to advise of the intended use for each appraisal that was ordered. Further, there was no communication about the specific intended use of the Appraisal at the time of the assignment. There is no suggestion that Westech's intake employee was advised of RBC's intended use or that RBC was asked by anyone at Westech to specify if it was for first or second mortgage purposes. The mere fact that most of RBC's appraisals were for conventional first mortgage lending purposes is not sufficient to identify the intended use of this assignment or make the use of the Appraisal for a second mortgage unreasonable. The defendants were well aware that RBC uses real estate appraisals for lending purposes other than for conventional first mortgages.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While the intended use of the Appraisal as set out in that document appears to be limited to first mortgage financing, the Appraisal was delivered to RBC with a cover letter as contemplated by the longstanding arrangement. The cover letter was signed by Mr. Bartlett. The statements in the cover letter are inconsistent with the limitation on intended use as set out in the Appraisal document. The purpose or intended use as set out in the cover letter is broad and not limited to first mortgages. The cover letter contains the following statements: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purpose of this Appraisal Assignment is to determine value for first mortgage </w:t>
      </w:r>
      <w:r>
        <w:rPr>
          <w:rFonts w:ascii="arial" w:eastAsia="arial" w:hAnsi="arial" w:cs="arial"/>
          <w:color w:val="000000"/>
          <w:sz w:val="20"/>
          <w:u w:val="single"/>
          <w:lang w:val="en-US" w:eastAsia="en-US" w:bidi="ar-SA"/>
        </w:rPr>
        <w:t>and/or lending security purposes</w:t>
      </w:r>
      <w:r>
        <w:rPr>
          <w:rFonts w:ascii="arial" w:eastAsia="arial" w:hAnsi="arial" w:cs="arial"/>
          <w:color w:val="000000"/>
          <w:sz w:val="20"/>
          <w:lang w:val="en-US" w:eastAsia="en-US" w:bidi="ar-SA"/>
        </w:rPr>
        <w:t xml:space="preserve"> based on the property's general condition and characteristics.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Intended Use of the report is to evaluate the property (as of the effective date) for a mortgage finance transaction.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A plain reading of the cover letter leads to the conclusion that the Appraisal was intended to be used for "lending security purposes" and "to evaluate the property for a mortgage finance transaction." In other words, it could be used for first mortgage purposes or for other mortgage lending purposes. When read in conjunction with the Appraisal, the cover letter creates, at the very least, uncertainty as to any limitation on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It is also significant that the CUSPAP standards apply to all appraisals whether the intended use is for first mortgage financing, second mortgage financing or some other purpose. The professional standards required of an appraiser do not change depending on the intended use. The parties knew that the standards guiding the defendants in preparation of the Appraisal did not depend in any way on the type of mortgage security that RBC was considering.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In these circumstances, if the defendants wanted to eliminate any possibility that the Appraisal would be used for other than conventional first mortgage lending purposes, they were required to communicate that to RBC. It was not sufficient to set out one intended use in the standard form used for the Appraisal while indicating a broader intended use in the cover letter.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In the most practical terms, what happened here was that the defendants assumed that the Appraisal was ordered by RBC for conventional first mortgage financing purposes. They did not bother to ascertain if that was the case. The cover letter was in the standard terms established by RBC and used by the parties: it specified that the enclosed Appraisal was to be used for "a mortgage finance transaction". That is precisely what it was used for. If the defendants intended to limit the use beyond that, they would have had to communicate that limitation to RBC at the time of assignment. That was not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I cannot conclude that the use of the Appraisal for other than first mortgage purposes was unforeseen by the defendants or that it was unreasonable for RBC to use the Appraisal to evaluate the second mortgage loan it was considering. The use was well within the range of intended uses that an appraiser could foresee. As contemplated by Mr. Bartlett's cover letter, RBC used the Appraisal "to evaluate the property (as of the effective date) for a mortgage finance transaction." In all of the circumstances, I conclude that it was reasonably foreseeable by the defendants that RBC would rely on representations contained in the Appraisal and that it was not unreasonable for RBC to do so. In other words, the duty of care owed by the defendants as professional appraisers is not negated in these circumstances.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Did the Appraisal contain statements that were untrue, inaccurate or misleading such that it failed to meet the standard of care of a reasonable appraiser?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VSH Management</w:t>
      </w:r>
      <w:r>
        <w:rPr>
          <w:rFonts w:ascii="arial" w:eastAsia="arial" w:hAnsi="arial" w:cs="arial"/>
          <w:color w:val="000000"/>
          <w:sz w:val="20"/>
          <w:lang w:val="en-US" w:eastAsia="en-US" w:bidi="ar-SA"/>
        </w:rPr>
        <w:t xml:space="preserve"> at paras. 80-87, Mr. Justice Melnick thoroughly summarized the legal principles applicable to consideration of the standard of care of a real estate appraiser. The principles relevant to the present case include:</w:t>
      </w:r>
      <w:r>
        <w:rPr>
          <w:rFonts w:ascii="arial" w:eastAsia="arial" w:hAnsi="arial" w:cs="arial"/>
          <w:sz w:val="20"/>
          <w:lang w:val="en-US" w:eastAsia="en-US" w:bidi="ar-SA"/>
        </w:rPr>
        <w:cr/>
      </w:r>
    </w:p>
    <w:p>
      <w:pPr>
        <w:numPr>
          <w:numId w:val="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Property appraisal is not an exact science. Variations in value among appraisals on the same property are not uncommon: </w:t>
      </w:r>
      <w:r>
        <w:rPr>
          <w:rFonts w:ascii="arial" w:eastAsia="arial" w:hAnsi="arial" w:cs="arial"/>
          <w:i/>
          <w:color w:val="000000"/>
          <w:sz w:val="20"/>
          <w:lang w:val="en-US" w:eastAsia="en-US" w:bidi="ar-SA"/>
        </w:rPr>
        <w:t>Cari-Van Hotel Ltd. v. Globe Estates Ltd. et al.</w:t>
      </w:r>
      <w:r>
        <w:rPr>
          <w:rFonts w:ascii="arial" w:eastAsia="arial" w:hAnsi="arial" w:cs="arial"/>
          <w:color w:val="000000"/>
          <w:sz w:val="20"/>
          <w:lang w:val="en-US" w:eastAsia="en-US" w:bidi="ar-SA"/>
        </w:rPr>
        <w:t xml:space="preserve">, </w:t>
      </w:r>
      <w:hyperlink r:id="rId61" w:history="1">
        <w:r>
          <w:rPr>
            <w:rFonts w:ascii="arial" w:eastAsia="arial" w:hAnsi="arial" w:cs="arial"/>
            <w:i/>
            <w:color w:val="0077CC"/>
            <w:sz w:val="20"/>
            <w:u w:val="single"/>
            <w:shd w:val="clear" w:color="auto" w:fill="FFFFFF"/>
            <w:lang w:val="en-US" w:eastAsia="en-US" w:bidi="ar-SA"/>
          </w:rPr>
          <w:t>[1974] 6 W.W.R. 707</w:t>
        </w:r>
      </w:hyperlink>
      <w:r>
        <w:rPr>
          <w:rFonts w:ascii="arial" w:eastAsia="arial" w:hAnsi="arial" w:cs="arial"/>
          <w:color w:val="000000"/>
          <w:sz w:val="20"/>
          <w:lang w:val="en-US" w:eastAsia="en-US" w:bidi="ar-SA"/>
        </w:rPr>
        <w:t xml:space="preserve"> (B.C.S.C.);</w:t>
      </w:r>
    </w:p>
    <w:p>
      <w:pPr>
        <w:numPr>
          <w:numId w:val="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 appraiser who fails to take sufficient steps to inform him or herself about the values of relevant properties or any of the circumstances which affect the property will be found to be negligent. However, valuation is a matter of opinion and "[w]e are all liable to make mistakes, and a valuer is certainly not to be found guilty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merely because his valuation turns out to be wrong.": </w:t>
      </w:r>
      <w:r>
        <w:rPr>
          <w:rFonts w:ascii="arial" w:eastAsia="arial" w:hAnsi="arial" w:cs="arial"/>
          <w:i/>
          <w:color w:val="000000"/>
          <w:sz w:val="20"/>
          <w:lang w:val="en-US" w:eastAsia="en-US" w:bidi="ar-SA"/>
        </w:rPr>
        <w:t>Baxter v. F.W. Gapp &amp; Co. Ltd.</w:t>
      </w:r>
      <w:r>
        <w:rPr>
          <w:rFonts w:ascii="arial" w:eastAsia="arial" w:hAnsi="arial" w:cs="arial"/>
          <w:color w:val="000000"/>
          <w:sz w:val="20"/>
          <w:lang w:val="en-US" w:eastAsia="en-US" w:bidi="ar-SA"/>
        </w:rPr>
        <w:t>, [1938] 4 All E.R. 457 at 459 (K.B.);</w:t>
      </w:r>
    </w:p>
    <w:p>
      <w:pPr>
        <w:numPr>
          <w:numId w:val="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question before the Court is not whether the appraiser overstated the value of the property, but whether the defendant was guilty of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arriving at the appraised value. The Court must consider if the appraiser followed professional guidelines: </w:t>
      </w:r>
      <w:r>
        <w:rPr>
          <w:rFonts w:ascii="arial" w:eastAsia="arial" w:hAnsi="arial" w:cs="arial"/>
          <w:i/>
          <w:color w:val="000000"/>
          <w:sz w:val="20"/>
          <w:lang w:val="en-US" w:eastAsia="en-US" w:bidi="ar-SA"/>
        </w:rPr>
        <w:t>Friedland v. Derochie, Hoffman Ltd.</w:t>
      </w:r>
      <w:r>
        <w:rPr>
          <w:rFonts w:ascii="arial" w:eastAsia="arial" w:hAnsi="arial" w:cs="arial"/>
          <w:color w:val="000000"/>
          <w:sz w:val="20"/>
          <w:lang w:val="en-US" w:eastAsia="en-US" w:bidi="ar-SA"/>
        </w:rPr>
        <w:t xml:space="preserve">, </w:t>
      </w:r>
      <w:hyperlink r:id="rId62" w:history="1">
        <w:r>
          <w:rPr>
            <w:rFonts w:ascii="arial" w:eastAsia="arial" w:hAnsi="arial" w:cs="arial"/>
            <w:i/>
            <w:color w:val="0077CC"/>
            <w:sz w:val="20"/>
            <w:u w:val="single"/>
            <w:shd w:val="clear" w:color="auto" w:fill="FFFFFF"/>
            <w:lang w:val="en-US" w:eastAsia="en-US" w:bidi="ar-SA"/>
          </w:rPr>
          <w:t>[1992] O.J. No. 1179</w:t>
        </w:r>
      </w:hyperlink>
      <w:r>
        <w:rPr>
          <w:rFonts w:ascii="arial" w:eastAsia="arial" w:hAnsi="arial" w:cs="arial"/>
          <w:color w:val="000000"/>
          <w:sz w:val="20"/>
          <w:lang w:val="en-US" w:eastAsia="en-US" w:bidi="ar-SA"/>
        </w:rPr>
        <w:t xml:space="preserve"> (C.J. Gen. Div.);</w:t>
      </w:r>
    </w:p>
    <w:p>
      <w:pPr>
        <w:numPr>
          <w:numId w:val="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Courts have recognized that an appraiser must be treated differently from professionals in more exacting fields such as architects, engineers or building inspectors: </w:t>
      </w:r>
      <w:r>
        <w:rPr>
          <w:rFonts w:ascii="arial" w:eastAsia="arial" w:hAnsi="arial" w:cs="arial"/>
          <w:i/>
          <w:color w:val="000000"/>
          <w:sz w:val="20"/>
          <w:lang w:val="en-US" w:eastAsia="en-US" w:bidi="ar-SA"/>
        </w:rPr>
        <w:t>Haven Invt. Ltd. v. Harper</w:t>
      </w:r>
      <w:r>
        <w:rPr>
          <w:rFonts w:ascii="arial" w:eastAsia="arial" w:hAnsi="arial" w:cs="arial"/>
          <w:color w:val="000000"/>
          <w:sz w:val="20"/>
          <w:lang w:val="en-US" w:eastAsia="en-US" w:bidi="ar-SA"/>
        </w:rPr>
        <w:t xml:space="preserve">, </w:t>
      </w:r>
      <w:hyperlink r:id="rId63" w:history="1">
        <w:r>
          <w:rPr>
            <w:rFonts w:ascii="arial" w:eastAsia="arial" w:hAnsi="arial" w:cs="arial"/>
            <w:i/>
            <w:color w:val="0077CC"/>
            <w:sz w:val="20"/>
            <w:u w:val="single"/>
            <w:shd w:val="clear" w:color="auto" w:fill="FFFFFF"/>
            <w:lang w:val="en-US" w:eastAsia="en-US" w:bidi="ar-SA"/>
          </w:rPr>
          <w:t>[1985] B.C.J. No. 190</w:t>
        </w:r>
      </w:hyperlink>
      <w:r>
        <w:rPr>
          <w:rFonts w:ascii="arial" w:eastAsia="arial" w:hAnsi="arial" w:cs="arial"/>
          <w:color w:val="000000"/>
          <w:sz w:val="20"/>
          <w:lang w:val="en-US" w:eastAsia="en-US" w:bidi="ar-SA"/>
        </w:rPr>
        <w:t xml:space="preserve"> (Co. Ct.), aff'd </w:t>
      </w:r>
      <w:hyperlink r:id="rId64" w:history="1">
        <w:r>
          <w:rPr>
            <w:rFonts w:ascii="arial" w:eastAsia="arial" w:hAnsi="arial" w:cs="arial"/>
            <w:i/>
            <w:color w:val="0077CC"/>
            <w:sz w:val="20"/>
            <w:u w:val="single"/>
            <w:shd w:val="clear" w:color="auto" w:fill="FFFFFF"/>
            <w:lang w:val="en-US" w:eastAsia="en-US" w:bidi="ar-SA"/>
          </w:rPr>
          <w:t>(1986), 10 B.C.L.R. (2d) 56</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At para. 87, Mr. Justice Melnick concluded his summary of the relevant principles by emphasizing the requirement that the standard of care be judged by the prevailing professional standards: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[87] In summary, the determination of whether or not an appraiser was negligent will be based on whether or not the appraiser acted reasonably having regard to the standards prevailing in the profession and the imprecision inherent in the methods by which the value of the property is determined. This is the minimum standard that an appraiser must meet in order to not be found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VSH Management</w:t>
      </w:r>
      <w:r>
        <w:rPr>
          <w:rFonts w:ascii="arial" w:eastAsia="arial" w:hAnsi="arial" w:cs="arial"/>
          <w:color w:val="000000"/>
          <w:sz w:val="20"/>
          <w:lang w:val="en-US" w:eastAsia="en-US" w:bidi="ar-SA"/>
        </w:rPr>
        <w:t xml:space="preserve"> at paras. 106-107, the court acknowledged that the CUSPAP "provides a set of rules that appraisers should follow when they are developing and communicating a formal opinion of value." However, it also recognized that the rules were general and did not "necessarily reflect how a typical and competent appraiser had to undertake his or her work ... rather, they reflect the aspirations of the Appraisal Institute of Canada for the conduct of its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xml:space="preserve">  The English Court of Appeal articulated similar principles for the standard of care of a professional appraiser in </w:t>
      </w:r>
      <w:r>
        <w:rPr>
          <w:rFonts w:ascii="arial" w:eastAsia="arial" w:hAnsi="arial" w:cs="arial"/>
          <w:i/>
          <w:color w:val="000000"/>
          <w:sz w:val="20"/>
          <w:lang w:val="en-US" w:eastAsia="en-US" w:bidi="ar-SA"/>
        </w:rPr>
        <w:t>Zubaida v. Hargreaves</w:t>
      </w:r>
      <w:r>
        <w:rPr>
          <w:rFonts w:ascii="arial" w:eastAsia="arial" w:hAnsi="arial" w:cs="arial"/>
          <w:color w:val="000000"/>
          <w:sz w:val="20"/>
          <w:lang w:val="en-US" w:eastAsia="en-US" w:bidi="ar-SA"/>
        </w:rPr>
        <w:t>, [1995] 1 E.G.L.R. 127 at 128 (C.A.):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bringing this appeal, Mr. Zubaida faces a formidable difficulty in the standard which the law requires of a professional man conducting a valuation like this. In an action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an expert, it is not enough to show that another expert would have given a different answer. Valuation is not an exact science; it involves questions of judgment on which experts may differ without forfeiting their claim to professional competence. The fact that a judge may think one approach better than another is therefore irrelevant. Speaking for myself, and therefore irrelevantly, the valuation strikes me as having been somewhat on the high side. But that is by no means enough to show that Mr. Hargreaves did not perform his duty with reasonable professional competence. The issue is not whether the expert's valuation was right, in the sense of being the figure which a judge after hearing the evidence would determine. It is whether he has acted in accordance with practices which are regarded as acceptable by a respectable body of opinion in his profession: see </w:t>
      </w:r>
      <w:r>
        <w:rPr>
          <w:rFonts w:ascii="arial" w:eastAsia="arial" w:hAnsi="arial" w:cs="arial"/>
          <w:i/>
          <w:color w:val="000000"/>
          <w:sz w:val="20"/>
          <w:lang w:val="en-US" w:eastAsia="en-US" w:bidi="ar-SA"/>
        </w:rPr>
        <w:t>Bolam v. Friem Hospital Management Committee</w:t>
      </w:r>
      <w:r>
        <w:rPr>
          <w:rFonts w:ascii="arial" w:eastAsia="arial" w:hAnsi="arial" w:cs="arial"/>
          <w:color w:val="000000"/>
          <w:sz w:val="20"/>
          <w:lang w:val="en-US" w:eastAsia="en-US" w:bidi="ar-SA"/>
        </w:rPr>
        <w:t>, [1957] 1 WLR 582 at p. 587, a well-known citation.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Regency Mortgage Corp. v. Buchan</w:t>
      </w:r>
      <w:r>
        <w:rPr>
          <w:rFonts w:ascii="arial" w:eastAsia="arial" w:hAnsi="arial" w:cs="arial"/>
          <w:color w:val="000000"/>
          <w:sz w:val="20"/>
          <w:lang w:val="en-US" w:eastAsia="en-US" w:bidi="ar-SA"/>
        </w:rPr>
        <w:t xml:space="preserve">, </w:t>
      </w:r>
      <w:hyperlink r:id="rId65" w:history="1">
        <w:r>
          <w:rPr>
            <w:rFonts w:ascii="arial" w:eastAsia="arial" w:hAnsi="arial" w:cs="arial"/>
            <w:i/>
            <w:color w:val="0077CC"/>
            <w:sz w:val="20"/>
            <w:u w:val="single"/>
            <w:shd w:val="clear" w:color="auto" w:fill="FFFFFF"/>
            <w:lang w:val="en-US" w:eastAsia="en-US" w:bidi="ar-SA"/>
          </w:rPr>
          <w:t>[1984] B.C.J. No. 973</w:t>
        </w:r>
      </w:hyperlink>
      <w:r>
        <w:rPr>
          <w:rFonts w:ascii="arial" w:eastAsia="arial" w:hAnsi="arial" w:cs="arial"/>
          <w:color w:val="000000"/>
          <w:sz w:val="20"/>
          <w:lang w:val="en-US" w:eastAsia="en-US" w:bidi="ar-SA"/>
        </w:rPr>
        <w:t xml:space="preserve"> (S.C.), Madam Justice McLachlin, as she then was, dismissed a claim against an appraiser in circumstances very similar to those present in this case. The lender advanced funds on a second mortgage on the basis of an appraisal that valued the property at $200,000. The lender asserted at trial that the actual value of the property was only $140,000 and that if the appraisal had shown that value, the loan would not have been advanced. After foreclosure proceedings, the lender claimed the full amount of its loss from the appraiser based on the allegation of negligent overvaluation.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xml:space="preserve">  At para. 9 in </w:t>
      </w:r>
      <w:r>
        <w:rPr>
          <w:rFonts w:ascii="arial" w:eastAsia="arial" w:hAnsi="arial" w:cs="arial"/>
          <w:i/>
          <w:color w:val="000000"/>
          <w:sz w:val="20"/>
          <w:lang w:val="en-US" w:eastAsia="en-US" w:bidi="ar-SA"/>
        </w:rPr>
        <w:t>Regency Mortgage</w:t>
      </w:r>
      <w:r>
        <w:rPr>
          <w:rFonts w:ascii="arial" w:eastAsia="arial" w:hAnsi="arial" w:cs="arial"/>
          <w:color w:val="000000"/>
          <w:sz w:val="20"/>
          <w:lang w:val="en-US" w:eastAsia="en-US" w:bidi="ar-SA"/>
        </w:rPr>
        <w:t xml:space="preserve">, Madam Justice McLachlin referred to the decision in </w:t>
      </w:r>
      <w:r>
        <w:rPr>
          <w:rFonts w:ascii="arial" w:eastAsia="arial" w:hAnsi="arial" w:cs="arial"/>
          <w:i/>
          <w:color w:val="000000"/>
          <w:sz w:val="20"/>
          <w:lang w:val="en-US" w:eastAsia="en-US" w:bidi="ar-SA"/>
        </w:rPr>
        <w:t>Cari-Van Hotel Ltd</w:t>
      </w:r>
      <w:r>
        <w:rPr>
          <w:rFonts w:ascii="arial" w:eastAsia="arial" w:hAnsi="arial" w:cs="arial"/>
          <w:color w:val="000000"/>
          <w:sz w:val="20"/>
          <w:lang w:val="en-US" w:eastAsia="en-US" w:bidi="ar-SA"/>
        </w:rPr>
        <w:t>. for the proposition that wide variations between the opinions of appraisers is not uncommon and that a subsequent sale price does not necessarily verify an appraised value: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Variations, even wide variation, between the opinions of two or more appraisers are not uncommon. The profession of appraisal is not an exact one. It comes down essentially to the opinion of one person arrived at in large part by assessing the opinions of other persons. Verification of one appraisal is not necessarily found in the market price at which the property later sells. Other factors may well affect the sale which have nothing to do with the appraisal.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Regency Mortgage</w:t>
      </w:r>
      <w:r>
        <w:rPr>
          <w:rFonts w:ascii="arial" w:eastAsia="arial" w:hAnsi="arial" w:cs="arial"/>
          <w:color w:val="000000"/>
          <w:sz w:val="20"/>
          <w:lang w:val="en-US" w:eastAsia="en-US" w:bidi="ar-SA"/>
        </w:rPr>
        <w:t>, Madam Justice McLachlin set out her conclusion on the standard of care of appraisers at para. 10: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What then is required to establish that an appraiser is negligent? Gross overvaluation (or undervaluation) which is not satisfactorily explained may suffice: </w:t>
      </w:r>
      <w:r>
        <w:rPr>
          <w:rFonts w:ascii="arial" w:eastAsia="arial" w:hAnsi="arial" w:cs="arial"/>
          <w:i/>
          <w:color w:val="000000"/>
          <w:sz w:val="20"/>
          <w:lang w:val="en-US" w:eastAsia="en-US" w:bidi="ar-SA"/>
        </w:rPr>
        <w:t>Esselmont v. Harker Appraisals Ltd. et al., supra</w:t>
      </w:r>
      <w:r>
        <w:rPr>
          <w:rFonts w:ascii="arial" w:eastAsia="arial" w:hAnsi="arial" w:cs="arial"/>
          <w:color w:val="000000"/>
          <w:sz w:val="20"/>
          <w:lang w:val="en-US" w:eastAsia="en-US" w:bidi="ar-SA"/>
        </w:rPr>
        <w:t xml:space="preserve"> </w:t>
      </w:r>
      <w:hyperlink r:id="rId66" w:history="1">
        <w:r>
          <w:rPr>
            <w:rFonts w:ascii="arial" w:eastAsia="arial" w:hAnsi="arial" w:cs="arial"/>
            <w:i/>
            <w:color w:val="0077CC"/>
            <w:sz w:val="20"/>
            <w:u w:val="single"/>
            <w:shd w:val="clear" w:color="auto" w:fill="FFFFFF"/>
            <w:lang w:val="en-US" w:eastAsia="en-US" w:bidi="ar-SA"/>
          </w:rPr>
          <w:t>[1979] B.C.J. No. 275</w:t>
        </w:r>
      </w:hyperlink>
      <w:r>
        <w:rPr>
          <w:rFonts w:ascii="arial" w:eastAsia="arial" w:hAnsi="arial" w:cs="arial"/>
          <w:color w:val="000000"/>
          <w:sz w:val="20"/>
          <w:lang w:val="en-US" w:eastAsia="en-US" w:bidi="ar-SA"/>
        </w:rPr>
        <w:t>. Conversely, a small overvaluation, or a large overvaluation which is adequately explained, will not give rise to liability. In the final analysis, the court must determine whether the defendant acted reasonably having regard to the standards prevailing in the profession and the inexactitude inherent in the methods by which the value of a property is determined.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In dismissing the claim, Madam Justice McLachlin considered the competing opinions of the experts by focusing on the sources of the significant differences in their opinions. She accepted the expert opinion that a variation between appraisal values of plus or minus 10% was acceptable on the type of property, a standard residential lot in a Coquitlam subdivision. She accepted an expert opinion that the property was valued at $185,000 and concluded at para. 31: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Mr. Buchan's evaluation at $200,000 was within the plus or minus 10% range of variation which may be regarded as acceptable in the appraisal of properties of this type. It follows that Mr. Buchan's appraisal did not significantly overvalue the property. Misrepresentation is not established, much less the gross overevaluation referred to by the authorities as supporting a finding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an appraiser.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Applying these principles to the circumstances before the Court and the arguments of the parties, the essential question is whether the defendants acted reasonably having regard to the standards prevailing in the profession in arriving at and presenting the opinion of value in the Appraisal. This involves two steps: first, did the defendants act contrary to any of the standards of the profession as set out in the CUSPAP; and second, did they fail to meet the standard of care of a reasonable appraiser in arriving at and presenting the opinion of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Whether the Appraisal overvalued the Property is considered at the second step. As set out in the authorities, the following principles must guide that consideration:</w:t>
      </w:r>
      <w:r>
        <w:rPr>
          <w:rFonts w:ascii="arial" w:eastAsia="arial" w:hAnsi="arial" w:cs="arial"/>
          <w:sz w:val="20"/>
          <w:lang w:val="en-US" w:eastAsia="en-US" w:bidi="ar-SA"/>
        </w:rPr>
        <w:cr/>
      </w:r>
    </w:p>
    <w:p>
      <w:pPr>
        <w:numPr>
          <w:numId w:val="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Following the CUSPAP, did the defendants consider sufficient relevant information to provide a basis for the opinion, and were the analyses, opinions and conclusions in the Appraisal appropriate and reasonable;</w:t>
      </w:r>
    </w:p>
    <w:p>
      <w:pPr>
        <w:numPr>
          <w:numId w:val="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opinion in the Appraisal must not be approached as it might in a more exacting field where there is one correct answer; valuation is a matter of opinion and opinions can reasonably differ;</w:t>
      </w:r>
    </w:p>
    <w:p>
      <w:pPr>
        <w:numPr>
          <w:numId w:val="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important question is not whether the Appraisal overstated the value of the Property, but whether the defendants acted reasonably having regard to the standards of the profession;</w:t>
      </w:r>
    </w:p>
    <w:p>
      <w:pPr>
        <w:numPr>
          <w:numId w:val="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Verification of an appraisal is not found in the market price at which a property later sells as other factors will affect the sale price; and</w:t>
      </w:r>
    </w:p>
    <w:p>
      <w:pPr>
        <w:numPr>
          <w:numId w:val="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Gross overvaluation which is not adequately explained may suffice to establish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but a small overvaluation without explanation or a large overvaluation that is adequately explained will not give rise to liability.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Application of the 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The starting point is to examine the CUSPAP and consider whether the Appraisal was prepared in accordance with the standards of the profession. RBC alleges four main misrepresentations or misstatements in the Appraisal as set out at para. 58 of these reasons:</w:t>
      </w:r>
      <w:r>
        <w:rPr>
          <w:rFonts w:ascii="arial" w:eastAsia="arial" w:hAnsi="arial" w:cs="arial"/>
          <w:sz w:val="20"/>
          <w:lang w:val="en-US" w:eastAsia="en-US" w:bidi="ar-SA"/>
        </w:rPr>
        <w:cr/>
      </w:r>
    </w:p>
    <w:p>
      <w:pPr>
        <w:numPr>
          <w:numId w:val="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to state the purpose and scope of the appraisal;</w:t>
      </w:r>
    </w:p>
    <w:p>
      <w:pPr>
        <w:numPr>
          <w:numId w:val="7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to accurately describe the state of the sub-market;</w:t>
      </w:r>
    </w:p>
    <w:p>
      <w:pPr>
        <w:numPr>
          <w:numId w:val="7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Overvaluation; and</w:t>
      </w:r>
    </w:p>
    <w:p>
      <w:pPr>
        <w:numPr>
          <w:numId w:val="7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to analyze the recent listing of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The first and fourth of these allege breaches of specific provisions of the CUSPAP. However, the main misstatement alleged by RBC is that the Property was substantially overvalued. That allegation focuses on the defendants' analysis of the data used to arrive at the opinion of value. Central to this allegation is Mr. Doolan's assertion that the Appraisal inaccurately assumed or concluded that the sub-market - higher-end properties in the Bradner/ Abbotsford area - was increasing.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RBC does not rely on breaches of particular provisions in the CUSPAP in advancing the overvaluation claim, but says that the defendants did not meet the standards of a reasonable appraiser. This raises an allegation of a failure to follow the rules outlined in section 6.2 of the CUSPAP and in particular, the rules in sections 6.2.15 and 6.2.18, which require that in a report the appraiser must: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6.2.15 describe and analyze all data relevant to the assignment;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6.2.18 detail the reasoning supporting the analyses, opinions and conclusions of each valuation approach.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The commentary in the CUSPAP at section 7.16 provides some explanation of section 6.2: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7.16.1 The appraiser must take reasonable steps to ensure that the information and analysis provided are sufficient for the client and intended users to adequately understand the rationale for the opinion and conclusions.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7.16.1 In the process of collecting and verifying relevant information the appraiser must perform this function in a manner consistent with "Reasonable Appraiser" standards. All three approaches require the collection of comparable data. The decision to inspect comparables and the extent of verification of data will be determined by the scope of the assignment, but in all cases the appraiser must conform to "Reasonable Appraiser" standards.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To summarize, RBC relies on Mr. Doolan's opinions to sustain its assertion that the Appraisal was prepared negligently and did not meet the standards of a reasonable appraiser. It says that the failure to meet the reasonable appraiser standard led to the substantial overvaluation of the Property. I will explain why I do not accept Mr. Doolan's opinions on this central issue. I conclude that he approached the question incorrectly. I do not accept his opinions. I agree with much of Mr. Beatty's criticism of Mr. Doolan's technical review and also accept his conclusion that the Appraisal met the professional standard of a reasonable appraiser. While I conclude that the valuation was on the high side, the reasons for arriving at the opinion of value are adequately explained.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Prior to considering the central overvaluation issue, I will explain why I also reject RBC's position on the two issues raised by Mr. Doolan that allege breaches of specific provisions of the CUSPAP: the failure to state the Appraisal's purpose and scope and the failure to analyze the listing of the Property in 2006.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Did the Appraisal fail to state its purpose and scope?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Mr. Doolan was highly critical of Mr. Bartlett's commentary about the difficulty of the assignment and the limitations imposed by the fee and the nature of the form report. In support of his critique, he referred to section 6.2.10 in the CUSPAP, which provides that in a report, "the appraiser must: identify all assumptions and limiting conditions". He says that the qualifications in the Appraisal amount to a limiting condition or are confusing to a reader. He asserts that the substance of the highlighted comments was such that the Appraisal should have contained an extraordinary limiting condition. He supported this criticism by reference to a portion of section 12.32.2 which provides that "[a]ssignment limitations affect the level of risk accepted by each party to an assignment..."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In my summary of the evidence at paras. 104-115, I set out Mr. Beatty's reply to this criticism in some detail. I accept his opinion in whole. I come to that conclusion for two reasons. First, while Mr. Doolan is an experienced appraiser, his expertise in the application of appraisal industry standards to the professional practice is limited. By contrast, Mr. Beatty has considerable highly relevant experience with the AIC. He sat on the Standards Board of the AIC for eight years and on the committee responsible for the rewriting of the 2007 edition of the CUSPAP. He has participated on other boards dealing with the application of appraisal standards. His relevant expertise is far superior to that of Mr. Doolan.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Second, and more importantly, Mr. Doolan's criticism is overly technical while Mr. Beatty's opinion is practical and imbued with common sense. I accept and agree with Mr. Beatty's opinion that the cautionary notes in the Appraisal "enhance its suitability for the intended use (i.e. to determine a value for lending purposes)." The comments in the Appraisal appropriately caution RBC about the difficult nature of the assignment and the fact that the Property had many unique features.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Mr. Beatty's opinion also appropriately recognizes the limitations of a form report as compared to a narrative report. By contrast, Mr. Doolan, who admitted in cross-examination that he did not do form reports for high-volume bank work, made no allowance for that important assignment limitation. Mr. Beatty also appropriately recognized that in spite of the limitations of the form report, the Appraisal appropriately explained, as fully as possible, the limitations of the assignment and it is those limitations at which Mr. Doolan's criticism was directed.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Mr. Doolan appeared to give no credit at all to the sophistication of RBC. As Mr. Beatty noted: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RBC accepted the assignment limitations, including that the result would be a range in value ... It is a reasonable expectation of an appraiser to believe that a sophisticated mortgage lender such as RBC, would understand the significance of the assignment limitations commented on, at some length, in the appraisal.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Mr. Doolan's reference to section 12.32 in his technical review failed to note that the provision is not a rule, but a practice note, a difference of some import. More importantly he failed to set out section 12.32.2 of the practice note: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Assignment limitations affect the level of risk accepted by each party to an assignment. In some assignments, it might be reasonable to apply an extraordinary limiting condition to recognize assignment restrictions, whereas in other assignments, the use of the same limiting condition may not be acceptable.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In other words, Mr. Doolan failed to point out and acknowledge there is a considerable degree of discretion to be exercised in determining whether an extraordinary limiting condition is required. Once again, I accept Mr. Beatty's opinion on this issue which is more nuanced and credible: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Bartlett report does not require an [extraordinary limiting condition], since no Standard Rule is set aside or modified. CUSPAP recognizes that value estimates may be reported within a range. For the Bartlett report, the use of a value range comes directly from the terms of reference to complete the assignment within budget constraints, and the extent that a valuation of this nature could produce a reliable range in value for lending purposes in the specific case. The diminished reliability of the report, if any, is a function of the terms of reference/scope of work, and must be viewed from the perspective that it is the instructions of the client that affect the level of risk involved, not the appraiser skipping any steps in the valuation process.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Did the Appraisal fail to analyze the recent listing of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Section 6.2.23 of the CUSPAP provides that the appraiser must "analyse any Agreement for Sale, option, or listing of the property". The commentary at section 7.24.1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Agreement for Sale/Option/Listing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Must be analysed and reported if any agreement for sale, option or listing of the subject property occurred within one year prior to the date of valuation, if such information is available to the appraiser in the normal course of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xml:space="preserve">  Mr. Doolan acknowledged that the Appraisal </w:t>
      </w:r>
      <w:r>
        <w:rPr>
          <w:rFonts w:ascii="arial" w:eastAsia="arial" w:hAnsi="arial" w:cs="arial"/>
          <w:i/>
          <w:color w:val="000000"/>
          <w:sz w:val="20"/>
          <w:lang w:val="en-US" w:eastAsia="en-US" w:bidi="ar-SA"/>
        </w:rPr>
        <w:t>reported</w:t>
      </w:r>
      <w:r>
        <w:rPr>
          <w:rFonts w:ascii="arial" w:eastAsia="arial" w:hAnsi="arial" w:cs="arial"/>
          <w:color w:val="000000"/>
          <w:sz w:val="20"/>
          <w:lang w:val="en-US" w:eastAsia="en-US" w:bidi="ar-SA"/>
        </w:rPr>
        <w:t xml:space="preserve"> the prior listing of the Property but took issue with the statement in the Appraisal that, "[a]nalysis of the listing price is beyond the scope of this assignment." He asserts that a property may be listed for sale at a price lower than the current market value, but if that is the case, he would expect to see "a detailed well reasoned explanation on the part of the appraiser." He asserts that the failure to do so is a breach of section 6.2.23.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Mr. Beatty commented on this critique at some length in cross-examination. He explained that the most important aspect of the rule is to report or disclose a prior listing. The Appraisal makes that disclosure and so satisfies the basic requirement. He opined that the fact that the Appraisal contains no "analysis" of the listing is not enough to make it misleading. Further, Mr. Beatty noted that the Doolan Retrospective Appraisal did not contain any analysis of the prior listing. Mr. Beatty also acknowledged that a list price represents the owner's perception of value and accordingly often reflects the upper limit of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RBC emphasizes Mr. Bartlett's lack of analysis of the previous listing because of Mr. Braun's trial evidence. He was the listing agent who acted for the seller under the prior listing and he thought the Property was overpriced at $2.76 million. RBC says that if Mr. Bartlett had contacted the listing agent, he may have become aware of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Like Mr. Doolan's comments regarding the purpose and scope of the Appraisal, this criticism is overly technical. The import of the prior listing is that the house was exposed to the market for a period of time without sale at that price. That information is contained in the report. As Mr. Beatty emphasized, the appraiser's obligation is to provide an opinion of value that is supportable, objective and impartial. If an appraiser learns of the opinion of value held by a real estate agent who had a prior listing, it is up to the appraiser to decide whether or not that has any impact on the valuation. It does not affect his obligation to come to his own impartial opinion of value. Of course, whether or not he obtains that information depends on the context of the assignment. Here, Mr. Bartlett was expected to produce the Appraisal for RBC within 24 to 48 hours. He provided the Appraisal promptly with considerably more information than is usual in a form appraisal. He did not need to contact the prior listing agent. Without doing that, he could provide no additional "analysis" of the listing in the Appraisal. He specifically noted that he did not analyze the listing.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Given the nature of the assignment, and the fact that the Appraisal accurately reported the details of the prior listing, I conclude that Mr. Bartlett did not breach section 6.2.23. Indeed, it is evident that the real difference between Mr. Doolan's view of the prior listing and its treatment in the Appraisal, is his assessment of the importance that should be attached to the prior listing. In other words, the question is not whether a rule was breached but whether the prior listing was properly taken into account in arriving at the opinion of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Mr. Doolan's real criticism is that he would place more weight on the fact that the Property was listed for four months without a sale than Mr. Bartlett did. I have considered this criticism below under my assessment of whether the Appraisal was prepared negligently such that the Property was grossly overvalued.</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Was the Property overvalued?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xml:space="preserve">  I have adopted the approach followed in </w:t>
      </w:r>
      <w:r>
        <w:rPr>
          <w:rFonts w:ascii="arial" w:eastAsia="arial" w:hAnsi="arial" w:cs="arial"/>
          <w:i/>
          <w:color w:val="000000"/>
          <w:sz w:val="20"/>
          <w:lang w:val="en-US" w:eastAsia="en-US" w:bidi="ar-SA"/>
        </w:rPr>
        <w:t>Regency Mortgage</w:t>
      </w:r>
      <w:r>
        <w:rPr>
          <w:rFonts w:ascii="arial" w:eastAsia="arial" w:hAnsi="arial" w:cs="arial"/>
          <w:color w:val="000000"/>
          <w:sz w:val="20"/>
          <w:lang w:val="en-US" w:eastAsia="en-US" w:bidi="ar-SA"/>
        </w:rPr>
        <w:t>, by identifying and examining the principle differences between the experts' opinions. These are:</w:t>
      </w:r>
      <w:r>
        <w:rPr>
          <w:rFonts w:ascii="arial" w:eastAsia="arial" w:hAnsi="arial" w:cs="arial"/>
          <w:sz w:val="20"/>
          <w:lang w:val="en-US" w:eastAsia="en-US" w:bidi="ar-SA"/>
        </w:rPr>
        <w:cr/>
      </w:r>
    </w:p>
    <w:p>
      <w:pPr>
        <w:numPr>
          <w:numId w:val="7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proper approach to follow when considering whether an appraiser met the reasonable appraiser standard?</w:t>
      </w:r>
    </w:p>
    <w:p>
      <w:pPr>
        <w:numPr>
          <w:numId w:val="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it reasonable for the Appraisal to include a time adjustment for a rising market?</w:t>
      </w:r>
    </w:p>
    <w:p>
      <w:pPr>
        <w:numPr>
          <w:numId w:val="7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Mr. Bartlett's consideration and analysis of the comparable properties reasonable and appropriate?</w:t>
      </w:r>
    </w:p>
    <w:p>
      <w:pPr>
        <w:spacing w:before="120" w:line="260" w:lineRule="atLeast"/>
        <w:ind w:left="1800"/>
        <w:rPr>
          <w:rFonts w:ascii="arial" w:eastAsia="arial" w:hAnsi="arial" w:cs="arial"/>
          <w:sz w:val="20"/>
          <w:lang w:val="en-US" w:eastAsia="en-US" w:bidi="ar-SA"/>
        </w:rPr>
      </w:pPr>
      <w:r>
        <w:rPr>
          <w:rFonts w:ascii="arial" w:eastAsia="arial" w:hAnsi="arial" w:cs="arial"/>
          <w:i/>
          <w:color w:val="000000"/>
          <w:sz w:val="20"/>
          <w:lang w:val="en-US" w:eastAsia="en-US" w:bidi="ar-SA"/>
        </w:rPr>
        <w:t>What is the proper approach to follow when considering whether an appraiser met the reasonable appraiser standard?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A review of an appraisal by a professional real estate appraiser must be conducted in accordance with section 8 of the CUSPAP. Mr. Doolan and Mr. Beatty both refer to the relevant provisions of the standards and set out to apply them. The key provisions 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Section 8.2.9 - In the report, the review appraiser must ... Provide an opinion as to the apparent adequacy and relevance of the data and the propriety of any adjustments to the data.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Section 8.2.10 - In the report, the review appraiser must ... Provide an opinion as to the appropriateness and proper application (appraisal and other) of the methods and techniques 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Both experts, appropriately, prepared their technical review reports prior to preparation of the other reports they prepared. RBC argues that Mr. Doolan's opinion should be given more weight because his technical review and retrospective appraisal were prepared prior to the commencement of litigation. RBC is critical of Mr. Beatty's technical review because it was prepared for the litigation. It says that Mr. Beatty approached the technical review with preconceptions and a bias. Further, RBC argues that the Beatty Technical Review did not consider the data in sufficient detail to properly assess the Appraisal.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xml:space="preserve">  I disagree with RBC's submission. Indeed, I conclude from Mr. Doolan's reports and his </w:t>
      </w:r>
      <w:r>
        <w:rPr>
          <w:rFonts w:ascii="arial" w:eastAsia="arial" w:hAnsi="arial" w:cs="arial"/>
          <w:i/>
          <w:color w:val="000000"/>
          <w:sz w:val="20"/>
          <w:lang w:val="en-US" w:eastAsia="en-US" w:bidi="ar-SA"/>
        </w:rPr>
        <w:t>viva voce</w:t>
      </w:r>
      <w:r>
        <w:rPr>
          <w:rFonts w:ascii="arial" w:eastAsia="arial" w:hAnsi="arial" w:cs="arial"/>
          <w:color w:val="000000"/>
          <w:sz w:val="20"/>
          <w:lang w:val="en-US" w:eastAsia="en-US" w:bidi="ar-SA"/>
        </w:rPr>
        <w:t xml:space="preserve"> evidence that his approach to the assessment of the opinion of value in the Appraisal is inconsistent with the CUSPAP standards and the law regarding the standard of care. Instead of considering whether Mr. Bartlett's data was adequate and relevant and whether his application of the appraisal methods and techniques was appropriate and reasonable, Mr. Doolan approached the case by considering what the correct value of the Property was as of the date of the Appraisal. In doing so, he formed his own opinion of that value. This is a subtle difference in approach. Mr. Doolan was influenced by his opinion of value and of the state of the sub-market. Both of these opinions were, of necessity, arrived at long after the effective appraisal date. He relied heavily on his retrospective appraisal to support his opinion of value and critique of Mr. Bartlett. In other words, he approached his critique of the Appraisal on the basis that there could be only one correct answer to the valuation question. In doing so, he relied heavily on his view of the state of the sub-market. Further, he did so with the benefit of hindsight; he knew that the market turned downwards after October 2007. He did not consider if it was possible for a professional appraiser to arrive at a different conclusion using the same or similar data as of that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As set out in the authorities, the issue before the Court is not whether another appraiser would arrive at a different opinion of value. Property appraisal is not an exact science. Valuation is a matter of opinion; variations, including wide variations, are not uncommon (</w:t>
      </w:r>
      <w:r>
        <w:rPr>
          <w:rFonts w:ascii="arial" w:eastAsia="arial" w:hAnsi="arial" w:cs="arial"/>
          <w:i/>
          <w:color w:val="000000"/>
          <w:sz w:val="20"/>
          <w:lang w:val="en-US" w:eastAsia="en-US" w:bidi="ar-SA"/>
        </w:rPr>
        <w:t>Regency Mortgage</w:t>
      </w:r>
      <w:r>
        <w:rPr>
          <w:rFonts w:ascii="arial" w:eastAsia="arial" w:hAnsi="arial" w:cs="arial"/>
          <w:color w:val="000000"/>
          <w:sz w:val="20"/>
          <w:lang w:val="en-US" w:eastAsia="en-US" w:bidi="ar-SA"/>
        </w:rPr>
        <w:t>). The essential question is whether the appraiser followed professional guidelines.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I accept Mr. Beatty's opinion regarding compliance with the professional guidelines. He approached that question as set out in section 8.2.9 of the CUSPAP and found that the Appraisal is compliant with respect to its content and completeness and is responsive to the terms of reference. Mr. Beatty found that the Appraisal contained "sufficient, adequate and relevant data, within an acceptable approach to value." The limitations in the data as a result of the unique nature of the Property were noted. I have already indicated that I accept Mr. Beatty's view that it was acceptable (and indeed useful) for the Appraisal "to outline the challenges of the particular assignment". Mr. Doolan did not seriously challenge the sufficiency and adequacy of the data used by Mr. Bartlett. Indeed, he used almost all of the same data for his own retrospective appraisal.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xml:space="preserve">  I also accept Mr. Beatty's opinion regarding section 8.2.10 of the CUSPAP; the Appraisal provided analyses, opinions and conclusions that were appropriate and reasonable for reliance by RBC. Mr. Beatty did not conclude that the valuation was "correct", rather, that "the values concluded in the [Appraisal] appear reasonable, based on the comparable sales in the processes employed by the appraiser, including the warnings provided to the intended user." This opinion is consistent with the proper approach set out in </w:t>
      </w:r>
      <w:r>
        <w:rPr>
          <w:rFonts w:ascii="arial" w:eastAsia="arial" w:hAnsi="arial" w:cs="arial"/>
          <w:i/>
          <w:color w:val="000000"/>
          <w:sz w:val="20"/>
          <w:lang w:val="en-US" w:eastAsia="en-US" w:bidi="ar-SA"/>
        </w:rPr>
        <w:t>Regency Mortgage</w:t>
      </w:r>
      <w:r>
        <w:rPr>
          <w:rFonts w:ascii="arial" w:eastAsia="arial" w:hAnsi="arial" w:cs="arial"/>
          <w:color w:val="000000"/>
          <w:sz w:val="20"/>
          <w:lang w:val="en-US" w:eastAsia="en-US" w:bidi="ar-SA"/>
        </w:rPr>
        <w:t>. In other words, he considered whether the professional standards were met and whether the analyses and opinions were reasonable or defensible in accordance with the standard of a reasonable appraiser.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By contrast, Mr. Doolan focused, in his retrospective appraisal and in his critique of the Appraisal and of Mr. Bartlett's opinions, on two matters: assessment of the comparable properties and his view of the sub-market. As set out below, I do not accept his views on these issues. However, his focus on the validity of his opinions rather than on consideration as to whether another professional could reasonably hold a contrary view is an error in proper approach. He focused on what he viewed to be the Appraisal's overvaluation of the Property rather than on the adequacy and reasonableness of the valuation in accordance with the professional standards.</w:t>
      </w:r>
      <w:r>
        <w:rPr>
          <w:rFonts w:ascii="arial" w:eastAsia="arial" w:hAnsi="arial" w:cs="arial"/>
          <w:sz w:val="20"/>
          <w:lang w:val="en-US" w:eastAsia="en-US" w:bidi="ar-SA"/>
        </w:rPr>
        <w:cr/>
      </w:r>
    </w:p>
    <w:p>
      <w:pPr>
        <w:spacing w:line="260" w:lineRule="atLeast"/>
        <w:ind w:left="1800"/>
        <w:rPr>
          <w:rFonts w:ascii="arial" w:eastAsia="arial" w:hAnsi="arial" w:cs="arial"/>
          <w:sz w:val="20"/>
          <w:lang w:val="en-US" w:eastAsia="en-US" w:bidi="ar-SA"/>
        </w:rPr>
      </w:pPr>
      <w:r>
        <w:rPr>
          <w:rFonts w:ascii="arial" w:eastAsia="arial" w:hAnsi="arial" w:cs="arial"/>
          <w:i/>
          <w:color w:val="000000"/>
          <w:sz w:val="20"/>
          <w:lang w:val="en-US" w:eastAsia="en-US" w:bidi="ar-SA"/>
        </w:rPr>
        <w:t>Was it reasonable for the Appraisal to include a time adjustment for a rising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In his technical review, Mr. Doolan was critical of the fact that the Appraisal set out no basis or analysis for the assertion that an upward time adjustment was required because of a rising market. He pointed to the limited listings and sales of single family homes over $2 million and the fact that none had ever sold for more than $2.75 million, as support for his contention that the market was not rising.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xml:space="preserve">  Mr. Doolan's opinion on this issue is unconvincing. I infer that he was heavily influenced by his knowledge of the 2008 recession and the drop in real estate prices that occurred 6 to 12 months after October 2007. As set out in the Beatty Reply, the opinions "in the [Bartlett] report </w:t>
      </w:r>
      <w:r>
        <w:rPr>
          <w:rFonts w:ascii="arial" w:eastAsia="arial" w:hAnsi="arial" w:cs="arial"/>
          <w:color w:val="000000"/>
          <w:sz w:val="20"/>
          <w:u w:val="single"/>
          <w:lang w:val="en-US" w:eastAsia="en-US" w:bidi="ar-SA"/>
        </w:rPr>
        <w:t>must be considered in context of the market conditions at the time, not in hindsight</w:t>
      </w:r>
      <w:r>
        <w:rPr>
          <w:rFonts w:ascii="arial" w:eastAsia="arial" w:hAnsi="arial" w:cs="arial"/>
          <w:color w:val="000000"/>
          <w:sz w:val="20"/>
          <w:lang w:val="en-US" w:eastAsia="en-US" w:bidi="ar-SA"/>
        </w:rPr>
        <w:t xml:space="preserve"> 9 years later."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Mr. Doolan's approach was evident in his retrospective appraisal where he used sales after the date of the Appraisal to inform his opinion as to the market value of the Property as of October 5, 2007. He justified this approach on the basis that the CUSPAP allows use of subsequent sales data when performing a retrospective appraisal. While that is correct, it misses the point of his expert opinion in this case. The issue before the Court was not to assess market value after the fact, but to consider whether the Appraisal was performed in accordance with professional standards and the standard of care of a reasonable appraiser. Information about sales after October 5, 2007 was not available to Mr. Bartlett and is irrelevant to the question before the Court. Mr. Doolan let his knowledge of the later fall in the market influence and support his opinion as to what was reasonable at the time of the Appraisal.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Mr. Doolan also changed his report between 2014 when he first prepared his retrospective appraisal and 2016 when he amended it for court. In the 2014 report he stated, "I have not attempted to show time adjustments to the comparable sales, as they are very difficult to estimate and are not often valid." That statement acknowledges that time adjustments might be appropriate for the comparables, aside from the difficulty in estimation. He went further in the 2016 report by asserting that time adjustments were not warranted for the comparable sales. Given the importance that Mr. Doolan places on Mr. Bartlett's time adjustments, this is a significant, and perhaps disingenuous, change.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In fact, the Appraisal correctly references the information that Mr. Doolan relied upon in support of his view that the property values in the high-end sub-market were not increasing: the limited number of historical sales and current listings. He is correct in saying that the Appraisal did not provide an analysis or explanation for the time adjustment. However, I accept that such an analysis is not expected or required in a form report. It was clear to the reader that Mr. Bartlett was applying an upward time adjustment on the basis that market values were rising. As noted by Mr. Beatty, the fact that there were 11 property listings over $2 million, when compared with historical sales, is evidence of increasing prices at the upper end of the market. I also accept that the inclusion in the Appraisal of the Gladwin property listed at over $4 million is useful and relevant data because it provides some confirmation of higher price expectations.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I also accept the opinions of Mr. Beatty and the defendant appraisers that there was ample data to support a conclusion that property values in Abbotsford/ Bradner were rising in October 2007 in all segments of the market. As Mr. Beatty indicated: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market in the Abbotsford area in 2007 was nearing an all-time peak in terms of the volume of sales and unprecedented price increases characterized the market for at least three years leading to the effective date in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Indeed, Mr. Doolan acknowledged in his retrospective appraisal that in the two years prior to October 2007, home prices in Abbotsford increased by 9% and 23%, while home prices in the Bradner area increased by 9% and 24% in the previous two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There was also evidence of paired sales of higher-end properties that supports the view that property values were increasing for that segment of the market. All witnesses agreed that paired sales have great value for appraisal purposes. Those sales are very instructive here as they indicate sharp increases in values in the time period leading up to the date of the report. The Townshipline property sold for $1,600,000 in April 2004 and for $2,400,000 in June 2006; a 50% increase in two years. The property at 82nd Avenue in Langley was a comparable used by Mr. Doolan that sold for $1.9 million in June 2006 and $2.2 million in June 2007. This is a 16% increase in one year. In the oral evidence, reference was made to other paired sales of high-end properties found in the appraisers' working papers which showed similar price increases.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In summary, the opinion held by the defendants was supported by strong evidence of an active and rising real estate market in the relevant area. In addition, it was supported by evidence from a number of sales indicating that the market value of high-end properties was also increasing. By contrast, Mr. Doolan's opinion was supported by an absence of evidence: the limited number of sales and listings in the high-end market. Of course, that was the problem highlighted in the Appraisal - large estate-like rural acreage properties are unique. It was not surprising that there were only a few sales to rely on to show an upward trend given the size of the market. Mr. Doolan was not able to refer to any sales to support the proposition that the high end of the market was not in step with the overall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While the opinion in the Appraisal and Mr. Doolan's opinion are based on limited evidence, the weight of the evidence certainly favours the defendants' opinion. However, it is important to remember that the question before the Court is one of professional standards and not correctness of an opinion. I accept Mr. Beatty's view that the conclusion drawn in the Appraisal that a time adjustment was appropriate for properties at the high end of the market was available to Mr. Bartlett acting as a reasonable appraiser based on the data that was available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Before leaving this issue, I must also comment on Mr. Doolan's view that the suggested exposure time in the Appraisal - 90 to 720 days - is unreasonable and not appropriate for mortgage lending purposes. As Mr. Beatty noted, whether or not the exposure time in an appraisal is appropriate for mortgage lending purposes is well beyond Mr. Doolan's expertise. But more importantly, I accept Mr. Beatty's view that "it is entirely appropriate to the intended use of the report to suggest that it may take an extended period of time to realize on the security ..." The comment about exposure time is also consistent with the observation that the Property is unique and accordingly of interest to a relatively small group of buyers. It stands to reason as suggested by Mr. Bartlett, that high-priced unique properties take longer to sell. It was appropriate to highlight that in the Appraisal and doing so did not detract from or limit the opinion of value.</w:t>
      </w:r>
      <w:r>
        <w:rPr>
          <w:rFonts w:ascii="arial" w:eastAsia="arial" w:hAnsi="arial" w:cs="arial"/>
          <w:sz w:val="20"/>
          <w:lang w:val="en-US" w:eastAsia="en-US" w:bidi="ar-SA"/>
        </w:rPr>
        <w:cr/>
      </w:r>
    </w:p>
    <w:p>
      <w:pPr>
        <w:spacing w:line="260" w:lineRule="atLeast"/>
        <w:ind w:left="1800"/>
        <w:rPr>
          <w:rFonts w:ascii="arial" w:eastAsia="arial" w:hAnsi="arial" w:cs="arial"/>
          <w:sz w:val="20"/>
          <w:lang w:val="en-US" w:eastAsia="en-US" w:bidi="ar-SA"/>
        </w:rPr>
      </w:pPr>
      <w:r>
        <w:rPr>
          <w:rFonts w:ascii="arial" w:eastAsia="arial" w:hAnsi="arial" w:cs="arial"/>
          <w:i/>
          <w:color w:val="000000"/>
          <w:sz w:val="20"/>
          <w:lang w:val="en-US" w:eastAsia="en-US" w:bidi="ar-SA"/>
        </w:rPr>
        <w:t>Was Mr. Bartlett's consideration and analysis of the comparable properties reasonable and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There were no disagreements between the appraisers - the experts and the defendants - about the appropriate appraisal techniques to use to value the Property. They agreed that the best appraisal method to apply to arrive at an opinion of value of the Property is the direct comparison approach. They also agreed that the cost approach should be used as a check on the opinion arrived at by way of the direct comparison approach.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The experts and defendants also agreed that comparable properties should be compared with the subject Property by way of a qualitative analysis, rather than a quantitative analysis. In other words, they considered whether each feature (lot size, location, house size, quality of construction etc.) of a comparable property is superior, inferior or similar to the Property and whether those features when considered collectively make the comparable property superior, inferior or similar to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While the appraisers agreed on the methods or techniques, the opinions of Mr. Bartlett, Mr. Doolan and Mr. Beatty differed greatly when it came to comparing the features of the comparable properties with those of the Property. My first and most important observation about this evidence is that it is difficult for the Court to attempt to resolve those differences of opinion, let alone try to determine which opinion is correct. I can only assess whether the opinions appear to have a reasonable basis. When I do that, I conclude that Mr. Bartlett's opinions generally appear to have a reasonable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I will make a number of observations about particular issues that arose in the evidence of Mr. Bartlett and the two experts. As will be apparent from this review, the views of the appraisers are indeed matters of opinion. It is reasonable that qualified appraisers may differ about these matters. This is particularly the case in these circumstances where the Property is unusual; this is not a cookie cutter home in an urban subdivision; it is a large estate-style house on rural acreage in the Agricultural Land Reserve. Accordingly, it was difficult for Mr. Bartlett (and the experts) to arrive at firm conclusions about the relative quality of comparable properties.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Mr. Doolan gave a great deal of weight in his qualitative analysis to properties that had a larger lot size than the Property. For example, his criticism of Mr. Bartlett's direct comparison value assessment in the Appraisal is almost entirely based on his assessment that the N. Burgess property is far superior because of lot size. While lot size is extremely important in urban settings, I accept that it is not as important in rural settings. I also accept the evidence of Mr. Bartlett, Mr. Beatty and Mr. Braun that the per acre value of property falls rapidly for larger rural properties. Indeed, if the rapid diminution in value per acre that Mr. Braun agreed to in cross-examination is correct, then it is possible for a larger, high-quality home on a smaller lot to be worth as much or more than an inferior home on a much larger lot. Of course, that was Mr. Bartlett's view. As I will discuss further in relation to the use of the cost approach, it is also significant that Mr. Bartlett, unlike Mr. Doolan, actually saw the quality of construction of the home and outbuildings on the Property. While I agree with Mr. Doolan's observation that the N. Burgess property is far superior for lot size and that is relevant to the value of that property, I cannot dismiss the possibility that the size and quality of the improvements on the Property could make up for the difference in property size.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While Mr. Doolan opined that lots larger in lot size than the Property were clearly superior, he did not appear to apply the same kind of qualitative assessment to comparable properties that were smaller than the Property. In other words, he was inconsistent. For example, in the Doolan Retrospective Appraisal, the comparable property described as Index #4 is a significantly smaller house on a 2.45-acre lot with no outbuildings. Mr. Doolan considered the location to be far superior. On an overall basis, he concluded that the comparable property was similar to the Property. However, for that to be the case, the superior location of the comparable property would have to offset all of the superior features of the Property. These include: a much larger house with a fully finished basement; outbuildings of high-quality construction; and a lot that is almost four times larger. Mr. Doolan's opinion would mean that the lot value of Index #4 would have to be significantly more than the value of the Property's lot. However, based on historical sales of the two properties, his view of the relative property values is incorrect. The Property sold for $685,000 in 2004 (with an old house on it that had to be demolished) while the comparable lot sold in 2004 for $315,000. Those sales, which coincidentally were at the same time, suggest that the Property's lot value was twice that of Index #4. This strongly suggests that Mr. Doolan's qualitative comparison for that property is wrong, either because he undervalued the difference in lot size or overvalued the superiority of the location.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One of the other significant differences in the opinions of Mr. Doolan and Mr. Bartlett was the weight attributed in their appraisals to the quality of construction. The way that this impacts on the qualitative assessment carried out by the appraisers can be seen in their respective assessments of the 82nd Ave. property. Mr. Doolan was of the opinion that the location of that property was "far superior", which led him to conclude that it was on balance a superior property. Mr. Bartlett was of the view that the property was an inferior sized home on an inferior sized lot (8.2 acres) in a superior location. He was also of the opinion that the home was in inferior condition and of inferior quality. Accordingly, on balance he believed that in spite of the superior location of the 82nd Ave. property, the Property was superior. Mr. Beatty was of the view that the size, configuration and quality of the 82nd Ave. property required a significant upward adjustment when compared to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xml:space="preserve">  When considering such differences of opinion, it is important to keep in mind the common sense observation in </w:t>
      </w:r>
      <w:r>
        <w:rPr>
          <w:rFonts w:ascii="arial" w:eastAsia="arial" w:hAnsi="arial" w:cs="arial"/>
          <w:i/>
          <w:color w:val="000000"/>
          <w:sz w:val="20"/>
          <w:lang w:val="en-US" w:eastAsia="en-US" w:bidi="ar-SA"/>
        </w:rPr>
        <w:t>Regency Mortgage</w:t>
      </w:r>
      <w:r>
        <w:rPr>
          <w:rFonts w:ascii="arial" w:eastAsia="arial" w:hAnsi="arial" w:cs="arial"/>
          <w:color w:val="000000"/>
          <w:sz w:val="20"/>
          <w:lang w:val="en-US" w:eastAsia="en-US" w:bidi="ar-SA"/>
        </w:rPr>
        <w:t>, "[v]ariations, even wide variation, between the opinions of two or more appraisers are not uncommon. The profession of appraisal is not an exact one." This appears to me to be one of those areas in which reasonable appraisers acting reasonably in accordance with the standards of the profession can come to different views. The assessment of the relative value of the 82nd Ave. property is significant. If, as set out in the Appraisal and agreed to by Mr. Beatty, it is inferior, then the value of the Property must be greater than $2.2 million. Similarly, if it is inferior, its value would be less. Given the limited data, it appears to me that both views have some merit and neither view is clearly incorrect.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Of course, the primary method used by the appraisers to check on the value arrived at for the Property by the direct comparison approach was to compare it with the value arrived at by the cost approach. The issue of the quality of the improvements on the Property becomes very important in assigning a value to those improvements for the cost approach. There was a substantial difference between the opinions of Mr. Doolan on the one hand and Messrs. Bartlett and Beatty on the other, as to the appropriate cost per square foot to use in valuing the improvements on the Property. A good deal of evidence was led on this issue. I have no hesitation in accepting the opinions of Mr. Beatty and Mr. Bartlett in preference to that of Mr. Doolan. He used an unrealistic figure of $130 per square foot for the cost of construction applicable to the Property. As noted by Mr. Beatty, Mr. Doolan used an approach to arrive at and apply that figure that was not commonly accepted in the appraisal industry. Further, the cost he used was close to the cost of construction for an average quality home in Vancouver. That is clearly wrong, as the cost of constructing a high-quality estate property in a rural location in Bradner would be greater, both based on materials and additional costs given the location. As Mr. Beatty concluded, the replacement cost of the Property is "very significantly understated".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Mr. Beatty then went through a detailed analysis to show that a reasonable range for the replacement cost per square foot was $155 to $238. He was of the view that an appropriate figure to apply to the Property when considering the cost approach was $200 per square foot. RBC took issue with what it described as Mr. Beatty's overemphasis on the cost approach. However, the importance of the examination of the way in which Mr. Doolan used the cost approach was to check whether the valuation arrived at by the direct comparison approach was reasonable. By significantly understating the replacement cost of the improvements on the Property, Mr. Doolan's check on the validity of his direct comparison approach was of no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I cannot leave this question without commenting on RBC's view that Mr. Bartlett overvalued the land for purposes of the cost approach. It relies on Mr. Beatty's statement that he agreed to Mr. Doolan's land value in the Beatty Doolan Critique. While Mr. Beatty indicated his agreement, that statement must be considered in light of Mr. Beatty's evidence in cross-examination. He said he "probably misstated" the extent of his agreement, as all he did was accept the land value for the purpose of analyzing other aspects of Mr. Doolan's conclusions. He did not perform his own assessment of land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When I consider the evidence presented regarding land value, I find that while Mr. Bartlett may have overstated the land value of the Property for the purpose of the cost approach, Mr. Doolan understated that value. Mr. Bartlett only referred to one property of a similar size to establish the land value. Mr. Doolan criticized the use of that property because it had an old home on it and he was of the view that some portion of the purchase price must be attributed to the home value. However, the evidence established that the property was purchased for land value. Accordingly, Mr. Doolan's criticism is unwarranted. Further, Mr. Bartlett explained, and his working papers showed, that he considered other properties for land value purposes. The most relevant sale for land value purposes was the adjacent five-acre property only two doors away that sold for about $150,000 per acre in March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When I consider all of the evidence and all of the criticism about how Mr. Bartlett and Mr. Doolan arrived at a land value for the purpose of the cost approach, I conclude that a fair assessment of the per acre value of the Property was likely in the range of $125,000 to $130,000. This is significantly more than the figure used by Mr. Doolan but less than the figure used by Mr. Bartlett. While I have some concerns about the land value figures used by both appraisers, the most significant problem with the appraisers' use of the cost approach was Mr. Doolan's approach to replacement cost. I accept Mr. Beatty's view of that approach:</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my opinion that the Replacement Cost New is significantly understated and this error leads to an inappropriate conclusion of value by the Cost approach in the Doolan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Finally, I must comment on the emphasis placed by RBC on the foreclosure sale price. Mr. Beatty opined that other factors influenced the reduction in the value of the Property between October 2007 and March 2013: the foreclosure; the condition of the Property; and market conditions. RBC responded to that evidence by suggesting that Mr. Beatty's comments support Mr. Doolan's retrospective appraisal value. In other words, RBC argues that Mr. Beatty's opinion that foreclosure properties generally sell for between 10% and 25% of their normal values and that the real estate market in the Abbotsford area fell between 10% and 15% supports its argument that the Property was only worth $2 million at the time of the Appraisal.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xml:space="preserve">  This argument is not a proper application of one of the basic principles expressed in </w:t>
      </w:r>
      <w:r>
        <w:rPr>
          <w:rFonts w:ascii="arial" w:eastAsia="arial" w:hAnsi="arial" w:cs="arial"/>
          <w:i/>
          <w:color w:val="000000"/>
          <w:sz w:val="20"/>
          <w:lang w:val="en-US" w:eastAsia="en-US" w:bidi="ar-SA"/>
        </w:rPr>
        <w:t>Regency Mortgage</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Verification of one appraisal is not necessarily found in the market price at which the property later sells. Other factors may well affect the sale which have nothing to do with the appraisal.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Just as verification of one appraisal cannot be found in a later sale price, it would be inappropriate to use percentages determined on the basis of general trends to work backwards from a particular foreclosure sale price to "verify" a property value. Quite simply, any sale price is an "opinion" of the value of a property and is influenced by many factors and circumstances. Mr. Beatty's evidence about market trends and the impact of foreclosure on property values merely establishes the importance of some of those factors in this case. The price obtained on the foreclosure sale should not be used to verify or establish the value in October 2007. RBC's approach is inconsistent with the proper approach to assessing whether the defendants met the standard of a reasonable real estate appraiser.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xml:space="preserve">  In summary, I conclude that RBC has failed to establish any breach of professional standards by the defendants. The data used by Mr. Bartlett was appropriate and relevant to allow him to come to an opinion of value. He followed the CUSPAP standards in his selection of data and use of appraisal methods. The reasoning he used in support of the analyses, opinions and conclusions was reasonable and acceptable. While Mr. Doolan did not agree with Mr. Bartlett's analysis, I have concluded that RBC has failed to show any significant error or mistake in that analysis. Indeed, I prefer the opinions of Mr. Bartlett and Mr. Beatty to those of Mr. Doolan. While the opinion of value in the Appraisal appears in retrospect to be on the high side, the reasons for the opinion are adequately explained. Accordingly, I conclude that RBC has failed to prove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 would come to the same conclusion that was reached by Madam Justice McLachlin in </w:t>
      </w:r>
      <w:r>
        <w:rPr>
          <w:rFonts w:ascii="arial" w:eastAsia="arial" w:hAnsi="arial" w:cs="arial"/>
          <w:i/>
          <w:color w:val="000000"/>
          <w:sz w:val="20"/>
          <w:lang w:val="en-US" w:eastAsia="en-US" w:bidi="ar-SA"/>
        </w:rPr>
        <w:t>Regency Mortgage</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Misrepresentation is not established, much less the gross overvaluation referred to by the authorities as supporting a finding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an appraiser.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xml:space="preserve">  The evidence and arguments presented in this case raise difficult questions about whether the defendants met the standard of care of a reasonable real estate appraiser and if not, whether RBC was contributorily negligent in approving the mortgage loan to its clients. I have concluded that the defendants met the standard of care of a reasonable real estate appraiser and accordingly do not need to consider the issue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RBC's claim is dismissed with costs. If the parties are unable to agree as to the scale of costs, they may arrange with trial scheduling to exchange written submissions. Any such submissions shall be no more than ten pages in length and must be delivered within 30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G.B. BUTLER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46" style="position:absolute;z-index:25186406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7"/>
          <w:headerReference w:type="default" r:id="rId68"/>
          <w:footerReference w:type="even" r:id="rId69"/>
          <w:footerReference w:type="default" r:id="rId70"/>
          <w:headerReference w:type="first" r:id="rId71"/>
          <w:footerReference w:type="first" r:id="rId7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3" w:history="1">
        <w:r>
          <w:rPr>
            <w:rFonts w:ascii="arial" w:eastAsia="arial" w:hAnsi="arial" w:cs="arial"/>
            <w:b/>
            <w:bCs/>
            <w:i/>
            <w:color w:val="0077CC"/>
            <w:kern w:val="32"/>
            <w:sz w:val="28"/>
            <w:szCs w:val="32"/>
            <w:u w:val="single"/>
            <w:shd w:val="clear" w:color="auto" w:fill="FFFFFF"/>
            <w:lang w:val="en-US" w:eastAsia="en-US" w:bidi="ar-SA"/>
          </w:rPr>
          <w:t>Spraggs &amp; Co. Law Corp. v. Lopushinsky, [2002] B.C.J. No. 1753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Sigurdson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4 - 5,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29,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Nos. C953927, C951926,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A970386, C965257</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[2002] B.C.J. No. 1753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2002 BCSC 1128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30 C.P.C. (5th) 371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[2005] G.S.T.C. 30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115 A.C.W.S. (3d) 721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Spraggs &amp; Co. Law Corporation, plaintiff, and Richard Allan Lopushinsky, defendant (Vancouver Registry No. C953927) And between Spraggs &amp; Co. Law Corporation, plaintiff, and Richard Allan Lopushinsky, defendant (Vancouver Registry No. C951926) And between Spraggs &amp; Co. Law Corporation, plaintiff, and Richard Allan Lopushinsky, defendant (Vancouver Registry No. A970386) And between Richard Lopushinsky, plaintiff, and Thomas L. Spraggs and Spraggs &amp; Co. Law Corporation, defendants (Vancouver Registry No. C965257)</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47" style="position:absolute;z-index:2516623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6" w:name="Keywords_3"/>
      <w:bookmarkEnd w:id="36"/>
      <w:r>
        <w:rPr>
          <w:rFonts w:ascii="arial" w:eastAsia="arial" w:hAnsi="arial" w:cs="arial"/>
          <w:b/>
          <w:color w:val="000000"/>
          <w:sz w:val="20"/>
          <w:lang w:val="en-US" w:eastAsia="en-US" w:bidi="ar-SA"/>
        </w:rPr>
        <w:t>Practice — Costs — Party and party costs — Successful party — Successful party, quantum — Successful party, exception, unproven matters — Factors or circumstances reducing entitlement.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7" w:name="Case Summary_3"/>
            <w:bookmarkEnd w:id="3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Spraggs and Lopushinsky for determination of costs issues following a lengthy trial. Spraggs had sued for fees and disbursements and Lopushinsky had sued for damages for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fiduciary duty. Spraggs sought total payment of $778,000, including fees on a contingency agreement, and was awarded $275,750 plus interest. Lopushinsky claimed that Spraggs was entitled to no fees because he received no benefit from the services. Lopushinsky's claims were dismissed and he agreed to pay costs of that action in the amount of $60,000. Both parties sought costs of the fees action on the basis that he had been substantially successful. Each sought special costs. Lopushinsky also argued that the fact that the accounts were reduced by more than one-sixth meant that he was successful pursuant to the provisions of the Legal Profession Act.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8" w:name="Holdings of Court_3"/>
            <w:bookmarkEnd w:id="38"/>
            <w:r>
              <w:rPr>
                <w:rFonts w:ascii="arial" w:eastAsia="arial" w:hAnsi="arial" w:cs="arial"/>
                <w:color w:val="000000"/>
                <w:sz w:val="20"/>
                <w:lang w:val="en-US" w:eastAsia="en-US" w:bidi="ar-SA"/>
              </w:rPr>
              <w:t>HELD: Order that Spraggs recover 70 per cent of his costs and that Lopushinsky receive 30 per cent of his costs.</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For the purpose of double costs, Spraggs was entitled to seven days of trial related to the trial accounts claim. The costs awards were to be set off against each other. GST was payable on work after January 1, 1991 and 30 per cent of the work was declared to have been performed after that date. The event in the trial was the entitlement of Spraggs to fees for professional services. The one-sixth rule did not have any direct application. Spraggs achieved substantial success but Lopushinsky succeeded on a number of important issues. The contingency fee agreements were found to be unfair and this took up significant time at trial. Lopushinsky was entitled to costs in connection with the issues where he succeeded. However, in considering the extent of Lopushinsky's success, the court considered the fact that, in trying to prove his entitlement to the fees, Spraggs had to deal with many of the allegations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There was delay by Lopushinsky in the proceedings and in the conduct of the trial as he was unrepresented. However, Spragg's claim was not supported by adequate records and the records which were produced were produced late. It was not shown that Lopushinsky intentionally misled the court or commenced proceedings for improper or collateral purposes. There was nothing to warrant special or increased costs. The appropriate measure was Scale 4 as the matter was of more than ordinary difficulty.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9" w:name="Legislation Cited_3"/>
      <w:bookmarkEnd w:id="3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48" style="position:absolute;z-index:2517135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Rules 37, 37(23), 57(9), 57(14), 57(15).</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Excise Tax Act, s. 341.1(1)(b).</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Interpretation Act, s. 35.</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Legal Profession Act, s. 72(1).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40" w:name="Counsel_3"/>
      <w:bookmarkEnd w:id="40"/>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49" style="position:absolute;z-index:2517647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Mark Weintraub, for Spraggs &amp; Co. Law Corporation. Richard Lopushinsky appeared in person.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41" w:name="Judgment_3"/>
      <w:bookmarkEnd w:id="41"/>
      <w:r>
        <w:pict>
          <v:line id="_x0000_s1050" style="position:absolute;z-index:25181593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42" w:name="SIGURDSON J."/>
            <w:bookmarkEnd w:id="42"/>
            <w:r>
              <w:rPr>
                <w:rFonts w:ascii="arial" w:eastAsia="arial" w:hAnsi="arial" w:cs="arial"/>
                <w:b/>
                <w:color w:val="000000"/>
                <w:sz w:val="30"/>
                <w:lang w:val="en-US" w:eastAsia="en-US" w:bidi="ar-SA"/>
              </w:rPr>
              <w:t>SIGURDSON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Following a lengthy trial between a lawyer and his client, the parties applied to determine the issue of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solicitor had sued for fees and disbursements. The client had sued for damages for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fiduciary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lawyer sought payment of several accounts on a fee for services basis and of two accounts on a contingency basis. I will describe the amount of the claims in round numbers. Seven accounts, which I will refer to as the trial accounts, totalled approximately $170,000. The promissory note contingency fee account was $171,000 and the wills variation contingency fee account was $440,500.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After a thirty-five day trial, I dismissed the client's action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fiduciary duty. In round numbers, I allowed the lawyer's claim for fees and disbursements for the trial accounts at $111,000, for the wills variation contingency fee account at $91,000 and for the promissory note contingency account at $73,750.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 directed that the lawyer, Mr. Spraggs, was entitled to interest on the fees he was awarded.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 have also received written submissions on the question of GST for legal services after January 1, 1991, a question which I will deal with in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The client, Mr. Lopushinsky, has now settled his liability for costs in connection with the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He has agreed to pay $60,000. At trial Mr. Spraggs was represented by different counsel for the fee claims and for the defence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As a result of the settlement on costs, Mr. Macleod did not appear on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PARTIES' POSITIONS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Each side takes the position that they are entitled to costs of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Spraggs says that costs should follow the event, which he says was, essentially, whether he was entitled to fees. On that characterization, he says that he was substantially successful.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Lopushinsky, on the other hand, says that he was substantially successful. He says that the question at trial was whether Mr. Spraggs was entitled to the large fees that he was seeking. As the claim, excluding interest, was reduced from approximately $778,000 to $275,750, Mr Lopushinsky says that he clearly won.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Mr. Spraggs' counsel contends that the time that he spent, before and at trial, was greatly increased by Mr. Lopushinsky's conduct, which he describes as improper. He also points out that Mr. Lopushinsky made and pressed unsuccessful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fiduciary duty, not only as a separate claim, but in an attempt to reduce the trial fees.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Spraggs claims that he is entitled to double costs in connection with the seven trial accounts because he made an offer to settle for an amount less than the ultimate award in relation to those seven accounts after interest was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Spraggs also seeks special or increased costs or costs at a scale higher than scale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Mr. Lopushinsky, on the other hand, says that if I find that he was not substantially successful, he nevertheless succeeded on important issues that consumed a great deal of time at the trial. These included whether the contingency fee agreements were fair, whether the proper interpretation of the contingency agreements allowed for Mr. Spraggs' recovery of a portion of interest or rents and what was the value of the subject property at the material time, 1991. Mr. Lopushinsky says that his unsuccessful claim for damages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irrelevant given that he has agreed to pay costs in connection with his unsuccessful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Rules of Court provide that costs should follow the event unless the court otherwise orders. However the Rules also provide the court with discretion to award costs that relate to particular issues or part of a proceeding when there is mixed success. Moreover, the court has the power to award costs if anything is done or omitted to be done improperly or unnecessarily. These are some of the tools that allow the court to fashion an award for costs, at the conclusion of a proceeding, that is just and appropriate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particular rules to which I have referred are Rules 57(9), 57(14) and 57(15), which read as follows:</w:t>
      </w:r>
      <w:r>
        <w:rPr>
          <w:rFonts w:ascii="arial" w:eastAsia="arial" w:hAnsi="arial" w:cs="arial"/>
          <w:sz w:val="20"/>
          <w:lang w:val="en-US" w:eastAsia="en-US" w:bidi="ar-SA"/>
        </w:rPr>
        <w:cr/>
      </w:r>
    </w:p>
    <w:p>
      <w:pPr>
        <w:numPr>
          <w:numId w:val="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subrule (12), costs of and incidental to a proceeding shall follow the event unless the court otherwise orders.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anything is done or omitted improperly or unnecessarily, by or on behalf of a party, the court or the registrar may order</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any costs arising from the act or omission not be allowed to the party, or</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party pay the costs incurred by any other party by reason of the act or omission.</w:t>
      </w:r>
    </w:p>
    <w:p>
      <w:pPr>
        <w:numPr>
          <w:numId w:val="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may award costs that relate to some particular issue or part of the proceeding or may award costs except so far as they relate to some particular issue or part of the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Once I have addressed all of the parties' arguments and the factors that they submit I should consider, I will set out my decision on the question of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Who was successful? What was the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Apart from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where Mr. Spraggs was clearly successful, the event in the trial, in general terms, was the entitlement of Mr. Spraggs to fees for the trial and the appeals. He was claimimg $778,000. He succeeded in obtaining an award, before interest, of $275,750, a significant reduction.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I think however that the nature of the event must be considered in light of Mr. Lopushinsky's position, which essentially was that Mr. Spraggs was not entitled to any fees, because the services that he rendered, in all of the circumstances, were valueless to Mr. Lopushinsky. The issues concerning the accounts were described in my reasons for judgment at </w:t>
      </w:r>
      <w:hyperlink r:id="rId74" w:history="1">
        <w:r>
          <w:rPr>
            <w:rFonts w:ascii="arial" w:eastAsia="arial" w:hAnsi="arial" w:cs="arial"/>
            <w:i/>
            <w:color w:val="0077CC"/>
            <w:sz w:val="20"/>
            <w:u w:val="single"/>
            <w:shd w:val="clear" w:color="auto" w:fill="FFFFFF"/>
            <w:lang w:val="en-US" w:eastAsia="en-US" w:bidi="ar-SA"/>
          </w:rPr>
          <w:t>[2002] B.C.J. No. 444</w:t>
        </w:r>
      </w:hyperlink>
      <w:r>
        <w:rPr>
          <w:rFonts w:ascii="arial" w:eastAsia="arial" w:hAnsi="arial" w:cs="arial"/>
          <w:color w:val="000000"/>
          <w:sz w:val="20"/>
          <w:lang w:val="en-US" w:eastAsia="en-US" w:bidi="ar-SA"/>
        </w:rPr>
        <w:t xml:space="preserve">, </w:t>
      </w:r>
      <w:hyperlink r:id="rId74" w:history="1">
        <w:r>
          <w:rPr>
            <w:rFonts w:ascii="arial" w:eastAsia="arial" w:hAnsi="arial" w:cs="arial"/>
            <w:i/>
            <w:color w:val="0077CC"/>
            <w:sz w:val="20"/>
            <w:u w:val="single"/>
            <w:shd w:val="clear" w:color="auto" w:fill="FFFFFF"/>
            <w:lang w:val="en-US" w:eastAsia="en-US" w:bidi="ar-SA"/>
          </w:rPr>
          <w:t>2002 BCSC 311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If the client, as he apparently did, felt that the claim was inflated, the Rules of Court allow him to make offers to settle. The client, if he felt the lawyer had presented an inflated bill, could make an offer to settle to protect himself against costs if the bill was only partially reduced. I think that is a factor I can consider in determining who was substantially successful. Mr. Lopushinsky said that he was not aware of the offer to settle provisions, but I do not think that is an adequate answer. Moreover, it is apparent Mr. Lopushinsky has had access to legal advice throughout these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terms of the event, however, Mr. Lopushinsky also argues that the fact that the accounts were reduced by one-sixth means that he was successful. He points to s. 72(1) of the Legal Profession Act, which provides that if more than one-sixth of the lawyer's bill is taxed off, the costs are to be paid by the lawyer. It reads:</w:t>
      </w:r>
      <w:r>
        <w:rPr>
          <w:rFonts w:ascii="arial" w:eastAsia="arial" w:hAnsi="arial" w:cs="arial"/>
          <w:sz w:val="20"/>
          <w:lang w:val="en-US" w:eastAsia="en-US" w:bidi="ar-SA"/>
        </w:rPr>
        <w:cr/>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Costs of a review of a lawyer's bill must be paid by the following:</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lawyer whose bill is reviewed, if 1/6 or more of the total amount of the bill is subtracted from it;</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person charged, if less than 1/6 of the total amount of the bill is subtracted from it;</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who applies for a review of a bill and then withdraws the application for a review.</w:t>
      </w:r>
    </w:p>
    <w:p>
      <w:pPr>
        <w:numPr>
          <w:numId w:val="9"/>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Despite subsection (1), the registrar has the discretion, in special circumstances, to order the payment of costs other than as provided in that subsection.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Mr. Spraggs' counsel submits that this provision applies to summary reviews by the registrar, not to the quantum of costs following a trial in court. Mr. Weintraub says that the circumstances are different when there is a trial, rather than a taxation, particularly where the trial came about because the client has started an action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fiduciary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 agree with Mr. Weintraub that by the terms of s. 72(1), the one-sixth rule does not have direct application to a trial involving a claim for fees, other than perhaps as a guide for determining who achieved substantial success when the issue of lawyer's fees can be dealt with summarily in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 have concluded that in all of the circumstances, Mr. Spraggs achieved substantial success, because the general or overriding issue was whether he was entitled to any fees for the services that he performed, and, if so, in what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However, Mr. Spraggs' accounts were significantly reduced. This was because Mr. Lopushinksy succeeded on a number of important issues at trial. How should this be taken into account on the question of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Bailey v. Victory </w:t>
      </w:r>
      <w:hyperlink r:id="rId75" w:history="1">
        <w:r>
          <w:rPr>
            <w:rFonts w:ascii="arial" w:eastAsia="arial" w:hAnsi="arial" w:cs="arial"/>
            <w:i/>
            <w:color w:val="0077CC"/>
            <w:sz w:val="20"/>
            <w:u w:val="single"/>
            <w:shd w:val="clear" w:color="auto" w:fill="FFFFFF"/>
            <w:lang w:val="en-US" w:eastAsia="en-US" w:bidi="ar-SA"/>
          </w:rPr>
          <w:t>(1995), 4 B.C.L.R. (3d) 389</w:t>
        </w:r>
      </w:hyperlink>
      <w:r>
        <w:rPr>
          <w:rFonts w:ascii="arial" w:eastAsia="arial" w:hAnsi="arial" w:cs="arial"/>
          <w:color w:val="000000"/>
          <w:sz w:val="20"/>
          <w:lang w:val="en-US" w:eastAsia="en-US" w:bidi="ar-SA"/>
        </w:rPr>
        <w:t xml:space="preserve"> (C.A.) considered the application of Rule 57(15). It involved an appeal from the decision of the trial judge, who held that the plaintiff, who was injured in a motor vehicle accident, and the defendant were each entitled to 50% of their costs, to be set off against one another. The defendant had taken the position that the plaintiff was largely unsuccessful at trial, even though he was awarded damages, because he recovered an amount far less than what he was seeking. On the costs application, the trial judge found that a good deal of time at trial had been consumed by the plaintiff's exaggerated claim for damages, an issue on which the plaintiff did not succeed. As a result, the plaintiff had to bear a percentage of the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On appeal, Cumming J.A. considered the leading case of R. in Right of British Columbia v. Worthington (Canada) Inc. et al. </w:t>
      </w:r>
      <w:hyperlink r:id="rId76" w:history="1">
        <w:r>
          <w:rPr>
            <w:rFonts w:ascii="arial" w:eastAsia="arial" w:hAnsi="arial" w:cs="arial"/>
            <w:i/>
            <w:color w:val="0077CC"/>
            <w:sz w:val="20"/>
            <w:u w:val="single"/>
            <w:shd w:val="clear" w:color="auto" w:fill="FFFFFF"/>
            <w:lang w:val="en-US" w:eastAsia="en-US" w:bidi="ar-SA"/>
          </w:rPr>
          <w:t>(1986), 11 B.C.L.R. (2d) 54</w:t>
        </w:r>
      </w:hyperlink>
      <w:r>
        <w:rPr>
          <w:rFonts w:ascii="arial" w:eastAsia="arial" w:hAnsi="arial" w:cs="arial"/>
          <w:color w:val="000000"/>
          <w:sz w:val="20"/>
          <w:lang w:val="en-US" w:eastAsia="en-US" w:bidi="ar-SA"/>
        </w:rPr>
        <w:t xml:space="preserve"> (C.A.). In dealing with the question of what was an "issue" within the meaning of Rule 57(15), Cumming J.A. referred to the following excerpt from p. 55 of his judgment in Worthington: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Some light on the question of what is an "issue" within the meaning of this rule was cast by Buckley L.J. in Howell v. Dering, [1915] 1 K.B. 54 (C.A.), when he said at p. 63, "It is a question which, however it is answered, does not in itself lead to relief". In the Sigurdson case, </w:t>
      </w:r>
      <w:hyperlink r:id="rId77" w:history="1">
        <w:r>
          <w:rPr>
            <w:rFonts w:ascii="arial" w:eastAsia="arial" w:hAnsi="arial" w:cs="arial"/>
            <w:i/>
            <w:color w:val="0077CC"/>
            <w:sz w:val="20"/>
            <w:u w:val="single"/>
            <w:shd w:val="clear" w:color="auto" w:fill="FFFFFF"/>
            <w:lang w:val="en-US" w:eastAsia="en-US" w:bidi="ar-SA"/>
          </w:rPr>
          <w:t>[1977] 6 W.W.R. 451</w:t>
        </w:r>
      </w:hyperlink>
      <w:r>
        <w:rPr>
          <w:rFonts w:ascii="arial" w:eastAsia="arial" w:hAnsi="arial" w:cs="arial"/>
          <w:color w:val="000000"/>
          <w:sz w:val="20"/>
          <w:lang w:val="en-US" w:eastAsia="en-US" w:bidi="ar-SA"/>
        </w:rPr>
        <w:t>, McKenzie J., after referring to the judgment of Buckley L.J. in Howell, said at p. 456 that "an issue" within the meaning of R. 57(8) [now R. 57(15)] "is that which, if decided in favour of the plaintiff, will in itself give a right to relief, or would, but for some other consideration, in itself give a right to relief". The significant words are "but for some other consideration".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cannot be successfully contended that in order to be entitled to the benefit of [R. 57(15)] the issue can only be one which in itself leads to relief either for the plaintiff or the defendant. The plaintiff's failure on the question of who was responsible for the missing orifice is the "other consideration" which deprived it of the relief it would otherwise have realized as a result of its success on the contract and lineshaft issues, the battles over which the defendants lost.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Cumming J.A. then referred to the decision of the B.C. Court of Appeal in British Columbia v. Worthington (Canada) Inc. </w:t>
      </w:r>
      <w:hyperlink r:id="rId78" w:history="1">
        <w:r>
          <w:rPr>
            <w:rFonts w:ascii="arial" w:eastAsia="arial" w:hAnsi="arial" w:cs="arial"/>
            <w:i/>
            <w:color w:val="0077CC"/>
            <w:sz w:val="20"/>
            <w:u w:val="single"/>
            <w:shd w:val="clear" w:color="auto" w:fill="FFFFFF"/>
            <w:lang w:val="en-US" w:eastAsia="en-US" w:bidi="ar-SA"/>
          </w:rPr>
          <w:t>(1988), 32 C.P.C. (2d) 166</w:t>
        </w:r>
      </w:hyperlink>
      <w:r>
        <w:rPr>
          <w:rFonts w:ascii="arial" w:eastAsia="arial" w:hAnsi="arial" w:cs="arial"/>
          <w:color w:val="000000"/>
          <w:sz w:val="20"/>
          <w:lang w:val="en-US" w:eastAsia="en-US" w:bidi="ar-SA"/>
        </w:rPr>
        <w:t xml:space="preserve"> (B.C.C.A.), where Hutcheon J.A. said at pp. 186-187: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think that under [R. 57(15)] the Court has full power to determine by whom the costs related to a particular issue are to be paid. The only restriction that I would impose on that general discretion is that found in Donald Campbell &amp; Co. v. Pollak, [1927] A.C. 732 (H.L.): the discretion must be exercised judicially, not arbitrarily or capriciously, and it cannot be exercised on grounds unconnected with the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that same judgment, Esson J.A. said at p. 188: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[R. 57(15)] is concerned with success on particular issues or parts of the proceeding, not with success in terms of the relief granted. For the sake of simplicity, I will generally ignore the words "part of the proceeding", but observe that that very broad and general term indicates that the rule is not intended to be applied only to issues in a narrow or technical sense.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second basic error in the appellants' proposition lies in the assertion that proof of "misconduct" is a condition precedent to making an order under the rule. Nothing in the language supports that assertion. The only condition precedent is that there has been mixed success on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Bailey, the Court of Appeal altered the order of the trial judge and, in the result, denied the plaintiff his costs of three days of trial. Mr. Justice Cumming said at paras. 35 and 36: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this case, the plaintiff succeeded on the issue of liability and recovered judgment substantially in excess of the amount paid into court and advanced. He may be said to have lost the battle he sought to fight on the ground which he chose, although he did recover under the head of lost earning capacity. His failure in this regard no doubt protracted the trial and he should bear the consequences of that, but no more.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trial judge has a discretion. That discretion is a judicial one and must be exercised in accordance with consistent principles.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the case at bar Mr. Spraggs was successful in a case where the client refused to acknowledge that any fees were owing. I found at trial that Mr. Spraggs was entitled to fees in connection with all three actions: the trial accounts and the two contingency fee account actions. There was mixed success, but there was success.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However, while the solicitor did succeed, the amount of his claim was reduced significantly, in large part because he was unsuccessful on certain discrete issues. Those issues were whether the contingency fee agreements were fair and reasonable, whether the solicitor under the contingency fee agreements was entitled to a percentage of the interest saved on the promissory note judgment, whether under the wills variation contingency agreement the solicitor was entitled to a percentage of possible revenues from the subject property, and whether the value of the home against which Mr. Spraggs was entitled to a contingent fee was, at the material time in 1991, worth in excess of $900,000, as Mr. Spraggs urged, or was more in the range of $300,000, as Mr. Lopushinsky urged. These were all issues injected in the litigation by Mr. Spraggs as part of his claim to recover the large fees that he was seeking.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issues of whether the agreements allowed for a percentage on revenues and interest were largely issues of contractual interpretation and, in themselves, were not time consuming. However the issues of whether the agreements were fair and reasonable and the valuation of the property were important and time-consuming issues on which Mr. Spraggs lost and, together with the contract construction issues, were largely the reason Mr. Spraggs failed to obtain a judgment approaching the amount of his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To succeed at trial Mr. Spraggs had to prove the services that he rendered, show the nature of the underlying litigation, and prove what a reasonable fee would be for the appeals if the agreements were declared unfair, or what a reasonable fee was on a quantum meruit basis. Mr. Spraggs was largely successful on these issues. He is entitled to the costs in connection with the trial other than on the issues where Mr. Lopushinsky succeeded.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Although Mr. Spraggs obtained a judgment in a case where the client was saying that he was entitled to nothing, I have concluded that under Rule 57(15) Mr. Lopushinsky should be entitled to costs in connection with the issues where he succeeded.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 will set out what I consider to be the appropriate order at the end of these reasons, after I have considered certain other matters.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As I earlier noted, the plaintiff made a double costs offer pursuant to Rule 37. Under Rule 37(23), if a plaintiff obtains a judgment for a greater amount than specified in the offer to settle, the plaintiff is entitled to costs assessed to the date the offer was delivered and to double costs assessed from that date. There is an overriding discretion to depart from that scheme [see Baart v. Kumar </w:t>
      </w:r>
      <w:hyperlink r:id="rId79" w:history="1">
        <w:r>
          <w:rPr>
            <w:rFonts w:ascii="arial" w:eastAsia="arial" w:hAnsi="arial" w:cs="arial"/>
            <w:i/>
            <w:color w:val="0077CC"/>
            <w:sz w:val="20"/>
            <w:u w:val="single"/>
            <w:shd w:val="clear" w:color="auto" w:fill="FFFFFF"/>
            <w:lang w:val="en-US" w:eastAsia="en-US" w:bidi="ar-SA"/>
          </w:rPr>
          <w:t>(1985), 66 B.C.L.R. 61</w:t>
        </w:r>
      </w:hyperlink>
      <w:r>
        <w:rPr>
          <w:rFonts w:ascii="arial" w:eastAsia="arial" w:hAnsi="arial" w:cs="arial"/>
          <w:color w:val="000000"/>
          <w:sz w:val="20"/>
          <w:lang w:val="en-US" w:eastAsia="en-US" w:bidi="ar-SA"/>
        </w:rPr>
        <w:t xml:space="preserve"> (C.A.)] which, according to the authorities, should not be exercised lightly. The claims that made up the so-called trial accounts, which included the "passing of accounts" account, took up significantly less time at trial than the contingency accounts. I think that it is appropriate that Mr. Spraggs obtain double costs with respect to the trial accounts in accordance with his successful offer to settle.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Mr. Lopushinsky argues that to the extent that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was relevant, he has already agreed to pay the costs resulting from his unsuccessful claim. Beyond that he says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should have no relevance to the costs issues that I must decide. I also understand him to argue that the fact that Mr. Spraggs had two counsel appearing for him should not be a burden he should bear. Mr. Weintraub, on behalf of Mr. Spraggs, says that there is an inherent conflict between a lawyer and his insurer when there is a fee action and a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at the same trial that makes it necessary for two counsel to be retained.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Even though Mr. Lopushinksy agreed to pay the costs in connection with his unsuccessful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Mr. Lopushinsky brought up many of the same issues again, particularly in defence of the trial accounts, and had to be answered by Mr. Weintraub. Therefore, in considering the extent of the issues on which Mr. Lopushinsky was successful, I think that I should consider the fact that, in trying to prove his entitlement to the fees, Mr. Spraggs had to again deal with many of the allegations that were in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 Weintraub argues that in exercising my discretion I should also consider Mr. Lopushinsky's conduct in the context of Rule 57(14). He says that there was a pattern of conduct which was calculated to occasion unnecessary costs and unnecessary delay in the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In his written argument Mr. Weintraub outlines numerous matters that occurred over the time that I was the case management judge that he says are relevant to this consideration. I accept that there was delay by Mr. Lopushinsky in completing discoveries, producing documents, and providing particulars; as well, there was delay in completing the trial within a reasonable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Mr. Weintraub also says that Mr. Lopushinsky intentionally sought to mislead the court, brought claims for collateral or improper purposes and failed to comply with court orders relating to discoveries and particulars of his damage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Mr. Lopushinsky appeared in person. Pre-trial and trial proceedings were not as simple and straightforward as when lawyers are engaged. These proceedings were particularly time consuming and it was difficult to move the case forward expeditiously. The relations between counsel and Mr. Lopushinsky were obviously strained.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Mr. Lopushinsky prepared extensively and conducted lengthy (in some circumstances far too lengthy) and repetitive cross-examinations. For example, he cross-examined Mr. Spraggs for about 10 days. While leeway must be given to the in-person litigant, in appropriate cases repetitive cross-examination may result in an award of costs against a litigant.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Mr. Lopushinsky was defending an action not brought in a timely way by Mr. Spraggs, a claim not supported by adequate records, a claim where records, which ought to have been produced, were produced shortly before trial, a claim dependent upon a contingency fee agreement ultimately ruled to be unfair, and a claim advanced for substantially more than the amount ultimately awarded. Although Mr. Lopushinsky's cross-examination unnecessarily extended the trial, while repetitive, it was not generally pointless; it occasionally hit the mark.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Moreover, in this very hard fought litigation, although Mr. Lopushinsky's cross-examinations went on far too long I did not find that Mr. Lopushinksy intentionally misled the court. Nor do I find that it has been shown that he commenced proceedings for improper or collateral purposes. I do not find that his conduct justifies an award against him other than some recognition in the costs order for the delay occasioned by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While I am mindful that the trial was lengthened by the cross-examination by Mr. Lopushinsky, it was also lengthened to some extent by Mr. Spraggs' poor recollection and inadequate records. Moreover, some of the delay in completing the trial in a reasonable time resulted from the late production by Mr. Spraggs of his files, a factor that I will also consider in exercising my discretion under this Rule.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Let me turn to the issue of special costs and increased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Mr. Weintraub says that his draft bill of costs at Scale 3 is $69,360 plus disbursements of $42,704. He points out that his fees billed to date are $304,950 plus disbursements of $22,936 for a total, including taxes, of $372,159, as of the end of May 2002. That does not include $16,000 of work in progress.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Mr. Lopushinsky contends that he has himself incurred what he refers to as court related expenses of $280,000, costs of $60,000 in connection with the unsuccessful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and costs of his time of just under $80,000. I make no comment on the appropriateness or accuracy of any of Mr. Lopushinsky's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What is the test for ordering special costs? Generally they are awarded when the conduct in the proceeding or the conduct giving rise to the cause of action may be described as scandalous, outrageous or reprehensible: Stiles v. British Columbia (Workers Compensation Board) </w:t>
      </w:r>
      <w:hyperlink r:id="rId80" w:history="1">
        <w:r>
          <w:rPr>
            <w:rFonts w:ascii="arial" w:eastAsia="arial" w:hAnsi="arial" w:cs="arial"/>
            <w:i/>
            <w:color w:val="0077CC"/>
            <w:sz w:val="20"/>
            <w:u w:val="single"/>
            <w:shd w:val="clear" w:color="auto" w:fill="FFFFFF"/>
            <w:lang w:val="en-US" w:eastAsia="en-US" w:bidi="ar-SA"/>
          </w:rPr>
          <w:t>(1989), 38 B.C.L.R. (2d) 307</w:t>
        </w:r>
      </w:hyperlink>
      <w:r>
        <w:rPr>
          <w:rFonts w:ascii="arial" w:eastAsia="arial" w:hAnsi="arial" w:cs="arial"/>
          <w:color w:val="000000"/>
          <w:sz w:val="20"/>
          <w:lang w:val="en-US" w:eastAsia="en-US" w:bidi="ar-SA"/>
        </w:rPr>
        <w:t xml:space="preserve"> (C.A.). Special costs may be awarded when the conduct is deserving of reproof or rebuke: Leung v. Leung </w:t>
      </w:r>
      <w:hyperlink r:id="rId81" w:history="1">
        <w:r>
          <w:rPr>
            <w:rFonts w:ascii="arial" w:eastAsia="arial" w:hAnsi="arial" w:cs="arial"/>
            <w:i/>
            <w:color w:val="0077CC"/>
            <w:sz w:val="20"/>
            <w:u w:val="single"/>
            <w:shd w:val="clear" w:color="auto" w:fill="FFFFFF"/>
            <w:lang w:val="en-US" w:eastAsia="en-US" w:bidi="ar-SA"/>
          </w:rPr>
          <w:t>(1993), 77 B.C.L.R. (2d) 314</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Both parties sought special costs. While the trial was lengthy, I do not see anything in the conduct of Mr. Lopushinsky or Mr. Spraggs that deserves the court's chastisement. I do not find "reprehensible conduct" on the part of either party which makes special costs appropriate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In terms of increased costs, although there is apparently a significant difference between ordinary costs and actual costs incurred by Mr. Spraggs I am not persuaded, in all of the circumstances, that ordinary costs would be an unjust result: Rieta v. North American Air Travel Insurance Agents Ltd. </w:t>
      </w:r>
      <w:hyperlink r:id="rId82" w:history="1">
        <w:r>
          <w:rPr>
            <w:rFonts w:ascii="arial" w:eastAsia="arial" w:hAnsi="arial" w:cs="arial"/>
            <w:i/>
            <w:color w:val="0077CC"/>
            <w:sz w:val="20"/>
            <w:u w:val="single"/>
            <w:shd w:val="clear" w:color="auto" w:fill="FFFFFF"/>
            <w:lang w:val="en-US" w:eastAsia="en-US" w:bidi="ar-SA"/>
          </w:rPr>
          <w:t>(1998), 52 B.C.L.R. (3d) 114</w:t>
        </w:r>
      </w:hyperlink>
      <w:r>
        <w:rPr>
          <w:rFonts w:ascii="arial" w:eastAsia="arial" w:hAnsi="arial" w:cs="arial"/>
          <w:color w:val="000000"/>
          <w:sz w:val="20"/>
          <w:lang w:val="en-US" w:eastAsia="en-US" w:bidi="ar-SA"/>
        </w:rPr>
        <w:t xml:space="preserve"> (C.A.). As Donald J.A. said in Rieta at para. 40: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better and current view is that a discrepancy is only a factor, and by itself not a decisive factor, in deciding a claim for increased costs. As has been observed in a number of the cases cited to us, a large disparity is often associated with some additional factor relating to the nature of the case or the conduct of the parties which usually provides an explanation for the disparity.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 have concluded that this is not an appropriate case to award either party increased costs. Part of the reason for the extensive trial, and the high costs incurred by Mr. Spraggs, was the very nature and extent of his fee claims. Since there was a substantial reduction I do not see that it is an appropriate case for increased costs. I should note that this application for costs was heard and I reserved on it before the legislative amendment removing the court's jurisdiction to grant increased costs. Although I find that I have jurisdiction to award increased costs by reason of s. 35 of the Interpretation Act, I would not exercise my discretion to award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 turn to the question of the scale of costs. Mr. Lopushinksy, when seeking costs, said that they should be awarded on scale 5. Mr. Weintaub says that the appropriate order of costs is scale 5 or scale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 think that this matter was of more than ordinary difficulty. It was lengthy, very hard fought and there were difficult issues concerning the historical valuation of property and the fairness of decade-old contingency agreements. I fix costs at scale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 direct that, for the purpose of double costs, the plaintiff is entitled to seven days of trial related to the trial accounts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 also direct that Mr. Spraggs receive 70% of his costs and Mr. Lopushinksy receive 30% of his costs. Mr. Spraggs' costs are to be determined on the notional basis that the trial took 32 days and Mr. Lopushinsky's based on the trial notionally taking 28 days. Those costs are to be set off against each other. In fixing this I have taken into consideration the delays caused by the late production of documents by Mr. Spraggs and the repetitive cross-examination and delays caused by Mr. Lopushinsky.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The remaining question is whether the defendant is liable to pay GST. No GST is payable in the event that all or substantially all of the legal services were performed prior to January 1, 1991. Section 341.1(1)(b) of the Excise Tax Act, </w:t>
      </w:r>
      <w:hyperlink r:id="rId83" w:history="1">
        <w:r>
          <w:rPr>
            <w:rFonts w:ascii="arial" w:eastAsia="arial" w:hAnsi="arial" w:cs="arial"/>
            <w:i/>
            <w:color w:val="0077CC"/>
            <w:sz w:val="20"/>
            <w:u w:val="single"/>
            <w:shd w:val="clear" w:color="auto" w:fill="FFFFFF"/>
            <w:lang w:val="en-US" w:eastAsia="en-US" w:bidi="ar-SA"/>
          </w:rPr>
          <w:t>R.S.C. 1985, c. E-15</w:t>
        </w:r>
      </w:hyperlink>
      <w:r>
        <w:rPr>
          <w:rFonts w:ascii="arial" w:eastAsia="arial" w:hAnsi="arial" w:cs="arial"/>
          <w:color w:val="000000"/>
          <w:sz w:val="20"/>
          <w:lang w:val="en-US" w:eastAsia="en-US" w:bidi="ar-SA"/>
        </w:rPr>
        <w:t xml:space="preserve"> says that:</w:t>
      </w:r>
      <w:r>
        <w:rPr>
          <w:rFonts w:ascii="arial" w:eastAsia="arial" w:hAnsi="arial" w:cs="arial"/>
          <w:sz w:val="20"/>
          <w:lang w:val="en-US" w:eastAsia="en-US" w:bidi="ar-SA"/>
        </w:rPr>
        <w:cr/>
      </w:r>
    </w:p>
    <w:p>
      <w:pPr>
        <w:numPr>
          <w:numId w:val="10"/>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No tax is payable in respect of the consideration for a supply of a legal service to the extent that the consideration relates to any part of the service that was performed before 1991 and, under the agreement for the supply, does not become due</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1"/>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until the completion or termination of the service provided by the supplier.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two accounts of Mr. Spraggs that are pertinent here are the January 21, 1992, promissory note contingency fee account and the January 21, 1992, wills variation contingency fee account. Mr. Weintraub says that the work performed prior to January 1991 would not be subject to GST but the work after January 1, 1991, would be subject to GST.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 think that I should attempt to determine the percentage of the work that was done prior to January 1, 1991 relating to those contingency fee accounts. Given that the appeal books and factums were prepared prior to January 1991, but the appeal was heard September 11 - 13, 1991, I direct that 30% of the work was done after January 1, 1991, and that percentage of the two contingency fee accounts is subject to GST. I agree with Mr. Weintraub that the appropriate declaration is that the formal order should provide that GST is payable on that basis and if there is any further amount required to be remitted, it shall be payable by Mr. Lopushinsky.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SIGURDSON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51" style="position:absolute;z-index:25186508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4"/>
          <w:headerReference w:type="default" r:id="rId85"/>
          <w:footerReference w:type="even" r:id="rId86"/>
          <w:footerReference w:type="default" r:id="rId87"/>
          <w:headerReference w:type="first" r:id="rId88"/>
          <w:footerReference w:type="first" r:id="rId8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0" w:history="1">
        <w:r>
          <w:rPr>
            <w:rFonts w:ascii="arial" w:eastAsia="arial" w:hAnsi="arial" w:cs="arial"/>
            <w:b/>
            <w:bCs/>
            <w:i/>
            <w:color w:val="0077CC"/>
            <w:kern w:val="32"/>
            <w:sz w:val="28"/>
            <w:szCs w:val="32"/>
            <w:u w:val="single"/>
            <w:shd w:val="clear" w:color="auto" w:fill="FFFFFF"/>
            <w:lang w:val="en-US" w:eastAsia="en-US" w:bidi="ar-SA"/>
          </w:rPr>
          <w:t>Strachan (Guardian ad litem of) v. Reynolds, [2004] B.C.J. No. 1418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Hood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8 - 12, 15 - 19, 22 - 25 and 29 -</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30, and October 1 - 2 and 6 - 7, and November 19 -</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21, and December 15 - 16, 2003, and January 13,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9,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C994119</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[2004] B.C.J. No. 1418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2004 BCSC 915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132 A.C.W.S. (3d) 589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[2004] B.C.T.C. 915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Travis Michael Strachan, an infant by his mother and Guardian Ad Litem, Karen Anne Strachan and the said Karen Anne Strachan, plaintiffs, and Dr. Margaret L. Reynolds, Dr. Owen I. Yoshida and Kelowna General Hospital,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(654 paras.)</w:t>
      </w:r>
    </w:p>
    <w:p>
      <w:pPr>
        <w:spacing w:line="24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[Editor's note: Supplementary reasons for judgment were released by the Court March 17, 2005. See [2005] B.C.J. No. 564.]</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43" w:name="Counsel_4"/>
      <w:bookmarkEnd w:id="43"/>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52" style="position:absolute;z-index:2516633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N.H. Smith, Q.C. and L.A. Wong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Dr. Reynolds and Dr. Yoshida: G. Khanna and R. Samtani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Kelowna General Hospital: R. Harper and E. Stanger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44" w:name="Judgment_4"/>
      <w:bookmarkEnd w:id="44"/>
      <w:r>
        <w:pict>
          <v:line id="_x0000_s1053" style="position:absolute;z-index:25171456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5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45" w:name="HOOD J."/>
            <w:bookmarkEnd w:id="45"/>
            <w:r>
              <w:rPr>
                <w:rFonts w:ascii="arial" w:eastAsia="arial" w:hAnsi="arial" w:cs="arial"/>
                <w:b/>
                <w:color w:val="000000"/>
                <w:sz w:val="30"/>
                <w:lang w:val="en-US" w:eastAsia="en-US" w:bidi="ar-SA"/>
              </w:rPr>
              <w:t>HOOD J.</w:t>
            </w:r>
          </w:p>
        </w:tc>
      </w:tr>
    </w:tbl>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color w:val="000000"/>
          <w:sz w:val="20"/>
          <w:lang w:val="en-US" w:eastAsia="en-US" w:bidi="ar-SA"/>
        </w:rPr>
        <w:t>TABLE OF CONTENTS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NATURE OF THE PROCEEDINGS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BACKGROUND LEADING TO THE FIRST ADMISSION TO HOSPITAL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SIGNS AND SYMPTOMS OF UTERINE RUPTURE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EVIDENCE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EVIDENCE OF KAREN ANNE STRACHAN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Cross-Examination By Ms. Khanna</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Rupturing Of The Membrane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Cross-Examination By Ms. Harper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EVIDENCE OF MICAHEL STRACHAN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Cross-Examination by Ms. Harper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EVIDENCE OF DR. M. REYNOLDS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Direct Evidence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Cross-Examination By Ms. Harper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Cross-Examination By Mr. Smith</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Rupturing Of The Membrane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EVIDENCE OF NURSE ALICE KINASH</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Direct Examination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Cross-Examination By Mr. Smith</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Re-Examination By Ms. Harper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Cross-Examination By Mr. Samtani</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EVIDENCE OF DR. G. DOERSAM</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Direct Evidence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Cross-Examination By Ms. Khanna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EVIDENCE OF DR. G. FEINSTADT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Cross-Examination By Mr. Samtani</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EVIDENCE OF NURSE MARY RADMONOVIC</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Cross-Examination By Ms. Harper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EVIDENCE OF DR. D.W.R. MCTAGGART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Cross-Examination By Mr. Smith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EVIDENCE OF DR. J. COOPER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Cross-Examination By Ms. Harper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Cross-Examination By Mr. Smith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EVIDENCE OF DR. K. WILLIAMS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Cross-Examination By Mr. Smith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EVIDENCE OF DR. S.P. HUDSON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Cross-Examination By Ms. Khanna</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Cross-Examination By Mr. Smith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EVIDENCE OF NURSE SUSAN GRIXTI</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Cross-Examination By Mr. Smith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ARGUMENT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SUBMISSION OF MR. SMITH - COUNSEL FOR THE PLAINTIFF</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Standard of Care - Appropriate Witnesses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Complaint of Constant Abdominal Pain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Other Symptoms of Uterine Rupture</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The Monitor Strips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Change of The Contraction Patterns</w:t>
      </w:r>
    </w:p>
    <w:p>
      <w:pPr>
        <w:spacing w:before="120" w:line="260" w:lineRule="atLeast"/>
        <w:ind w:left="1080"/>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Dr. Reynolds - The Telephone Call At 5:10 A.M.</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Consequences Of Dr. Reynolds' Failure To Think About Uterine Rupture, Or A Developing Uterine Rupture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At 5:10 a.m.</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Nurse Kinash - The Telephone Call Of 5:10 A.M.</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Dr. Reynolds' Attendance At 5:30 a.m.</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The Settling Of The Pain</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The Artificial Rupture Of The Membrane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Conclusion On Standard of Care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Causation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SUBMISSION OF MS. KHANNA - COUNSEL FOR DR. REYNOLDS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Evidence</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Dr. Reynolds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Failure To Contact An Obstetrician At 5:10 a.m.</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Failure To Contact An Obstetrician At 5:35 a.m.</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ARM</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Conclusion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Causation</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The Law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SUBMISSION OF MS. HARPER - COUNSEL FOR KELOWNA GENERAL HOSPITAL</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Liability</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Factual Background</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Legal Principles Applicable To Hospitals and</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Nursing Staff</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Analysis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The Expert Evidence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Timing Of The Call To Dr. Reynolds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Contraction Pattern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Failure To Have The Toco On After Rupture Of The Membrane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Fetal Heart Strips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SUMMARY AND DISPOSITION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Nurse Kinash</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Dr. Reynolds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DAMAGES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NATURE OF THE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This is a medical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case. The infant plaintiff, Travis Strachan, who is now five and a half years old, suffered catastrophic injuries during his birth on January 23, 1999. They are the result of a brain injury, brought on by lack of oxygen, as a result of uterine rupture occurring shortly before he was born in the Kelowna General Hospital (the "Hospital"). He will never be able to sit up, stand, walk or crawl. He cannot speak. His level of awareness, at best, is minimal. He must be fed through a tube into his stomach and he is profoundly disabled. He requires, and will continue to require, constant care. It is inevitable that his condition will deteriorate over his shortened life span, which was agreed to be ten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Travis and his mother, Karen Anne Strachan, seek damages for injuries they suffered from the defendants, Dr. Reynolds and the Hospital, whose care they were under at the time the injuries occurred. They say that the known risks of uterine rupture at the site of a previous caesarean section scar were known to Dr. Reynolds, and to the Hospital's Nurse-In-Charge, Nurse Kinash, and that there were clear warnings of the possibility that it might occur when Mrs. Strachan went into labour, which they negligently failed to recognize and respond to. They were negligent in the provision of care, treatment and professional service.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Dr. Reynolds and the Hospital say that the care and treatment provided to Mrs. Strachan and Travis was appropriate in the circumstances, and met the respective standards of care which they owed to Mrs. Strachan and Travis.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Dr. Yoshida was called as an adverse witness during the plaintiffs' case. The action against him was dismissed on an unopposed No-Evidence Motion, following the close of the plaintiffs' case. The liability of Dr. Reynolds, and of the Hospital for the conduct of Nurse Kinash, remain at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case was hard fought. It took 26 days. Much medical evidence and expert opinion, written and oral, was presented which was conflicting, and at times technical. Counsels' submissions, both oral and in writing, were lengthy, wide-ranging and very detailed.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Counsel for the plaintiffs complained that the submissions of the defendants have attempted to confuse and complicate the case with a mass of irrelevant or marginally relevant detail. Indeed, I have before me a great deal of seemingly irrelevant or marginally relevant evidence, and very detailed submissions, to which all counsel contributed to some degree, and which I have had to consider at great length following the suit of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While I have carefully considered the evidence and opinions of the various doctors (all of whom were found to be experts in their discipline) contained in the trial transcripts and in their reports, I will try not to deal with the evidence of each doctor in great detail, which is easier said than done, particularly the defence doctors. Generally speaking their evidence was, of course, somewhat the same, if not perhaps repetitive. There is little that has been said by the plaintiffs' doctors with which they 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 do propose to review some of the expert opinion evidence of the "lead" physicians on each side, especially that of Dr. Feinstadt and Dr. Doersam who were called on behalf of the plaintiffs. It will be seen that I prefer the evidence of Dr. Feinstadt and Dr. Doersam over the evidence of the defendants' expert doctors where there is a conflict.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 also propose to deal in more detail with what I consider to be the primary evidence, that of Mrs. Strachan, Mr. Strachan, Dr. Reynolds and Nurse Kinash. Dr. Reynolds and Nurse Kinash were the primary care providers to Mrs. Strachan and Travis at the material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 LEADING TO THE FIRST ADMISSION TO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Travis is the second child of Mr. and Mrs. Strachan. Their first child, Callum, was born by caesarean section in 1997. He was a "frank breach" baby. That is, in a position which would have made it extremely difficult to deliver, if not impossible. Dr. Yoshida advised Mrs. Strachan at that time to have a caesarean section, and she accepted his advice.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When she was pregnant with Travis she was under the care of Dr. Reynolds and Dr. Yoshida. At the time that she became pregnant with Travis it was her understanding that once a woman had a caesarean section delivery, all subsequent deliveries also had to be by caesarean section. However, she was told by Dr. Reynolds that "we could try a VBAC" and this was acceptable to her. She was also told that if the vaginal labour was not successful, caesarean section could be performed. This was also acceptable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It is common ground that when it was decided that Mrs. Strachan would have her second child by vaginal birth she became a VBAC (Vaginal Birth After Caesarean) patient. I will refer generally to Mr. Smith's Opening, and the commencement of his written submissions regarding VBAC labour, and the dangers or risks associated with it, as mainly background which is not in contention and which, in any event, I find to be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At one time, as recently as the 1970s, the general rule in obstetrics was that once a woman had a caesarean section delivery, all subsequent deliveries had to be by caesarean section. It was subsequently recognized that many women who previous had a caesarean section could safely deliver a subsequent child by vaginal delivery, and it became common for such women to be offered a "trial of labour".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terminology "trial of labour" recognizes the fact that for a variety of reasons the VBAC labour may not be successful. The patient is monitored (lets wait and see what happens) and if any problems are observed it would then become necessary to perform a second caesarean 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 also observe that Dr. Yoshida said the following on this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trial ... the use of the word "trial" implies that you are prepared to move to a c-section if necessary?</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I'm unsure who originated the term and what they meant by "trial". I would assume with any pregnancy, any labour, we would be prepared to move to intervene if there was a problem.</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But there is a higher likelihood of intervention in a VBAC patient</w:t>
            </w:r>
            <w:r>
              <w:rPr>
                <w:rFonts w:ascii="arial" w:eastAsia="arial" w:hAnsi="arial" w:cs="arial"/>
                <w:color w:val="000000"/>
                <w:sz w:val="18"/>
                <w:lang w:val="en-US" w:eastAsia="en-US" w:bidi="ar-SA"/>
              </w:rPr>
              <w: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Dr. Williams, a leading defence expert, agreed at trial that every VBAC labour begins with the recognition that it may, in fact, turn into a repeat caesarean section for various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most serious risk associated with the trial of labour in a VBAC patient is the risk of uterine rupture. The uterus is the abdominal organ containing the baby, the placenta and the umbilical cord, which connects the baby to the placenta. In a woman who has had a previous caesarean section, an external scar is left on her abdomen. She will also have an internal scar left on her uterus, which, of course, cannot be seen. It is the internal uterine scar that is at risk of coming apart in varying degrees, and of rupturing during labour.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process of the uterine scar coming apart is referred to as "dehiscence". Dehiscence can progress to a complete rupture of the uterine scar after which the baby may be expelled or "extruded" from the uterus into the abdominal cavity. This can cut off the supply of blood and, with the blood, oxygen to the baby. At times I may refer to the earlier stages of the rupture, up to the time that the baby is about to be extruded, as a developing uterine rupture.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 am satisfied that uterine rupture and extrusion occurred in this case. As the baby was extruded or expelled from the uterus, the umbilical cord was pulled which detached the placenta from the wall of the uterus. When the placenta was detached, or partially detached, the flow of blood to the baby was reduced or cut off, leading to brain damage. Having said this, I must observe that I have not foreclosed the possibility that the rupturing of the amniotic membrane by Dr. Reynolds did not at least speed up the final stages of the rupturing and detachment of the placenta.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 uterine rupture is a life threatening complication to both the mother and baby. In my view, although the risk is statistically small, the seriousness of the consequences make it a very significant risk that doctors and nurses caring for a VBAC patient must be aware of and on the watch for.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 will pause to note at this point that neither Nurse Kinash, nor Dr. Reynolds, kept any sort of "watch for" the possibility of uterine rupture. In fact they never directed their minds to that possibility at any time. Rather, they treated Mrs. Strachan as a normal low risk patient, like any other non-VBAC patient. In my view, this approach was a mistake, in that it probably channelled in the wrong direction their views of, and approach to, Mrs. Strachan's problems, and in particular, to the constant abdominal pain which she experienced for some 40 minutes prior to the concrete evidence of uterine rupture appearing.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At trial Dr. Yoshida put it this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If you have a VBAC patient, uterine rupture </w:t>
            </w:r>
            <w:r>
              <w:rPr>
                <w:rFonts w:ascii="arial" w:eastAsia="arial" w:hAnsi="arial" w:cs="arial"/>
                <w:color w:val="000000"/>
                <w:sz w:val="18"/>
                <w:u w:val="single"/>
                <w:lang w:val="en-US" w:eastAsia="en-US" w:bidi="ar-SA"/>
              </w:rPr>
              <w:t>is the worst thing that can happen</w:t>
            </w:r>
            <w:r>
              <w:rPr>
                <w:rFonts w:ascii="arial" w:eastAsia="arial" w:hAnsi="arial" w:cs="arial"/>
                <w:color w:val="000000"/>
                <w:sz w:val="18"/>
                <w:lang w:val="en-US" w:eastAsia="en-US" w:bidi="ar-SA"/>
              </w:rPr>
              <w: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would say so, 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And the risk of uterine rupture, although it is statistically small, </w:t>
            </w:r>
            <w:r>
              <w:rPr>
                <w:rFonts w:ascii="arial" w:eastAsia="arial" w:hAnsi="arial" w:cs="arial"/>
                <w:color w:val="000000"/>
                <w:sz w:val="18"/>
                <w:u w:val="single"/>
                <w:lang w:val="en-US" w:eastAsia="en-US" w:bidi="ar-SA"/>
              </w:rPr>
              <w:t>is well known to exist with VBAC patients; correct</w:t>
            </w:r>
            <w:r>
              <w:rPr>
                <w:rFonts w:ascii="arial" w:eastAsia="arial" w:hAnsi="arial" w:cs="arial"/>
                <w:color w:val="000000"/>
                <w:sz w:val="18"/>
                <w:lang w:val="en-US" w:eastAsia="en-US" w:bidi="ar-SA"/>
              </w:rPr>
              <w: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I'm sorry. Could you say that again.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risk of VBAC ... I'm sorry - the risk of uterine rupture is generally known as a risk with a VBAC patient?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Yes</w:t>
            </w:r>
            <w:r>
              <w:rPr>
                <w:rFonts w:ascii="arial" w:eastAsia="arial" w:hAnsi="arial" w:cs="arial"/>
                <w:color w:val="000000"/>
                <w:sz w:val="18"/>
                <w:lang w:val="en-US" w:eastAsia="en-US" w:bidi="ar-SA"/>
              </w:rPr>
              <w: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Alright. And, doctor, </w:t>
            </w:r>
            <w:r>
              <w:rPr>
                <w:rFonts w:ascii="arial" w:eastAsia="arial" w:hAnsi="arial" w:cs="arial"/>
                <w:color w:val="000000"/>
                <w:sz w:val="18"/>
                <w:u w:val="single"/>
                <w:lang w:val="en-US" w:eastAsia="en-US" w:bidi="ar-SA"/>
              </w:rPr>
              <w:t>because the consequences of a uterine rupture are so potentially catastrophic, it is important to identify and respond to any signs of possible uterine rupture as quickly as possible</w:t>
            </w:r>
            <w:r>
              <w:rPr>
                <w:rFonts w:ascii="arial" w:eastAsia="arial" w:hAnsi="arial" w:cs="arial"/>
                <w:color w:val="000000"/>
                <w:sz w:val="18"/>
                <w:lang w:val="en-US" w:eastAsia="en-US" w:bidi="ar-SA"/>
              </w:rPr>
              <w: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Dr. Reynolds, had this to say on the subject matter when cross-examined: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you knew that with any VBAC patient, there was a risk of uterine rupture?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you knew that that would be the worst thing that could happen in that setting; right?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 that setting, yes. There are other bad things that can happen in labour.</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Well, I understand. But when you have --- when you have a VBAC patient, </w:t>
            </w:r>
            <w:r>
              <w:rPr>
                <w:rFonts w:ascii="arial" w:eastAsia="arial" w:hAnsi="arial" w:cs="arial"/>
                <w:color w:val="000000"/>
                <w:sz w:val="18"/>
                <w:u w:val="single"/>
                <w:lang w:val="en-US" w:eastAsia="en-US" w:bidi="ar-SA"/>
              </w:rPr>
              <w:t>you know that the specific risk thats associated with that patient is a life-threatening catastrophe known as a uterine ... as a uterine rupture</w:t>
            </w:r>
            <w:r>
              <w:rPr>
                <w:rFonts w:ascii="arial" w:eastAsia="arial" w:hAnsi="arial" w:cs="arial"/>
                <w:color w:val="000000"/>
                <w:sz w:val="18"/>
                <w:lang w:val="en-US" w:eastAsia="en-US" w:bidi="ar-SA"/>
              </w:rPr>
              <w: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And you knew that was something that </w:t>
            </w:r>
            <w:r>
              <w:rPr>
                <w:rFonts w:ascii="arial" w:eastAsia="arial" w:hAnsi="arial" w:cs="arial"/>
                <w:color w:val="000000"/>
                <w:sz w:val="18"/>
                <w:u w:val="single"/>
                <w:lang w:val="en-US" w:eastAsia="en-US" w:bidi="ar-SA"/>
              </w:rPr>
              <w:t>could cause severe brain damage to the baby if its not dealt with promptly</w:t>
            </w:r>
            <w:r>
              <w:rPr>
                <w:rFonts w:ascii="arial" w:eastAsia="arial" w:hAnsi="arial" w:cs="arial"/>
                <w:color w:val="000000"/>
                <w:sz w:val="18"/>
                <w:lang w:val="en-US" w:eastAsia="en-US" w:bidi="ar-SA"/>
              </w:rPr>
              <w: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Dr. Cooper, an Obstetrician called by Dr. Reynolds, also said that "although the risk of uterine rupture is statistically small, the potentially tragic consequences mean it must be regarded as </w:t>
      </w:r>
      <w:r>
        <w:rPr>
          <w:rFonts w:ascii="arial" w:eastAsia="arial" w:hAnsi="arial" w:cs="arial"/>
          <w:color w:val="000000"/>
          <w:sz w:val="20"/>
          <w:u w:val="single"/>
          <w:lang w:val="en-US" w:eastAsia="en-US" w:bidi="ar-SA"/>
        </w:rPr>
        <w:t>a significant risk</w:t>
      </w:r>
      <w:r>
        <w:rPr>
          <w:rFonts w:ascii="arial" w:eastAsia="arial" w:hAnsi="arial" w:cs="arial"/>
          <w:color w:val="000000"/>
          <w:sz w:val="20"/>
          <w:lang w:val="en-US" w:eastAsia="en-US" w:bidi="ar-SA"/>
        </w:rPr>
        <w:t>".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Finally, on this point, for the moment, it is provided in the leading textbook on obstetrics, Williams Obstetrics, both the 19th and 20th editions, with which Dr. Reynolds was familiar: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Thus, a trial of labour following a previous caesarean section, especially of the low transverse variety, indeed would appear to be a safe option for the woman, </w:t>
      </w:r>
      <w:r>
        <w:rPr>
          <w:rFonts w:ascii="arial" w:eastAsia="arial" w:hAnsi="arial" w:cs="arial"/>
          <w:color w:val="000000"/>
          <w:sz w:val="20"/>
          <w:u w:val="single"/>
          <w:lang w:val="en-US" w:eastAsia="en-US" w:bidi="ar-SA"/>
        </w:rPr>
        <w:t>however, we agree with Pitkin, (1991) who warns that "safety is relative" and these women are neither normal nor low risk</w:t>
      </w:r>
      <w:r>
        <w:rPr>
          <w:rFonts w:ascii="arial" w:eastAsia="arial" w:hAnsi="arial" w:cs="arial"/>
          <w:color w:val="000000"/>
          <w:sz w:val="20"/>
          <w:lang w:val="en-US" w:eastAsia="en-US" w:bidi="ar-SA"/>
        </w:rPr>
        <w:t>.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It is seen that notwithstanding this statement in the leading textbook, both Dr. Reynolds and Nurse Kinash said that it was the practice at the Hospital to treat VBAC patients as normal low risk patients; and the evidence is that they in fact did so. Counsel referred me to the decision of Madam Justice Boyd in Guerineau v. Dr. Seger et al, </w:t>
      </w:r>
      <w:hyperlink r:id="rId91" w:history="1">
        <w:r>
          <w:rPr>
            <w:rFonts w:ascii="arial" w:eastAsia="arial" w:hAnsi="arial" w:cs="arial"/>
            <w:i/>
            <w:color w:val="0077CC"/>
            <w:sz w:val="20"/>
            <w:u w:val="single"/>
            <w:shd w:val="clear" w:color="auto" w:fill="FFFFFF"/>
            <w:lang w:val="en-US" w:eastAsia="en-US" w:bidi="ar-SA"/>
          </w:rPr>
          <w:t>[2001] B.C.J. No. 333</w:t>
        </w:r>
      </w:hyperlink>
      <w:r>
        <w:rPr>
          <w:rFonts w:ascii="arial" w:eastAsia="arial" w:hAnsi="arial" w:cs="arial"/>
          <w:color w:val="000000"/>
          <w:sz w:val="20"/>
          <w:lang w:val="en-US" w:eastAsia="en-US" w:bidi="ar-SA"/>
        </w:rPr>
        <w:t xml:space="preserve">, </w:t>
      </w:r>
      <w:hyperlink r:id="rId91" w:history="1">
        <w:r>
          <w:rPr>
            <w:rFonts w:ascii="arial" w:eastAsia="arial" w:hAnsi="arial" w:cs="arial"/>
            <w:i/>
            <w:color w:val="0077CC"/>
            <w:sz w:val="20"/>
            <w:u w:val="single"/>
            <w:shd w:val="clear" w:color="auto" w:fill="FFFFFF"/>
            <w:lang w:val="en-US" w:eastAsia="en-US" w:bidi="ar-SA"/>
          </w:rPr>
          <w:t>2001 BCSC 291</w:t>
        </w:r>
      </w:hyperlink>
      <w:r>
        <w:rPr>
          <w:rFonts w:ascii="arial" w:eastAsia="arial" w:hAnsi="arial" w:cs="arial"/>
          <w:color w:val="000000"/>
          <w:sz w:val="20"/>
          <w:lang w:val="en-US" w:eastAsia="en-US" w:bidi="ar-SA"/>
        </w:rPr>
        <w:t xml:space="preserve"> at para. 16, wherein Her Ladyship said that a hospital's similar policy of characterizing VBAC patients as normal labouring patients, "created an atmosphere of risk". I agree with Her Ladyship's conclusion, which is a matter of common sense, and which is probably demonstrated in the case at Bar.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SIGNS AND SYMPTOMS OF UTERINE RUPTURE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signs and symptoms of uterine rupture, or an impending rupture, are set out in Guidelines published by the British Columbia Reproductive Care Program, which is Exhibit 13 (the "Guidelines"). These Guidelines form part of a manual that was kept in the labour and delivery area of the Hospital. They were adopted by the Hospital as its own Guidelines for managing VBAC labours, and constituted the source of Dr. Reynolds' knowledge of the signs and symptoms of uterine rupture.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 will return to the subject matter, and to the source in a moment. At this point I will simply observe that one of the signs referred to in the Guidelines, and which I am satisfied is a most important and telling one, is "unusual abdominal/uterine pain", the essential feature and novelty of which are its occurrence between contractions. This was the evidence of Dr. Doersam, called for the plaintiffs, who said that while abdominal pain in labour is intermittent, in the context of a trial of labour, constant abdominal pain must be taken as a sign of womb separation.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 turn now to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EVIDENCE OF KAREN ANNE STRACHAN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Mrs. Strachan was asked on direct whether she was told what would happen if the attempt at VBAC was not successful. She said that Dr. Reynolds informed her that "if it was not successful - if need be - we could do a caesarean section". This was agreeable to her. She was also asked whether she was given any information about the risks of uterine rupture at the time and she said "no".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 pause here to note that I am satisfied that both Dr. Reynolds and Dr. Yoshida, in effect, told Mrs. Strachan that as a VBAC patient she would be monitored, and if any problems arose they would do a second caesarean section. It will be seen, in my opinion, that Mrs. Strachan was not properly monitored at the crucial time, and problems arose which should have been recognized and dealt with immediately by way of caesarean 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 note also that there is some evidence that Dr. Yoshida did inform Mrs. Strachan about the risks of uterine rupture, although it is unclear exactly what she was told, and it was probably said in the context of her being a low risk patient. In any event, as I understand it, failure to inform is not an issue; and I 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Mrs. Strachan said that she started contractions early on the morning of January 22, 1999. She recalled Dr. Reynolds saying to her that with the onset of contractions she should go to the hospital immediately, as it was possible that her second child could also go into a breach position. She went to the Hospital, was examined by Dr. Yoshida, told that she was in the early stages of labour, and sent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She returned to the Hospital on the evening of January 22, because at that time she was having stronger and more frequent contractions. They started to get uncomfortable and painful and so she thought it was time for her to go back in. Between contractions she felt uneasy and restless. She did not experience pain between her contractions on that evening.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On that occasion she was assessed by one of the admitting nurses, who felt that she was still not in the full on-set of labour. The nurse gave her some sleeping pills and indicated to her to use them if she felt tired and needed to sleep. She asked the nurse when she would know the right time to come back, and she was told, when the contractions were two minutes apart and the pain so severe that she could not stand it. She was told "go home and cuddle with your husband".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Mrs. Strachan testified that she used the sleeping pills which made her feel very groggy and out of sorts. She believes that she was still groggy when she returned to the Hospital for the final time, because she was having a hard time distinguishing time and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Hospital Records show that she returned to the Hospital in the early hours of January 23, 1999, at around 4:00 a.m. She thought that it was around 3:00 a.m. She went back to the Hospital because she was having severe pains. She was asked whether the pain was different in any way from the contraction pain she had been feeling earlier. She said that to the best of her recollection it was severe pain and "it was long and I don't even remember having contractions".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She was asked whether the pain was continuous as far as she could recall. She said: "As far as I can recall it seemed like endless pain", when she arrived at the Hospital. At the time she could not walk and her husband had to wheel her into the Hospital in a wheelchair.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According to the Hospital Records, the fetal heart rate was monitored electronically at 3:50 a.m. The first nurse's note was made at 4:00 a.m. It was then pointed out by counsel that the Records suggest that she had been in the Hospital for 45 minutes before the nurse recorded her constant abdominal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She was asked if the pain got worse after she arrived at the Hospital and she said that she did not recall.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She was asked whether she was able to specifically say where the pain was. She said that she knows that it was abdominal pain, and that at some point in time, she does not know when, it was lower abdominal pain on her right side. She recalls later being more relaxed after she was given Demerol. Demerol is a "pain killer" which is given to women in labour to take the "edge" off the pain being experienced. She is not sure of the state of her pain when Dr. Reynolds arrived. She was asked if she told Dr. Reynolds that the pain had gone away completely. She could not recall if the pain had subsided or whether it had just become relaxed because of the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She was asked whether, when she was in the Hospital on January 23, she ever felt distinct contractions and she said "no". She could not recall anything she told Dr. Reynolds about the pain. When asked what Dr. Reynolds did when she arrived, she said that from what she could recall she believes that Dr. Reynolds did an internal examination. She recalled as well that Dr. Reynolds ruptured the amniotic membrane and that she has a "slight recollection of her holding the cord or baby in and taking me to the 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She recalls getting out of the bed to go to the bathroom after Dr. Reynolds ruptured the membrane. She thought that at the time she was standing up and in, or coming out of, the bathroom "when I remembered saying I felt the baby turn or move - like a big swooping feeling".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She was asked if she had any recollection from the time she felt the baby move to the time she was taken to the OR. She said that the next thing she could recall was Dr. Reynolds trying to place an internal monitor on the baby and "I know she - that this time she realized something was wrong". She was asked how she knew this and she said she did not recall exactly what happened, or what was said, but that they did have her turn over with her "chest to the table" and her "buttocks up in the air". It was her husband who told her to do it, and she actually thought that he was a doctor yelling at her. She did not know that it was him. She said, referring to Dr. Reynolds, "I just remember she was holding it in", referring to Travis.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She was asked about her state of alertness on the morning of Travis' birth, given that she had taken some sleeping pills and had been given Demerol at the Hospital. She said "I just felt I didn't know what was happening around me. I could not recall a lot". And "I felt almost like I was in a drunken stupor".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Cross-Examination By Ms. Khanna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Mrs. Strachan agreed that in December 1998, Dr. Reynolds referred her to Dr. Yoshida to determine if she could have a VBAC. She wanted to have a vaginal birth if possible. She felt that a caesarean section was major surgery and wanted to avoid it if possible. She agreed that another reason for wanting the vaginal delivery was that she had an 18-month-old child at home, and it was difficult to recover from such surgery with a small baby at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She could not recall anything about her first appointment with Dr. Yoshida. She recalled a discussion with him, at some point, when he went through the trial of labour and advised her that if it was not progressing "we could look at going to a CS". She agreed that she was quite keen on the trial of labour.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At one point it was suggested to her that if she had been aware of the small risk of uterine rupture prior to delivery, she would still have opted for vaginal delivery. Her response was that she would have opted for a vaginal delivery, but she believes that if she had been made aware of the signs and symptoms of uterine rupture, she would have stopped the trial of labour and demanded to have a caesarean 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It was suggested to Mrs. Strachan that when they drove to the Hospital on the final occasion her contractions were strong, but there was a break between them. She said that she could not "actually recall contractions - just remembered the pain - I don't recall contractions".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Her evidence at discovery had been: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Alright. And how long is it from your home to the Hospital?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About a 20 minute drive.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you were still having regular contractions with a break between them, but they were strong?</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I just know they were strong. I don't know about ... I believe there were </w:t>
            </w:r>
            <w:r>
              <w:rPr>
                <w:rFonts w:ascii="arial" w:eastAsia="arial" w:hAnsi="arial" w:cs="arial"/>
                <w:color w:val="000000"/>
                <w:sz w:val="18"/>
                <w:u w:val="single"/>
                <w:lang w:val="en-US" w:eastAsia="en-US" w:bidi="ar-SA"/>
              </w:rPr>
              <w:t>some form of break in between&lt;/5u&gt;.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She agreed with the answers given and she then added "My Lord, I feel that over the years I think about this almost every day, and I felt just that I had constant pain and I don't recall having contractions in between". She was asked: "Are you suggesting that your memory is better now than at August 2000?" And she said: "in some areas, 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She agreed that she was driven to the Hospital about one and a half hours after she had taken the Serax medication which made her feel quite groggy. It was then put to her that she did not have a good recollection about the pain she felt before she went to the Hospital and she said "correct". She has little recollection of her admission to the Hospital, and she cannot recall whether the Nursing Admission Record information is accurate.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It was put to her that she could not say when the constant abdominal pain started and she said "thats correct". It was put to her also that she could not say where the pain was located "other than in your abdomen" and she said "yes". She added that she could recall that at one point in time it was in her lower right abdomen.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It was put to her that by the time Dr. Reynolds attended the pain had settled, and she said "I was more relaxed, yes". She had been given Demerol about 45 minutes earlier. It was put to her that she was able to speak easily with the doctor, that she was not rolling around on the bed in pain, and that she could recall the doctor actually putting her hand on her abdomen and seeing if the pain was ongoing. Her answer to all of these assertions was that she could not recall.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Rupturing Of The Membrane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It was put to Mrs. Strachan that Dr. Reynolds did not tell her that she would rupture the membrane to alleviate her pain; rather that it was to enable her to look at the fluid. She said that she did not recall that. She just remembered that it was a way to alleviate pain. She did not recall Dr. Reynolds saying that she was pleased that the fluid was clean. She was asked if she recalled that ten minutes after the rupture she wanted to get up and go to the bathroom. She said that may very well have been the case since she was up to the bathroom many times. She was able to walk to the bathroom, which was not very far.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It was pointed out that after she returned to bed the nurse had difficulty finding the baby's heart rate. She did not personally recall this; she recalled hearing this from other people.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She was asked if she knew that when she returned to the bed the nurse did get a fetal heart rate, she then felt the baby move, and then there was no heart rate. She said that she was coming back from the bathroom when she felt the baby move. She was asked if she recalled that it was after she got back to bed that Dr. Reynolds came back to the room. She could not recall. She was asked if it was fair to say that her recollection of what happened throughout that five to ten minute period was not very clear and she said "correct, the span of the whole evening is not very clear".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Cross-Examination By Ms. Harper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Counsel asked Mrs. Strachan if she took the sleeping medication given to her by the nurse when she went home. She believes that she took it around 12:30 or 1:00 a.m. but it did not help her sleep; it just made her groggy "every time I stood up because I wasn't comfortable in bed so I was walking around". She was able to cope with the contractions, but they were getting a lot stronger. This was her evidence at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She believes that they, she and her husband, were timing her contractions at that time. They were not two minutes apart as yet, "but I was getting to the point of not being able to stand the pain". She believes that they got to the Hospital at 3:00 a.m. Because of the pain she could not walk and her husband had to wheel her in a wheelchair. She reiterated her discovery evidence that she thought she was given "pain killers" as soon as she got to the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following questions and answers given at discovery were also put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Q.583:</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Alright. And then what happened?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I was having a lot of </w:t>
            </w:r>
            <w:r>
              <w:rPr>
                <w:rFonts w:ascii="arial" w:eastAsia="arial" w:hAnsi="arial" w:cs="arial"/>
                <w:color w:val="000000"/>
                <w:sz w:val="18"/>
                <w:u w:val="single"/>
                <w:lang w:val="en-US" w:eastAsia="en-US" w:bidi="ar-SA"/>
              </w:rPr>
              <w:t>severe pain that were non-stop</w:t>
            </w:r>
            <w:r>
              <w:rPr>
                <w:rFonts w:ascii="arial" w:eastAsia="arial" w:hAnsi="arial" w:cs="arial"/>
                <w:color w:val="000000"/>
                <w:sz w:val="18"/>
                <w:lang w:val="en-US" w:eastAsia="en-US" w:bidi="ar-SA"/>
              </w:rPr>
              <w: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Q.584:</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When did that start?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don't know an exact time of when it actually started. I know they did give me, I believe, a shot of Demerol or something. Then I do recall I sat in a chair there and tried to get comfortable.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Q.585:</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Where was the non-stop pain? Was it in a particular </w:t>
            </w:r>
            <w:r>
              <w:rPr>
                <w:rFonts w:ascii="arial" w:eastAsia="arial" w:hAnsi="arial" w:cs="arial"/>
                <w:color w:val="000000"/>
                <w:sz w:val="18"/>
                <w:u w:val="single"/>
                <w:lang w:val="en-US" w:eastAsia="en-US" w:bidi="ar-SA"/>
              </w:rPr>
              <w:t>location</w:t>
            </w:r>
            <w:r>
              <w:rPr>
                <w:rFonts w:ascii="arial" w:eastAsia="arial" w:hAnsi="arial" w:cs="arial"/>
                <w:color w:val="000000"/>
                <w:sz w:val="18"/>
                <w:lang w:val="en-US" w:eastAsia="en-US" w:bidi="ar-SA"/>
              </w:rPr>
              <w: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Just somewhere in my abdomen</w:t>
            </w:r>
            <w:r>
              <w:rPr>
                <w:rFonts w:ascii="arial" w:eastAsia="arial" w:hAnsi="arial" w:cs="arial"/>
                <w:color w:val="000000"/>
                <w:sz w:val="18"/>
                <w:lang w:val="en-US" w:eastAsia="en-US" w:bidi="ar-SA"/>
              </w:rPr>
              <w:t>. I don't know exactly where it was, whether it was in one spot or not.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Q.586:</w:t>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something -</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seem to recall it was but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Q.587:</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I take it your </w:t>
            </w:r>
            <w:r>
              <w:rPr>
                <w:rFonts w:ascii="arial" w:eastAsia="arial" w:hAnsi="arial" w:cs="arial"/>
                <w:color w:val="000000"/>
                <w:sz w:val="18"/>
                <w:u w:val="single"/>
                <w:lang w:val="en-US" w:eastAsia="en-US" w:bidi="ar-SA"/>
              </w:rPr>
              <w:t>recollection</w:t>
            </w:r>
            <w:r>
              <w:rPr>
                <w:rFonts w:ascii="arial" w:eastAsia="arial" w:hAnsi="arial" w:cs="arial"/>
                <w:color w:val="000000"/>
                <w:sz w:val="18"/>
                <w:lang w:val="en-US" w:eastAsia="en-US" w:bidi="ar-SA"/>
              </w:rPr>
              <w:t xml:space="preserve">, given that you were in a fair bit of pain, is somewhat </w:t>
            </w:r>
            <w:r>
              <w:rPr>
                <w:rFonts w:ascii="arial" w:eastAsia="arial" w:hAnsi="arial" w:cs="arial"/>
                <w:color w:val="000000"/>
                <w:sz w:val="18"/>
                <w:u w:val="single"/>
                <w:lang w:val="en-US" w:eastAsia="en-US" w:bidi="ar-SA"/>
              </w:rPr>
              <w:t>vague</w:t>
            </w:r>
            <w:r>
              <w:rPr>
                <w:rFonts w:ascii="arial" w:eastAsia="arial" w:hAnsi="arial" w:cs="arial"/>
                <w:color w:val="000000"/>
                <w:sz w:val="18"/>
                <w:lang w:val="en-US" w:eastAsia="en-US" w:bidi="ar-SA"/>
              </w:rPr>
              <w: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Yes it is</w:t>
            </w:r>
            <w:r>
              <w:rPr>
                <w:rFonts w:ascii="arial" w:eastAsia="arial" w:hAnsi="arial" w:cs="arial"/>
                <w:color w:val="000000"/>
                <w:sz w:val="18"/>
                <w:lang w:val="en-US" w:eastAsia="en-US" w:bidi="ar-SA"/>
              </w:rPr>
              <w:t>. I do recall things but I don't know the time of them or exactly what happened at that time.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Q.588:</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your memory for exact sequence and details is not particularly good?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Its a little bit off, 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Finally, she was referred to the following discovery questions and answers: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Q.596:</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The severe pain that you began to experience, was that constant pain</w:t>
            </w:r>
            <w:r>
              <w:rPr>
                <w:rFonts w:ascii="arial" w:eastAsia="arial" w:hAnsi="arial" w:cs="arial"/>
                <w:color w:val="000000"/>
                <w:sz w:val="18"/>
                <w:lang w:val="en-US" w:eastAsia="en-US" w:bidi="ar-SA"/>
              </w:rPr>
              <w: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Yes</w:t>
            </w:r>
            <w:r>
              <w:rPr>
                <w:rFonts w:ascii="arial" w:eastAsia="arial" w:hAnsi="arial" w:cs="arial"/>
                <w:color w:val="000000"/>
                <w:sz w:val="18"/>
                <w:lang w:val="en-US" w:eastAsia="en-US" w:bidi="ar-SA"/>
              </w:rPr>
              <w: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Q.597:</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Did it ever go away?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I can't recall if it actually had any breaks</w:t>
            </w:r>
            <w:r>
              <w:rPr>
                <w:rFonts w:ascii="arial" w:eastAsia="arial" w:hAnsi="arial" w:cs="arial"/>
                <w:color w:val="000000"/>
                <w:sz w:val="18"/>
                <w:lang w:val="en-US" w:eastAsia="en-US" w:bidi="ar-SA"/>
              </w:rPr>
              <w: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Q.598:</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Do you recall whether it seemed to get better at one point?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I don't recall when it got better or if it was getting better at any point.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It is seen that Mrs. Strachan has little clear recollection of the events which occurred on the morning in question, including their sequence. I found her to be an honest witness, striving to give her best recollections of what happened, but hampered by her memory of them. I am satisfied that her evidence as to her state of alertness on the morning in question, and the severe pain that she was experiencing, is fairly accurate.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She arrived at the Hospital shortly before 4:00 a.m., tired from lack of sleep, "groggy" from the sleeping pills she had taken, and she was having severe pains. She immediately requested an analgesic to reduce the pain. However, she was not given Demerol and Gravol until 4:45 a.m., at which time she was complaining about constant abdominal pain. The fact that the nurse recorded that she was "uncomfortable" when she was admitted does not take away from this in my view. She felt that she did not know what was happening around her. She could not "recall a lot". She felt almost like she was "in a drunken stupor".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 am also satisfied that some time prior to the 4:45 a.m. recording, she was able to discern, and convey to the nurse, that the severe pain she was experiencing was constant abdominal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EVIDENCE OF MICHAEL STRACHAN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Mr. Strachan confirmed that Mrs. Strachan took the sleeping medication around 1:00 a.m. He remembered her getting a little bit more groggy, and that she could not sleep. She was up most of the night. He was asked to describe her pain when they left the house. He said that she was in a lot of pain, even bumps on the road were affecting her. She was holding her abdomen and complaining about pain and "I remember helping her walk and assisting her". She never seemed to be free of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He said that when they arrived at the Hospital, her pain was such that she had a difficult time getting out of the vehicle; that he had to get a wheelchair and wheel her up to the case room. She was then in a lot of pain and tired and groggy from the sleeping pills. She seemed to be less aware the more the night went on. He was asked whether at the time of their arrival at the Hospital she appeared to have any breaks in the pain, and he said "not really".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He was asked if he became concerned or expressed any concern about her pain. He said yes, he recalled talking to the nurses on several occasions. He knew that his wife was in a lot of pain and that she had a high pain threshold. He could tell that she was in a lot of pain and she kept it in, although she told him about it when they were alone. He said that on quite a few occasions he expressed his worries that something might be wrong, and at one point asked the nurse if it was normal. He could not recall the nurse's reply, although he did recall that she gave Mrs. Strachan Demerol to alleviate the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Mr. Strachan recalled Dr. Reynolds arriving. He was very relieved when she arrived. Dr. Reynolds said she would try and get rid of the pain; that she would rupture the membrane and that might help. His wife was sitting in a chair at that time. He assisted her to the bed and less than five minutes later Dr. Reynolds ruptured the membrane. He was present. He was asked if he was in a position to hear any conversation. He said he just remembered Dr. Reynolds telling his wife what she was doing. She did it and left the room quite quickly. They asked either the doctor, or someone else, if she could get up and go to the bathroom, and they were told yes. So he helped her to do so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He helped her out of the bathroom and back to the chair. His impression was that her pain was the same. He remembered her sitting in the chair for five to ten minutes "and she said she had felt the baby shift positions". He does not think that the nurse was there at the time. He told the nurse that it had happened.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nurse then tried to put an external monitor on "to get the pulse of the baby I guess". He said "she couldn't hear or see the baby's pulse". He was pretty sure that she used her stethoscope to see if she could hear anything.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Shortly after that Dr. Reynolds came back into the room. He helped his wife back to bed because Dr. Reynolds said that she wanted to put a scalp monitor on the baby and find the baby's pulse. It was shortly after that he remembers Dr. Reynolds throwing the scalp monitor down on the floor and saying that something was not right. She asked the nurse to call OR. "That is when it turned into a big panic situation".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Cross-Examination By Ms. Harper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Mr. Strachan said that it was his first experience with a woman in labour and it was very upsetting to see his wife in pain. She had been up for about 24 hours, having had no sleep, when she arrived at the Hospital. They were met by a nurse at the case room. He does not recall any particular delay. They were attended to promptly.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He agreed that he said earlier that when they got to the Hospital his wife was groggy from the Serax (sleeping pills) and from lack of sleep. He agreed that if she provided inaccurate information to the nurse he would have offered more accurate information. He would have corrected any mistake in the information. He does not recall Dr. Reynolds seeing Mrs. Strachan before she was given the Demerol and Gravol.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He agreed that he had no recollection of the "times involved" and he does not exactly recall the sequence of events, but "over time I have put it together in my mind". He acknowledged making some notes surrounding Travis' birth within a week of him being born. He was under a tremendous amount of stress; not knowing if his son was going to live or die. He was also very angry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He was asked if he did his best to set out events and recall them. He said he had not seen his notes for three years; they were the best he could remember. They more or less referred to the fact that the baby was so large, and that Dr. Yoshida had not thought so, "and I thought something should have been done earlier that night, and wrote a few things about how something should have been done - I don't remember exactly what I wrote".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He was then shown two pages of his notes which he had written shortly after the event. Counsel's notation of the exchange in this regard is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Read and follow along with me - not intend to mark it just read from it - will give a copy to other counsel. 'At top of page having pretty harsh pain I could see and about 1:00 23rd she decided to take the off chance she could get some sleep, really a joke, just groggy, off to hospital for third time. Went to 5 centimetres and put on monitor again and examined her again. Dr. R. did another internal and she was 5 centimetres - wife getting very uncomfortable so she sat in chair - </w:t>
      </w:r>
      <w:r>
        <w:rPr>
          <w:rFonts w:ascii="arial" w:eastAsia="arial" w:hAnsi="arial" w:cs="arial"/>
          <w:color w:val="000000"/>
          <w:sz w:val="20"/>
          <w:u w:val="single"/>
          <w:lang w:val="en-US" w:eastAsia="en-US" w:bidi="ar-SA"/>
        </w:rPr>
        <w:t>severe contractions and non stop - pain wasn't the same and - pain - Demerol - normal for pain to be so suddenly changed into strong non stop contraction - she said yes</w:t>
      </w:r>
      <w:r>
        <w:rPr>
          <w:rFonts w:ascii="arial" w:eastAsia="arial" w:hAnsi="arial" w:cs="arial"/>
          <w:color w:val="000000"/>
          <w:sz w:val="20"/>
          <w:lang w:val="en-US" w:eastAsia="en-US" w:bidi="ar-SA"/>
        </w:rPr>
        <w:t xml:space="preserve"> - by this time my wife was so </w:t>
      </w:r>
      <w:r>
        <w:rPr>
          <w:rFonts w:ascii="arial" w:eastAsia="arial" w:hAnsi="arial" w:cs="arial"/>
          <w:color w:val="000000"/>
          <w:sz w:val="20"/>
          <w:u w:val="single"/>
          <w:lang w:val="en-US" w:eastAsia="en-US" w:bidi="ar-SA"/>
        </w:rPr>
        <w:t>out of it</w:t>
      </w:r>
      <w:r>
        <w:rPr>
          <w:rFonts w:ascii="arial" w:eastAsia="arial" w:hAnsi="arial" w:cs="arial"/>
          <w:color w:val="000000"/>
          <w:sz w:val="20"/>
          <w:lang w:val="en-US" w:eastAsia="en-US" w:bidi="ar-SA"/>
        </w:rPr>
        <w:t xml:space="preserve"> from combo of sleeping pills and D. </w:t>
      </w:r>
      <w:r>
        <w:rPr>
          <w:rFonts w:ascii="arial" w:eastAsia="arial" w:hAnsi="arial" w:cs="arial"/>
          <w:color w:val="000000"/>
          <w:sz w:val="20"/>
          <w:u w:val="single"/>
          <w:lang w:val="en-US" w:eastAsia="en-US" w:bidi="ar-SA"/>
        </w:rPr>
        <w:t>she did not know</w:t>
      </w:r>
      <w:r>
        <w:rPr>
          <w:rFonts w:ascii="arial" w:eastAsia="arial" w:hAnsi="arial" w:cs="arial"/>
          <w:color w:val="000000"/>
          <w:sz w:val="20"/>
          <w:lang w:val="en-US" w:eastAsia="en-US" w:bidi="ar-SA"/>
        </w:rPr>
        <w:t xml:space="preserve"> what was going on'. 'That was the sequence as you wrote them a week after delivery'.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 pause to observe that I did not find Mr. Strachan to be a sophisticated person. Much of his evidence was of his impressions during a very stressful and hectic morning. I accept his evidence generally. I observe that it corroborates to some extent Mrs. Strachan's evidence as to the severe pain she was undergoing, and the state of her alertness on arrival at the Hospital up to the time that Dr. Reynolds ruptured the amniotic membrane.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EVIDENCE OF DR. M. REYNOLDS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Direct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Dr. Reynolds graduated with a medical degree from the University of Calgary in 1979. She then had a two year residency at Calgary General Hospital, and was licensed to practice medicine in Alberta in 1981. She practiced in Edmonton between 1982 and 1990, but did not practice obstetrics. She moved to Kelowna in 1990 and worked as a locum until the fall of 1991, at which time she bought her own practice and has worked as a family physician since then.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For the three years prior to 1999, she believes that she delivered 75 to 100 babies each year. At discovery she estimated that 10 to 20 of her patients have been VBAC patients, but at trial she felt it was more like 10. She had not experienced any complications with these patients, and she had not had any previous experience with uterine rupture.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Dr. Reynolds was asked what her understanding was of the signs and symptoms of an impending uterine rupture in January 1999. She said that the most consistent one would be a non-reassuring fetal heart rate, "which includes bradycardia (a lower than normal range of heart rate) and deceleration (a significant drop in the heart rate from the baseline). She said the first and most significant sign was the non-reassuring heart rate, which I have concluded was misleading for her purposes, and will return to in a moment. Another one was "severe, unremitting lower abdominal pain" (her own definition which also may be misleading) and then vaginal haemorrhage bleeding which would include "tachycardia or a fast heart rate of the mother, and lower blood pressure".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She was then referred to her Antenatal Record pertaining to the subject pregnancy. She was asked what risk level did she consider Mrs. Strachan to be as a VBAC patient. She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VBAC patient is considered a low-risk patient in that its just considered a patient that its </w:t>
      </w:r>
      <w:r>
        <w:rPr>
          <w:rFonts w:ascii="arial" w:eastAsia="arial" w:hAnsi="arial" w:cs="arial"/>
          <w:color w:val="000000"/>
          <w:sz w:val="20"/>
          <w:u w:val="single"/>
          <w:lang w:val="en-US" w:eastAsia="en-US" w:bidi="ar-SA"/>
        </w:rPr>
        <w:t>quite acceptable for a general practitioner to manage prenatally</w:t>
      </w:r>
      <w:r>
        <w:rPr>
          <w:rFonts w:ascii="arial" w:eastAsia="arial" w:hAnsi="arial" w:cs="arial"/>
          <w:color w:val="000000"/>
          <w:sz w:val="20"/>
          <w:lang w:val="en-US" w:eastAsia="en-US" w:bidi="ar-SA"/>
        </w:rPr>
        <w:t>, and as well as to do the delivery.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At discovery she had described the VBAC patient as a "moderately high risk" patient. She was asked to explain the difference in her evidence. She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When I answered the question, it was basically </w:t>
      </w:r>
      <w:r>
        <w:rPr>
          <w:rFonts w:ascii="arial" w:eastAsia="arial" w:hAnsi="arial" w:cs="arial"/>
          <w:color w:val="000000"/>
          <w:sz w:val="20"/>
          <w:u w:val="single"/>
          <w:lang w:val="en-US" w:eastAsia="en-US" w:bidi="ar-SA"/>
        </w:rPr>
        <w:t>a retrospective look at this particular case</w:t>
      </w:r>
      <w:r>
        <w:rPr>
          <w:rFonts w:ascii="arial" w:eastAsia="arial" w:hAnsi="arial" w:cs="arial"/>
          <w:color w:val="000000"/>
          <w:sz w:val="20"/>
          <w:lang w:val="en-US" w:eastAsia="en-US" w:bidi="ar-SA"/>
        </w:rPr>
        <w:t>. Because there had been a very bad outcome, I was sort of thinking about this case as it must have had a high risk.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She went on to say that generally speaking VBACs are not considered high risk patients. A high risk patient is referred, early in the pregnancy, to an obstetrical specialist so that they can do the prenatal care and delivery.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Dr. Reynolds could not recall discussing VBAC specifically with Mrs. Strachan. However, she is sure that she followed her usual practice; that she told Mrs. Strachan about VBAC and later referred her to Dr. Yoshida to discuss the risks. She defined "trial of labour"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'trial of labour' is just basically allowing a woman to go into labour </w:t>
      </w:r>
      <w:r>
        <w:rPr>
          <w:rFonts w:ascii="arial" w:eastAsia="arial" w:hAnsi="arial" w:cs="arial"/>
          <w:color w:val="000000"/>
          <w:sz w:val="20"/>
          <w:u w:val="single"/>
          <w:lang w:val="en-US" w:eastAsia="en-US" w:bidi="ar-SA"/>
        </w:rPr>
        <w:t>and assessing how the labour is going</w:t>
      </w:r>
      <w:r>
        <w:rPr>
          <w:rFonts w:ascii="arial" w:eastAsia="arial" w:hAnsi="arial" w:cs="arial"/>
          <w:color w:val="000000"/>
          <w:sz w:val="20"/>
          <w:lang w:val="en-US" w:eastAsia="en-US" w:bidi="ar-SA"/>
        </w:rPr>
        <w:t xml:space="preserve">. The labour is assessed, you know, at </w:t>
      </w:r>
      <w:r>
        <w:rPr>
          <w:rFonts w:ascii="arial" w:eastAsia="arial" w:hAnsi="arial" w:cs="arial"/>
          <w:color w:val="000000"/>
          <w:sz w:val="20"/>
          <w:u w:val="single"/>
          <w:lang w:val="en-US" w:eastAsia="en-US" w:bidi="ar-SA"/>
        </w:rPr>
        <w:t>regular intervals</w:t>
      </w:r>
      <w:r>
        <w:rPr>
          <w:rFonts w:ascii="arial" w:eastAsia="arial" w:hAnsi="arial" w:cs="arial"/>
          <w:color w:val="000000"/>
          <w:sz w:val="20"/>
          <w:lang w:val="en-US" w:eastAsia="en-US" w:bidi="ar-SA"/>
        </w:rPr>
        <w:t xml:space="preserve"> during the course of labour. And a 'trial' is basically I'm just wanting to make sure that there is continued progress and we sort of take it a </w:t>
      </w:r>
      <w:r>
        <w:rPr>
          <w:rFonts w:ascii="arial" w:eastAsia="arial" w:hAnsi="arial" w:cs="arial"/>
          <w:color w:val="000000"/>
          <w:sz w:val="20"/>
          <w:u w:val="single"/>
          <w:lang w:val="en-US" w:eastAsia="en-US" w:bidi="ar-SA"/>
        </w:rPr>
        <w:t>step at a time</w:t>
      </w:r>
      <w:r>
        <w:rPr>
          <w:rFonts w:ascii="arial" w:eastAsia="arial" w:hAnsi="arial" w:cs="arial"/>
          <w:color w:val="000000"/>
          <w:sz w:val="20"/>
          <w:lang w:val="en-US" w:eastAsia="en-US" w:bidi="ar-SA"/>
        </w:rPr>
        <w:t xml:space="preserve"> to see if there is going to be a successful vaginal delivery.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major assessment they make is cervical dilatation. The cervix is closed, at zero centimetres, when labour starts. If labour is successful and progresses well it gradually dilates to 10 centimetres, which is considered full dilation. They also watch the quality of contractions, and monitor the fetal heart rate. The nurses also check the mother's temperature, blood pressure and heart 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Dr. Reynolds mentioned a number of concerns she had during the pregnancy, which are not relevant. Her "other" concern, and indeed the most important concern, was that Mrs. Strachan was a VBAC. Thus she sent Mrs. Strachan to Dr. Yoshida for assessment. She learned from Dr. Yoshida that Mrs. Strachan would be proceeding with a trial of labour, and that she was enthusiastic about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She heard from the Hospital that Mrs. Strachan had returned around 10:30 p.m. The nurse telephoned her and told her that she did not think that Mrs. Strachan was in active labour yet. She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 she told me that ... or ... my ... its hard to tell exactly what I can remember from any of these phone calls and what I've just read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guess what I'm trying to say is I ... I ... I've read these notes a lot. So I can't remember specifically what Carol said on the phone that night when she phoned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She was next referred to the telephone call which she received from Nurse Kinash at 5:10 a.m. on the same morning. The nurse asked her to come in to assess Mrs. Strachan, because the nurse was unsure about a pain that Mrs. Strachan had. She said that the nurse "did not sound particularly alarmed. She just sounded perplexed". She cannot recall whether the nurse said anything about the pain other than asking her to come in and assess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Dr. Reynolds was asked at this point if she had considered the possibility of a developing uterine rupture, or a uterine rupture when she received the telephone call. Her answer was: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was not something that was on the front of my mind. Mrs. Kinash had not expressed any great urgency about me coming in or giving me the impression at all that she was ... that this was </w:t>
      </w:r>
      <w:r>
        <w:rPr>
          <w:rFonts w:ascii="arial" w:eastAsia="arial" w:hAnsi="arial" w:cs="arial"/>
          <w:color w:val="000000"/>
          <w:sz w:val="20"/>
          <w:u w:val="single"/>
          <w:lang w:val="en-US" w:eastAsia="en-US" w:bidi="ar-SA"/>
        </w:rPr>
        <w:t>a bad pain</w:t>
      </w:r>
      <w:r>
        <w:rPr>
          <w:rFonts w:ascii="arial" w:eastAsia="arial" w:hAnsi="arial" w:cs="arial"/>
          <w:color w:val="000000"/>
          <w:sz w:val="20"/>
          <w:lang w:val="en-US" w:eastAsia="en-US" w:bidi="ar-SA"/>
        </w:rPr>
        <w:t xml:space="preserve">. </w:t>
      </w:r>
      <w:r>
        <w:rPr>
          <w:rFonts w:ascii="arial" w:eastAsia="arial" w:hAnsi="arial" w:cs="arial"/>
          <w:color w:val="000000"/>
          <w:sz w:val="20"/>
          <w:u w:val="single"/>
          <w:lang w:val="en-US" w:eastAsia="en-US" w:bidi="ar-SA"/>
        </w:rPr>
        <w:t>So I assumed that it was just different and not particularly severe</w:t>
      </w:r>
      <w:r>
        <w:rPr>
          <w:rFonts w:ascii="arial" w:eastAsia="arial" w:hAnsi="arial" w:cs="arial"/>
          <w:color w:val="000000"/>
          <w:sz w:val="20"/>
          <w:lang w:val="en-US" w:eastAsia="en-US" w:bidi="ar-SA"/>
        </w:rPr>
        <w:t>. I'm quite confident that Mrs. Kinash would have suggested to me herself to phone an obstetrician if she felt the pain was very bad or if there was anything worrisome about it.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 pause at this point to say that I am satisfied, and find from Dr. Reynolds' trial and discovery evidence, that she at no time ever considered the possibility that she might be dealing with a developing or potential uterine rupture. It never entered her mind. This was a serious oversight on her part. In my view, what she did or did not do on the morning in question must always be considered in light of that fact. I am also satisfied that had she alerted herself to the possibility of a developing uterine rupture, her response on learning of the constant abdominal pain would probably have been far different.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 observe also from Dr. Reynolds' evidence, particularly her discovery evidence, that she says, in effect, that the telephone call from Nurse Kinash was almost casual, that the nurse gave her little information about the pain and that she herself made no enquiry. The nurse "couldn't figure it out" and she wanted the doctor to explain it, nothing more.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Dr. Reynolds as well seems to place great store on the "tone" of the nurse's voice. The nurse was not excited or concerned about the pain, hence Dr. Reynolds was not concerned either. I observe that the pain, of course, was "bad" and should have been "worrisome" to both of them. I emphasise Dr. Reynolds' response, or perhaps lack of response, on being informed that her VBAC patient was experiencing constant abdominal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In my view, a prudent family doctor in such circumstances, at the least, would have considered in her mind: "is it possible that a uterine rupture may be developing?", and then taken immediate steps to deal with that possibility. Those steps, I am sure, would include telephoning the obstetrician on-call (a specialist), informing him of the situation, and arranging to meet him, or Dr. Yoshida at the Hospital with a surgical team. I am equally sure, in this context, that Hospital arrangements would have been made to take the safe course of an emergency caesarean section, absent an explanation for the constant abdominal pain, excluding developing uterine rupture as its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I observe that since Dr. Reynolds never did consider the possibility of a developing uterine rupture, she is left to try and explain her conduct by suggesting, in effect, that on arriving at the Hospital she conducted a thorough examination of Mrs. Strachan and did everything which a family physician, with knowledge of the constant abdominal pain, and directing her mind to the question of whether uterine rupture was possible, would have done. I found, in carefully reviewing her evidence, that her answers to many questions reflected this approach. However, it is a difficult task and it will be seen, that while there is no onus on Dr. Reynolds, she did not succeed in persuading me that in the known circumstances, and the information and facilities available to her, from the moment she received the telephone call she did everything which a prudent family doctor would have done in the circumstances. It will be seen that I am satisfied, on Dr. Reynolds' evidence alone, that she is guilty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which caused or contributed to Travis'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Dr. Reynolds said that she arrived at the Hospital around 5:30 a.m. When she went into the labour room, Mrs. Strachan and everyone seemed quite relaxed. She said that basically when she enters, in that situation, she asks "how is it going?" She says that she was told that the pain she had been called in about was gone. She said that she then proceeded with her assessment; that she routinely would have a look at the fetal heart rate. Her evidence was: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858"/>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Witness:</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So I proceeded with my assessment. And </w:t>
            </w:r>
            <w:r>
              <w:rPr>
                <w:rFonts w:ascii="arial" w:eastAsia="arial" w:hAnsi="arial" w:cs="arial"/>
                <w:color w:val="000000"/>
                <w:sz w:val="18"/>
                <w:u w:val="single"/>
                <w:lang w:val="en-US" w:eastAsia="en-US" w:bidi="ar-SA"/>
              </w:rPr>
              <w:t>routinely</w:t>
            </w:r>
            <w:r>
              <w:rPr>
                <w:rFonts w:ascii="arial" w:eastAsia="arial" w:hAnsi="arial" w:cs="arial"/>
                <w:color w:val="000000"/>
                <w:sz w:val="18"/>
                <w:lang w:val="en-US" w:eastAsia="en-US" w:bidi="ar-SA"/>
              </w:rPr>
              <w:t xml:space="preserve"> what I do is I have </w:t>
            </w:r>
            <w:r>
              <w:rPr>
                <w:rFonts w:ascii="arial" w:eastAsia="arial" w:hAnsi="arial" w:cs="arial"/>
                <w:color w:val="000000"/>
                <w:sz w:val="18"/>
                <w:u w:val="single"/>
                <w:lang w:val="en-US" w:eastAsia="en-US" w:bidi="ar-SA"/>
              </w:rPr>
              <w:t>a quick look at the fetal heart rate</w:t>
            </w:r>
            <w:r>
              <w:rPr>
                <w:rFonts w:ascii="arial" w:eastAsia="arial" w:hAnsi="arial" w:cs="arial"/>
                <w:color w:val="000000"/>
                <w:sz w:val="18"/>
                <w:lang w:val="en-US" w:eastAsia="en-US" w:bidi="ar-SA"/>
              </w:rPr>
              <w:t>. And the monitor strip was bare on it.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Court:</w:t>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had a quick look at ... .</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Witness:</w:t>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fetal heart monitor.</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Court:</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Do you mean the strip or the machine?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858"/>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Witness:</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The strip. Yeah, its ... its on the machine still </w:t>
            </w:r>
            <w:r>
              <w:rPr>
                <w:rFonts w:ascii="arial" w:eastAsia="arial" w:hAnsi="arial" w:cs="arial"/>
                <w:color w:val="000000"/>
                <w:sz w:val="18"/>
                <w:u w:val="single"/>
                <w:lang w:val="en-US" w:eastAsia="en-US" w:bidi="ar-SA"/>
              </w:rPr>
              <w:t>so I go over to the machine and look at it</w:t>
            </w:r>
            <w:r>
              <w:rPr>
                <w:rFonts w:ascii="arial" w:eastAsia="arial" w:hAnsi="arial" w:cs="arial"/>
                <w:color w:val="000000"/>
                <w:sz w:val="18"/>
                <w:lang w:val="en-US" w:eastAsia="en-US" w:bidi="ar-SA"/>
              </w:rPr>
              <w: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2"/>
        <w:gridCol w:w="1834"/>
        <w:gridCol w:w="236"/>
        <w:gridCol w:w="510"/>
        <w:gridCol w:w="236"/>
        <w:gridCol w:w="6009"/>
        <w:gridCol w:w="101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Ms. Khanna:</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do you recall what the fetal strip looked like in this case?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Witness:</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recall that it was reassuring. I recall that the fetal heart was not ... the strip was not running at the time that I arrived.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Dr. Reynolds then told me basically what she would have done. She would have done an abdominal examination because she said that she was called in about abdominal pain, which was not contraction pain. She would have asked Mrs. Strachan questions about where the pain had been. She then recalled that the abdomen was soft between contractions. She said also that there was no tenderness and "I guess that would have been it then".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I have some concerns with some of Dr. Reynolds' evidence in these areas. I note first that the evidence is that she arrived at the Hospital at around 5:30 a.m. The evidence is also that at 5:33 a.m. she ruptured the amniotic membrane. If these times are near accurate, then the lengthy examination which Dr. Reynolds suggests she would have conducted occurred over a very brief period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She then proceeded to a vaginal examination on which she found that the cervix was five centimetres dilated. She said that this was good progress because in one and a half hours Mrs. Strachan had gone from two centimetres to five centimetres dilation. There were also "bulging membranes" which meant that the amniotic fluid was still in the sac which surrounds the baby. She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And the baby ... the presenting part of the head I </w:t>
      </w:r>
      <w:r>
        <w:rPr>
          <w:rFonts w:ascii="arial" w:eastAsia="arial" w:hAnsi="arial" w:cs="arial"/>
          <w:color w:val="000000"/>
          <w:sz w:val="20"/>
          <w:u w:val="single"/>
          <w:lang w:val="en-US" w:eastAsia="en-US" w:bidi="ar-SA"/>
        </w:rPr>
        <w:t>estimated it</w:t>
      </w:r>
      <w:r>
        <w:rPr>
          <w:rFonts w:ascii="arial" w:eastAsia="arial" w:hAnsi="arial" w:cs="arial"/>
          <w:color w:val="000000"/>
          <w:sz w:val="20"/>
          <w:lang w:val="en-US" w:eastAsia="en-US" w:bidi="ar-SA"/>
        </w:rPr>
        <w:t xml:space="preserve"> being -2, but I tend to be quite conservative with that so its certainly possible that it was lower.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then suggested to Mrs. Strachan that we rupture her membrane. And the reason that I wanted to rupture the membrane was I wanted to see what the amniotic fluid was like. In particular I wanted to make sure there was no blood and no muconium.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She explained that 'muconium' is 'fetal poop' which babies do when they are under stress. She wanted to see if the baby had been under any stress so far during the labour. And she also wanted to see if there was any blood because that would have indicated to her that there could have been some bleeding inside the uterus if there was a placental abruption.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She defined "placental abruption"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thats basically when the placenta, which is attached to the uterine wall until after the delivery of the baby ... in this case what happens is the placenta starts to lift off, and there are a lot of blood vessels between the placenta ... placenta and the uterus. So when the placenta lifts off there is bleeding. And there could be bleeding into the amniotic fluid with that. And the other cause of blood in the amniotic fluid would have been a uterine rupture or dehiscence.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It is not clear to me why Dr. Reynolds wanted to see if there was muconium or blood in the amniotic fluid, or where placental abruption comes into the picture, given that she did not direct her mind to the possibility of a developing uterine rupture, and her evidence was that all was found to be well at the time. Artificial rupturing of the membrane ("ARM") is a procedure to speed up the birth.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The witness was asked to refer to her evidence again about the assessment of Mrs. Strachan's abdomen, which she does by pushing on the abdomen. She was then asked whether she assessed the area over the scar and she said yes "</w:t>
      </w:r>
      <w:r>
        <w:rPr>
          <w:rFonts w:ascii="arial" w:eastAsia="arial" w:hAnsi="arial" w:cs="arial"/>
          <w:color w:val="000000"/>
          <w:sz w:val="20"/>
          <w:u w:val="single"/>
          <w:lang w:val="en-US" w:eastAsia="en-US" w:bidi="ar-SA"/>
        </w:rPr>
        <w:t>I would have pushed</w:t>
      </w:r>
      <w:r>
        <w:rPr>
          <w:rFonts w:ascii="arial" w:eastAsia="arial" w:hAnsi="arial" w:cs="arial"/>
          <w:color w:val="000000"/>
          <w:sz w:val="20"/>
          <w:lang w:val="en-US" w:eastAsia="en-US" w:bidi="ar-SA"/>
        </w:rPr>
        <w:t xml:space="preserve"> on that to make sure there was no tenderness in the lower -- over the scar on the uterus", noting that she obviously could not see it. She said that if the scar had separated she would have expected it to be tender. It would feel different through the skin; "you would have a different perception".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When questioned further about what she would have felt if the scar tissue had separated, she said "Well, I've never felt that, so I don't know. But it is conceivable".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I pause to note again that I have had concerns with some of Dr. Reynolds' evidence in a number of areas. I have much difficulty with the proposition, perhaps more implied than expressed, that she did all the tests which she would have done had she had uterine rupture in her mind, and was attempting to exclude it as a cause of the constant abdominal pain. Her view at the time was that the pain was gone and she never considered that it might have been caused by uterine rupture. Again, it will be seen that I am concerned that Dr. Reynolds did not have sufficient time to conduct such an examination, and that she seemed to have been focused on the rupturing of the amniotic membrane.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I observe at this point, notwithstanding the opinions of the various distinguished doctors called on her behalf, that in my view Dr. Reynolds should not have been reassured in the known circumstances. A most serious symptom (constant abdominal pain) of possible uterine rupture developing or being in progress had been observed, and even if it had completely stopped, the possibility had not been excluded. In fact, Dr. Reynolds did not even direct her mind to it. And in my opinion, any argument that she was simply making a clinical or a professional judgment is met by that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She was then questioned about the risk of a "prolapsed cord" when the membrane is ruptured. This means that the umbilical cord comes down over the top of the baby's head basically, or comes out first, and is therefore trapped. There can also be some pressure on the cord. She agreed that there can be an increased risk of the cord prolapse when the head is not engaged. And she was asked whether there was anything that alleviated her concern in that regard. She said it was that although the head was not engaged, the cervix was very well applied to the baby's head. It would be very unlikely for there to be a prolapse in such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I also had some concerns with Dr. Reynolds having ruptured the membrane. As I have already said, I do not know why in fact she did this. Nor do I know what she hoped to learn at that late date which would be of assistance to her. According to her it was done when she was fully reassured, and all was well. Again, there is evidence before me that it was risky and that it should not have been done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Dr. Reynolds was asked what her assessment was. She said she was very reassured so she did not consider calling an obstetrician. The pain had gone. The fetal heart rate was reassuring. The amniotic fluid was clear. She had had really good progress. I observe that the first three factors on which she relied, and probably the fourth as well, should not have reassured her. The first did not exclude the possibility of a developing uterine rupture. The second, as I have said, was not reliable for her purposes, because the fetal heart rate may not be disturbed until immediately before the actual rupture occurs. The third told her nothing about the mother or the uterine scar, and the fourth was not positive in light of some apparent changes to be seen on the strips.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Dr. Reynolds pointed out that the pain which she said was gone was the pain that she had been called in to assess. I point out that she did not assess it. The most serious risk associated with VBAC labour is the risk of uterine rupture. That is what her assessment should have been concerned with. Could the possibility of the pain caused by uterine rupture be excluded? The possibility never entered her mind.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She was told, or assumed, that the pain had stopped, and, I am satisfied, that in fact she gave it no further consideration. When asked whether she told Mr. and Mrs. Strachan that she was performing the ARM to alleviate pain, she said "no", that she would not have done that. She was also asked if she would have changed her management of Mrs. Strachan's labour if she was experiencing constant upper-abdominal pain when Dr. Reynolds arrived. She said that she still would have gone ahead and done an assessment at that point. Whether or not she would have called an obstetrician would have depended upon the results of her assessment, that is, if there was something which was non-reassuring, "Its conceivable I would have called the obstetrician. She was asked and gave the following answer: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if --- if --- if the pain was constant when you arrived and it was severe, would you have called the obstetrician?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If ... it is was severe constant pain, I would have called an obstetrician.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Counsel then referred Dr. Reynolds to her Progress Notes which she says she made at the time. She had said earlier that she wrote the notes at approximately 5:45 a.m., while the note says 5:30 a.m. The reason that she put 5:30 a.m. down was that was when she arrived at the Hospital. She made her notes while Mrs. Strachan was in the bathroom. The Note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Contractions off and on, January 22. Became stronger at about 0200 on January 23.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(every 3 minutes)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Admission at approximately 0400 - cervix 3 cm. dilated.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Called in because episode of continuous abdominal pain approximately 0500.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(lasted? approximately 30 minutes). Abdomen palpitated as soft.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She said that the reference to 0500 was the time that she was called. It was actually 5:10 a.m. She arrived at the Hospital at approximately 5:30 a.m. The query or question mark in her Notes meant that she was not sure exactly how long it was.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The rest of the Progress Note is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Fetal heart rate reassuring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Abdominal pain settled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Contractions still every 3 minutes no significant abdominal tenderness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Cervix 5 centimetres dilated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Artificial rupture of membrane done - amniotic fluid clear.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Head still at station -2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Assessment/labour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plan/expectant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She said the reason she underlined the word "settled" was because she thought that it was quite significant.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She was asked what "plan/expectant" meant and she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Which just means that we're going to carry on with how things are doing. Things were progressing well. We don't have any reason to change at this particular point what we're doing. We're still, at this point, expectant that labour will be successful.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Dr. Reynolds next recalled being called by the nurse from the delivery room. She was asked to come in and put an internal scalp electrode on the baby, because the nurse was having difficulty getting the fetal heart rate with the external monitor.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Her next note is "Approximately 0600". It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Some difficulty getting fetal heart rate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abdominal monitor and monitor irritating (i.e., tender abdomen)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short sharp lower abdominal pain this time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Attempted to put scalp electrode 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Objective/cervix posterior - head very high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Cord and placenta in vagina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Fetal heart rate not detectable on monitor - cord pulsating at approximately 120 beats per minute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Jones and operating room called 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Hand was kept in vagina till surgery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(oxygen, knee-chest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It is to be noted that the first note referred to appears to be written in darker ink than the second note; also that there is a notation made on the page, apparently in darker ink, "written at 0800 (post-op)". Dr. Reynolds explained that her Note which starts out "0600 ...":</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Oh, that is a Note that was written at about: 8 o'clock </w:t>
      </w:r>
      <w:r>
        <w:rPr>
          <w:rFonts w:ascii="arial" w:eastAsia="arial" w:hAnsi="arial" w:cs="arial"/>
          <w:color w:val="000000"/>
          <w:sz w:val="20"/>
          <w:u w:val="single"/>
          <w:lang w:val="en-US" w:eastAsia="en-US" w:bidi="ar-SA"/>
        </w:rPr>
        <w:t>post-operatively</w:t>
      </w:r>
      <w:r>
        <w:rPr>
          <w:rFonts w:ascii="arial" w:eastAsia="arial" w:hAnsi="arial" w:cs="arial"/>
          <w:color w:val="000000"/>
          <w:sz w:val="20"/>
          <w:lang w:val="en-US" w:eastAsia="en-US" w:bidi="ar-SA"/>
        </w:rPr>
        <w:t xml:space="preserve">. And I didn't know for sure what time it was that I got called in, but this ... this note is referring to when I got called in to the ... </w:t>
      </w:r>
      <w:r>
        <w:rPr>
          <w:rFonts w:ascii="arial" w:eastAsia="arial" w:hAnsi="arial" w:cs="arial"/>
          <w:color w:val="000000"/>
          <w:sz w:val="20"/>
          <w:u w:val="single"/>
          <w:lang w:val="en-US" w:eastAsia="en-US" w:bidi="ar-SA"/>
        </w:rPr>
        <w:t>from nursing station to the delivery room</w:t>
      </w:r>
      <w:r>
        <w:rPr>
          <w:rFonts w:ascii="arial" w:eastAsia="arial" w:hAnsi="arial" w:cs="arial"/>
          <w:color w:val="000000"/>
          <w:sz w:val="20"/>
          <w:lang w:val="en-US" w:eastAsia="en-US" w:bidi="ar-SA"/>
        </w:rPr>
        <w:t>.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believe the witness meant that she was called into the delivery room around 6:00 a.m. and she made her Notes around 8:00 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It will be seen also that the line "short sharp lower abdominal pain this time" has been written in later, that is, after the lines above and below it were written in. The line above reads: "some difficulty getting fetal heart rate with abdominal monitor and monitor irritating (i.e., tender abdomen)". The line below reads: "attempted to put scalp electrode on". It is her evidence that the line was written in when she made her Notes at 8:00 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She was also asked what she meant by the line "short sharp lower abdominal pain this time" and she said "I mean the pain that I was observing on this occasion was much different than the way the pain had been described to me that I had been called in about earlier". That description, as I recall the evidence, was given to her by Nurse Kinash during the 5:10 a.m. telephone call as unusual pain", or unusual abdominal pain".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Cross-Examination By Ms. Harper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I turn now to the cross-examination of Dr. Reynolds by Ms. Harper, which I have called a friendly cross-examination" since there is no issue between Dr. Reynolds and the Hospital. It was put to Dr. Reynolds that as of 1999 doctors and nurses were encouraged to treat VBAC women as normal labouring women and she agreed. It was suggested to the witness that by her statement on direct that this case must have been moderately high risk because of the bad outcome, she was not suggesting that there was anything that could have been done to predict the outcome here, and she agreed.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She also agreed that a normal labour can be very distressing and alarming to both the labouring woman and her partner, particularly if they have not experienced it before; and that it is very common for a woman in early labour to ask for, and be given, Demerol for labour pains. She also agreed that when she said on direct that a non-reassuring fetal heart strip was one of the signs of uterine rupture, she meant non-reassuring in the context of a VBAC labour, that is, the presence of decelerations and bradycardia. She also agreed that prior to the events which occurred at 6:00 a.m. she did not see any of these signs on the strips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Dr. Reynolds also agreed that she had worked extensively with Nurse Kinash, and that she knew her to be a conscientious, reliable and experienced labour-delivery nurse, who was diligent in her reporting to her, that is to Dr. Reynolds.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Dr. Reynolds was then cross-examined with regard to what her expectations were as to routine information that would be given to her by nurses. In this regard her evidence was: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I take it its your practice, Dr. Reynolds, if that routine information is simply not forthcoming, you would ask for it?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I may either ask for it, or I would have assumed that it was normal</w:t>
            </w:r>
            <w:r>
              <w:rPr>
                <w:rFonts w:ascii="arial" w:eastAsia="arial" w:hAnsi="arial" w:cs="arial"/>
                <w:color w:val="000000"/>
                <w:sz w:val="18"/>
                <w:lang w:val="en-US" w:eastAsia="en-US" w:bidi="ar-SA"/>
              </w:rPr>
              <w: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But if it --- but the --- if there is a piece of </w:t>
            </w:r>
            <w:r>
              <w:rPr>
                <w:rFonts w:ascii="arial" w:eastAsia="arial" w:hAnsi="arial" w:cs="arial"/>
                <w:color w:val="000000"/>
                <w:sz w:val="18"/>
                <w:u w:val="single"/>
                <w:lang w:val="en-US" w:eastAsia="en-US" w:bidi="ar-SA"/>
              </w:rPr>
              <w:t>information that you always expect to be given</w:t>
            </w:r>
            <w:r>
              <w:rPr>
                <w:rFonts w:ascii="arial" w:eastAsia="arial" w:hAnsi="arial" w:cs="arial"/>
                <w:color w:val="000000"/>
                <w:sz w:val="18"/>
                <w:lang w:val="en-US" w:eastAsia="en-US" w:bidi="ar-SA"/>
              </w:rPr>
              <w:t xml:space="preserve"> and are not given, you'd ask for it?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would think so, 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Just turning for a moment Dr. Reynolds to the issue of looking at fetal heart monitor strips.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M'mm - hmm.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You'll agree with me that in interpreting the fetal heart rate on the strips, one has to look at both the fetal heart rate and the toco transducer, which shows the contractions, to interpret the strip?</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Its considered appropriate to have both of them going.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She then went on to say that in terms of her normal practice, she normally would look at the fetal heart strips that had been done prior to her arrival. She said that is what she would have done. She also agreed that she (actually) found the fetal heart tracings that she reviewed were reassuring.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She also agreed that during telephone conversations with nurses who call her about a concern, and the nurse is not sure about the concern, "your normal practice would be to ask some questions to see if you can elicit a clearer picture?" She said that that would be her normal practice, and that she likely did ask Nurse Kinash some questions.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I observe that earlier, at discovery and at trial, Dr. Reynolds suggested that her conversation with Nurse Kinash was very brief. She did not think that she had been told anything other than the fact that the pain complained of was "unusual pain". She also maintained that Nurse Kinash did not really sound concerned at all. Her evidence now is that she would have questioned Nurse Kinash and obtained "the full picture", such as, how long the pain had been going on, its location and severity and so on. Important information which she now cannot recall, and which she never did record. I do not accept this "usual practice" evidence. It is contrary to her discovery evidence, her other trial evidence, the evidence of Nurse Kinash, and her own Record contained in her Progress Notes. There she says: "called in because of episode of continuous abdominal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Dr. Reynolds was also questioned with regard to Mrs. Strachan's state of consciousness at the material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Did she appear groggy, sedated or stuporous to you when you saw her at 0530 hours?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Certainly not stuporous</w:t>
            </w:r>
            <w:r>
              <w:rPr>
                <w:rFonts w:ascii="arial" w:eastAsia="arial" w:hAnsi="arial" w:cs="arial"/>
                <w:color w:val="000000"/>
                <w:sz w:val="18"/>
                <w:lang w:val="en-US" w:eastAsia="en-US" w:bidi="ar-SA"/>
              </w:rPr>
              <w:t xml:space="preserve">. She, between contractions, </w:t>
            </w:r>
            <w:r>
              <w:rPr>
                <w:rFonts w:ascii="arial" w:eastAsia="arial" w:hAnsi="arial" w:cs="arial"/>
                <w:color w:val="000000"/>
                <w:sz w:val="18"/>
                <w:u w:val="single"/>
                <w:lang w:val="en-US" w:eastAsia="en-US" w:bidi="ar-SA"/>
              </w:rPr>
              <w:t>seemed somewhat more relaxed more relaxed, which would be expected from the Demerol</w:t>
            </w:r>
            <w:r>
              <w:rPr>
                <w:rFonts w:ascii="arial" w:eastAsia="arial" w:hAnsi="arial" w:cs="arial"/>
                <w:color w:val="000000"/>
                <w:sz w:val="18"/>
                <w:lang w:val="en-US" w:eastAsia="en-US" w:bidi="ar-SA"/>
              </w:rPr>
              <w:t>. She had no trouble speaking to me and making sense. So there was a minimal degree of sedation, I guess is what I'm going to say, from the Demerol. (Emphasis added).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Dr. Reynolds was next returned to her Note for 5:30 a.m. in her Progress Note, which is Exhibit 12. She acknowledged that it was her evidence that the Note was actually made after she left the patient's room at about 5:45 a.m. She agreed that it reflects observations of the patient from the time she arrived, encompassing the period up to 5:45 a.m. She was then pressed for details as to her knowledge, for example: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you wouldn't have noted contractions still 'every 3 minutes' unless that was still the case when you left the patient?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Well, </w:t>
            </w:r>
            <w:r>
              <w:rPr>
                <w:rFonts w:ascii="arial" w:eastAsia="arial" w:hAnsi="arial" w:cs="arial"/>
                <w:color w:val="000000"/>
                <w:sz w:val="18"/>
                <w:u w:val="single"/>
                <w:lang w:val="en-US" w:eastAsia="en-US" w:bidi="ar-SA"/>
              </w:rPr>
              <w:t>it was my</w:t>
            </w:r>
            <w:r>
              <w:rPr>
                <w:rFonts w:ascii="arial" w:eastAsia="arial" w:hAnsi="arial" w:cs="arial"/>
                <w:color w:val="000000"/>
                <w:sz w:val="18"/>
                <w:lang w:val="en-US" w:eastAsia="en-US" w:bidi="ar-SA"/>
              </w:rPr>
              <w:t xml:space="preserve"> impression that they were regular and occurring that often.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 and you wouldn't have written that they were occurring that often if that had changed while you were with the patient?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not if it had changed.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She also gave the following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 I --- I want to turn to the issue of the artificial rupture of the membranes that you did.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I understand that it is --- I'll just --- you will agree with me that it wouldn't be unusual to you to do an artificial rupture of the membranes in a labouring woman for --- for various reasons?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Its not an unusual thing to do, no.</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Quite common?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Very common, 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take it that it is also not unusual for you to do that procedure, the artificial rupture of the membrane, at a station of -2, assuming the head is well applied to the cervix?</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Its not unusual for me to do it, 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went on to say that the primary thing is that the head is well applied to the cervix.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I took her to be saying that she recorded important events. I did not take her to be saying that it would not be unusual to do an artificial rupture of the membrane of a labouring VBAC patient with symptoms associated with a developing uterine rupture.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Dr. Reynolds was then questioned about what questions she actually asked of Mrs. Strachan, after she said that it was her normal practice relating to information that she would have obtained from the patient about abdominal pain, to ask how long it had been going on, its location and its severity, and so on. Her evidence was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I take it that you would follow that normal practice when assessing a patient when you were present, for abdominal pain?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Doctor, my note of --- of what Ms. Khanna asked you in chief about this is not clear. You asked Mrs. Strachan these questions when you attended?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7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don't recall a phone conversation where I asked those questions.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When it was explained that she was not being questioned about the telephone conversation, but that it was when she was present with the patient after she came into the Hospital, the question was repeated: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Do you remember asking Mrs. Strachan those questions?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Her answer was: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I remember asking her questions about the abdominal pain</w:t>
            </w:r>
            <w:r>
              <w:rPr>
                <w:rFonts w:ascii="arial" w:eastAsia="arial" w:hAnsi="arial" w:cs="arial"/>
                <w:color w:val="000000"/>
                <w:sz w:val="18"/>
                <w:lang w:val="en-US" w:eastAsia="en-US" w:bidi="ar-SA"/>
              </w:rPr>
              <w:t>, Mrs. Strachan. I asked Mrs. Strachan, the patient, when I came in to see her about the pain.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Court:</w:t>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But its not your question, is it?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Ms. Harper:</w:t>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 is my question.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Court:</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you say you remember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858"/>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Witness:</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don't remember the phone call, but I, when I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Court:</w:t>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no, no.</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Witness:</w:t>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Court:</w:t>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Counsels not asking about the phone call.</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Witness:</w:t>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I know.</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Court:</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Are you?</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858"/>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Ms. Harper:</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I'm not talking about the phone call. I'm talking about, we're talking about --</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Court:</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You're now telling me that you remember asking these questions, these questions of Mrs. Strachan when you were examining her, is that what you are saying?</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Witness:</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When I went in to see Mrs. Strachan, I </w:t>
            </w:r>
            <w:r>
              <w:rPr>
                <w:rFonts w:ascii="arial" w:eastAsia="arial" w:hAnsi="arial" w:cs="arial"/>
                <w:color w:val="000000"/>
                <w:sz w:val="18"/>
                <w:u w:val="single"/>
                <w:lang w:val="en-US" w:eastAsia="en-US" w:bidi="ar-SA"/>
              </w:rPr>
              <w:t>would have asked her</w:t>
            </w:r>
            <w:r>
              <w:rPr>
                <w:rFonts w:ascii="arial" w:eastAsia="arial" w:hAnsi="arial" w:cs="arial"/>
                <w:color w:val="000000"/>
                <w:sz w:val="18"/>
                <w:lang w:val="en-US" w:eastAsia="en-US" w:bidi="ar-SA"/>
              </w:rPr>
              <w:t xml:space="preserve"> about the abdominal pain.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Court:</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No, no. </w:t>
            </w:r>
            <w:r>
              <w:rPr>
                <w:rFonts w:ascii="arial" w:eastAsia="arial" w:hAnsi="arial" w:cs="arial"/>
                <w:color w:val="000000"/>
                <w:sz w:val="18"/>
                <w:u w:val="single"/>
                <w:lang w:val="en-US" w:eastAsia="en-US" w:bidi="ar-SA"/>
              </w:rPr>
              <w:t>Its not "would have."</w:t>
            </w:r>
            <w:r>
              <w:rPr>
                <w:rFonts w:ascii="arial" w:eastAsia="arial" w:hAnsi="arial" w:cs="arial"/>
                <w:color w:val="000000"/>
                <w:sz w:val="18"/>
                <w:lang w:val="en-US" w:eastAsia="en-US" w:bidi="ar-SA"/>
              </w:rPr>
              <w:t xml:space="preserve"> Counsel is asking you did you ask the questions? Do I have that right?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Ms. Harper:</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Question thats what I'm asking. Do you remember asking her these questions.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Witness:</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I can't remember that exactly, no</w:t>
            </w:r>
            <w:r>
              <w:rPr>
                <w:rFonts w:ascii="arial" w:eastAsia="arial" w:hAnsi="arial" w:cs="arial"/>
                <w:color w:val="000000"/>
                <w:sz w:val="18"/>
                <w:lang w:val="en-US" w:eastAsia="en-US" w:bidi="ar-SA"/>
              </w:rPr>
              <w: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As in other areas, I express concern with the evidence led from Dr. Reynolds in this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Counsel then went over the questioning in this area and Dr. Reynolds' normal practice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You're --- you're normal practice would have been to ask the patient when you attended, about ...</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That would have been my normal practice, and </w:t>
            </w:r>
            <w:r>
              <w:rPr>
                <w:rFonts w:ascii="arial" w:eastAsia="arial" w:hAnsi="arial" w:cs="arial"/>
                <w:color w:val="000000"/>
                <w:sz w:val="18"/>
                <w:u w:val="single"/>
                <w:lang w:val="en-US" w:eastAsia="en-US" w:bidi="ar-SA"/>
              </w:rPr>
              <w:t>I must have asked her something about it</w:t>
            </w:r>
            <w:r>
              <w:rPr>
                <w:rFonts w:ascii="arial" w:eastAsia="arial" w:hAnsi="arial" w:cs="arial"/>
                <w:color w:val="000000"/>
                <w:sz w:val="18"/>
                <w:lang w:val="en-US" w:eastAsia="en-US" w:bidi="ar-SA"/>
              </w:rPr>
              <w:t xml:space="preserve">. I've got some information about it, the fact that the pain had settled, in my Notes. </w:t>
            </w:r>
            <w:r>
              <w:rPr>
                <w:rFonts w:ascii="arial" w:eastAsia="arial" w:hAnsi="arial" w:cs="arial"/>
                <w:color w:val="000000"/>
                <w:sz w:val="18"/>
                <w:u w:val="single"/>
                <w:lang w:val="en-US" w:eastAsia="en-US" w:bidi="ar-SA"/>
              </w:rPr>
              <w:t>So we must have talked about</w:t>
            </w:r>
            <w:r>
              <w:rPr>
                <w:rFonts w:ascii="arial" w:eastAsia="arial" w:hAnsi="arial" w:cs="arial"/>
                <w:color w:val="000000"/>
                <w:sz w:val="18"/>
                <w:lang w:val="en-US" w:eastAsia="en-US" w:bidi="ar-SA"/>
              </w:rPr>
              <w: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you're talking about Exhibit 12, Dr. Reynolds?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 the Note is that the episode ... there was an episode of continuous abdominal pain which lasted about 30 minutes;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thats, as I understand it then, information that you think you got from Mrs. Strachan?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I may have gotten it from Mrs. Strachan. I was also aware that the pain had started about a quarter to five</w:t>
            </w:r>
            <w:r>
              <w:rPr>
                <w:rFonts w:ascii="arial" w:eastAsia="arial" w:hAnsi="arial" w:cs="arial"/>
                <w:color w:val="000000"/>
                <w:sz w:val="18"/>
                <w:lang w:val="en-US" w:eastAsia="en-US" w:bidi="ar-SA"/>
              </w:rPr>
              <w:t>. One in that situation is getting information from a lot of different places. (Emphasis added).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And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858"/>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Witness:</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Theres a lot of sources of information. There is the nurse, the patient. There was notes written on the strip. I can't recall specifically who I got the information from. Mrs. Strachan, though, did tell me that the pain that she had been having --- when I arrived she told me that the pain was gone, not the contraction pain but the pain that was different. (Emphasis added).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She was then asked about her evidence just given, that she understood that the pain had started at about 4:45 a.m. She was asked whether that was something she recalled being told during the telephone call, or was it something she saw in the notes in the chart? Her answer was that in all honesty she could not remember whether she heard it on the telephone or not. The cross-examination continued: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 and the next part of the question was whether thats something you think based on reading the chart is hindsight and the nursing notes?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Based on my Notes that it lasted approximately 30 minutes, it was certainly something that I must have been aware of on that day.</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Dr. Reynolds, </w:t>
            </w:r>
            <w:r>
              <w:rPr>
                <w:rFonts w:ascii="arial" w:eastAsia="arial" w:hAnsi="arial" w:cs="arial"/>
                <w:color w:val="000000"/>
                <w:sz w:val="18"/>
                <w:u w:val="single"/>
                <w:lang w:val="en-US" w:eastAsia="en-US" w:bidi="ar-SA"/>
              </w:rPr>
              <w:t>are there a number of possible causes of complaint of continuous abdominal pain in a labouring woman</w:t>
            </w:r>
            <w:r>
              <w:rPr>
                <w:rFonts w:ascii="arial" w:eastAsia="arial" w:hAnsi="arial" w:cs="arial"/>
                <w:color w:val="000000"/>
                <w:sz w:val="18"/>
                <w:lang w:val="en-US" w:eastAsia="en-US" w:bidi="ar-SA"/>
              </w:rPr>
              <w: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Yes. Its not an uncommon complaint</w:t>
            </w:r>
            <w:r>
              <w:rPr>
                <w:rFonts w:ascii="arial" w:eastAsia="arial" w:hAnsi="arial" w:cs="arial"/>
                <w:color w:val="000000"/>
                <w:sz w:val="18"/>
                <w:lang w:val="en-US" w:eastAsia="en-US" w:bidi="ar-SA"/>
              </w:rPr>
              <w:t xml:space="preserve"> at all. Most of the causes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858"/>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Court:</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Just a moment, please. Its not uncommon did you say?</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Witness:</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Its not uncommon, no, to have unusual pain in labour.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Court:</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Thank you.</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858"/>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Witness:</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A lot of times you never really figure out what was causing it. But most of the causes are </w:t>
            </w:r>
            <w:r>
              <w:rPr>
                <w:rFonts w:ascii="arial" w:eastAsia="arial" w:hAnsi="arial" w:cs="arial"/>
                <w:color w:val="000000"/>
                <w:sz w:val="18"/>
                <w:u w:val="single"/>
                <w:lang w:val="en-US" w:eastAsia="en-US" w:bidi="ar-SA"/>
              </w:rPr>
              <w:t>quite benign</w:t>
            </w:r>
            <w:r>
              <w:rPr>
                <w:rFonts w:ascii="arial" w:eastAsia="arial" w:hAnsi="arial" w:cs="arial"/>
                <w:color w:val="000000"/>
                <w:sz w:val="18"/>
                <w:lang w:val="en-US" w:eastAsia="en-US" w:bidi="ar-SA"/>
              </w:rPr>
              <w:t xml:space="preserve">. And it can just be a </w:t>
            </w:r>
            <w:r>
              <w:rPr>
                <w:rFonts w:ascii="arial" w:eastAsia="arial" w:hAnsi="arial" w:cs="arial"/>
                <w:color w:val="000000"/>
                <w:sz w:val="18"/>
                <w:u w:val="single"/>
                <w:lang w:val="en-US" w:eastAsia="en-US" w:bidi="ar-SA"/>
              </w:rPr>
              <w:t>muscle spasm, rib pain, gall bladder pain</w:t>
            </w:r>
            <w:r>
              <w:rPr>
                <w:rFonts w:ascii="arial" w:eastAsia="arial" w:hAnsi="arial" w:cs="arial"/>
                <w:color w:val="000000"/>
                <w:sz w:val="18"/>
                <w:lang w:val="en-US" w:eastAsia="en-US" w:bidi="ar-SA"/>
              </w:rPr>
              <w:t>, theres a variety of things.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Dr. Reynolds then agreed that at the time she wrote her Note at 5:45 a.m. she had satisfied herself, from all of the information available to her, that at that time she was very reassured. The fetal heart rate was good, the pain had gone and labour was progressing very well; the same factors she referred to earlier. In her opinion, there was nothing to be concerned about.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Finally, the witness was asked what she would have done if the pain had been severe, in the following exchange: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take it if you had received any indication that the pain was severe from either the nurse or the patient, you would have recorded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would assume so, 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And the other matter, Dr. Reynolds, is you gave evidence about </w:t>
            </w:r>
            <w:r>
              <w:rPr>
                <w:rFonts w:ascii="arial" w:eastAsia="arial" w:hAnsi="arial" w:cs="arial"/>
                <w:color w:val="000000"/>
                <w:sz w:val="18"/>
                <w:u w:val="single"/>
                <w:lang w:val="en-US" w:eastAsia="en-US" w:bidi="ar-SA"/>
              </w:rPr>
              <w:t>your impression</w:t>
            </w:r>
            <w:r>
              <w:rPr>
                <w:rFonts w:ascii="arial" w:eastAsia="arial" w:hAnsi="arial" w:cs="arial"/>
                <w:color w:val="000000"/>
                <w:sz w:val="18"/>
                <w:lang w:val="en-US" w:eastAsia="en-US" w:bidi="ar-SA"/>
              </w:rPr>
              <w:t xml:space="preserve"> of the telephone conversation that you had with Nurse Kinash at approximately 0510 hours?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And you'll agree with me, Dr. Reynolds, that Nurse Kinash calling you to tell you --- to tell you about the pain </w:t>
            </w:r>
            <w:r>
              <w:rPr>
                <w:rFonts w:ascii="arial" w:eastAsia="arial" w:hAnsi="arial" w:cs="arial"/>
                <w:color w:val="000000"/>
                <w:sz w:val="18"/>
                <w:u w:val="single"/>
                <w:lang w:val="en-US" w:eastAsia="en-US" w:bidi="ar-SA"/>
              </w:rPr>
              <w:t>indicated concern</w:t>
            </w:r>
            <w:r>
              <w:rPr>
                <w:rFonts w:ascii="arial" w:eastAsia="arial" w:hAnsi="arial" w:cs="arial"/>
                <w:color w:val="000000"/>
                <w:sz w:val="18"/>
                <w:lang w:val="en-US" w:eastAsia="en-US" w:bidi="ar-SA"/>
              </w:rPr>
              <w:t xml:space="preserve"> on her part?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She was concerned</w:t>
      </w:r>
      <w:r>
        <w:rPr>
          <w:rFonts w:ascii="arial" w:eastAsia="arial" w:hAnsi="arial" w:cs="arial"/>
          <w:color w:val="000000"/>
          <w:sz w:val="20"/>
          <w:lang w:val="en-US" w:eastAsia="en-US" w:bidi="ar-SA"/>
        </w:rPr>
        <w:t xml:space="preserve">. She was --- but not overly, in that there wasn't any great urgency in the phone call. </w:t>
      </w:r>
      <w:r>
        <w:rPr>
          <w:rFonts w:ascii="arial" w:eastAsia="arial" w:hAnsi="arial" w:cs="arial"/>
          <w:color w:val="000000"/>
          <w:sz w:val="20"/>
          <w:u w:val="single"/>
          <w:lang w:val="en-US" w:eastAsia="en-US" w:bidi="ar-SA"/>
        </w:rPr>
        <w:t>She just sounded perplexed: 'theres something I don't understand, could you come in and check it out</w:t>
      </w:r>
      <w:r>
        <w:rPr>
          <w:rFonts w:ascii="arial" w:eastAsia="arial" w:hAnsi="arial" w:cs="arial"/>
          <w:color w:val="000000"/>
          <w:sz w:val="20"/>
          <w:lang w:val="en-US" w:eastAsia="en-US" w:bidi="ar-SA"/>
        </w:rPr>
        <w:t>'. (Emphasis added).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Cross-Examination By Mr. Smith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I will pause at this point to observe that I had some concerns with Dr. Reynolds' evidence in direct examination and when cross-examined by Ms. Harper, with regard to what she actually knew and did, and reasonably concluded at the material time. I will say also that as a result of Mr. Smith's cross-examination I concluded that my concerns were justified, and that in the final analysis I did not find Dr. Reynolds to be a reliable historian. Rather, I found her to be prone to reconstruct what was done and said along the lines of what she now feels might have been done and said, as if she had recognized the possibility of a developing uterine rupture and had carefully examined Mrs. Strachan, the facts and the records, to see if she could exclude that possibility. Her evidence is more assumption than recollection, goes beyond evidence of her usual practice, and is in conflict with her other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Mr. Smith commenced his cross-examination of Dr. Reynolds with the following: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Dr. Reynolds, I'm going to come to your examination at 5:30 in some detail a little later on. But I just want to, while it's fresh in our minds, go to something you were just talking with Ms. Harper about, and that is </w:t>
            </w:r>
            <w:r>
              <w:rPr>
                <w:rFonts w:ascii="arial" w:eastAsia="arial" w:hAnsi="arial" w:cs="arial"/>
                <w:color w:val="000000"/>
                <w:sz w:val="18"/>
                <w:u w:val="single"/>
                <w:lang w:val="en-US" w:eastAsia="en-US" w:bidi="ar-SA"/>
              </w:rPr>
              <w:t>your assumption of what you think you asked Ms. Strachan about the pain</w:t>
            </w:r>
            <w:r>
              <w:rPr>
                <w:rFonts w:ascii="arial" w:eastAsia="arial" w:hAnsi="arial" w:cs="arial"/>
                <w:color w:val="000000"/>
                <w:sz w:val="18"/>
                <w:lang w:val="en-US" w:eastAsia="en-US" w:bidi="ar-SA"/>
              </w:rPr>
              <w:t>. All right. Can you remember giving that evidence a few minutes ago? All right. (Emphasis added).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u w:val="single"/>
          <w:lang w:val="en-US" w:eastAsia="en-US" w:bidi="ar-SA"/>
        </w:rPr>
        <w:t>Now, in fact, you cannot recall if Ms. -- Ms. Strachan described the pain to you in any more detail than you had previously received from the nurse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can't recall specifically, no.</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Sorry?</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cannot recall specifically, 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All right. </w:t>
            </w:r>
            <w:r>
              <w:rPr>
                <w:rFonts w:ascii="arial" w:eastAsia="arial" w:hAnsi="arial" w:cs="arial"/>
                <w:color w:val="000000"/>
                <w:sz w:val="18"/>
                <w:u w:val="single"/>
                <w:lang w:val="en-US" w:eastAsia="en-US" w:bidi="ar-SA"/>
              </w:rPr>
              <w:t>You cannot recall any further details beyond what the nurse had told you; right</w:t>
            </w:r>
            <w:r>
              <w:rPr>
                <w:rFonts w:ascii="arial" w:eastAsia="arial" w:hAnsi="arial" w:cs="arial"/>
                <w:color w:val="000000"/>
                <w:sz w:val="18"/>
                <w:lang w:val="en-US" w:eastAsia="en-US" w:bidi="ar-SA"/>
              </w:rPr>
              <w: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And Ms. Kinash, on the phone had, in fact, </w:t>
            </w:r>
            <w:r>
              <w:rPr>
                <w:rFonts w:ascii="arial" w:eastAsia="arial" w:hAnsi="arial" w:cs="arial"/>
                <w:color w:val="000000"/>
                <w:sz w:val="18"/>
                <w:u w:val="single"/>
                <w:lang w:val="en-US" w:eastAsia="en-US" w:bidi="ar-SA"/>
              </w:rPr>
              <w:t>given you very few details</w:t>
            </w:r>
            <w:r>
              <w:rPr>
                <w:rFonts w:ascii="arial" w:eastAsia="arial" w:hAnsi="arial" w:cs="arial"/>
                <w:color w:val="000000"/>
                <w:sz w:val="18"/>
                <w:lang w:val="en-US" w:eastAsia="en-US" w:bidi="ar-SA"/>
              </w:rPr>
              <w:t>; isn't that right?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 but I don't have a lot of recollection of the phone call.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But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there must have been some detail that we discussed.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Mr. Smith then turned to the October 30, 2002, transcript of the evidence given at discovery by Dr. Reynolds. He commenced with the following: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Q.221:</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What was you understanding of the pain that the patient was having?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The pain was </w:t>
            </w:r>
            <w:r>
              <w:rPr>
                <w:rFonts w:ascii="arial" w:eastAsia="arial" w:hAnsi="arial" w:cs="arial"/>
                <w:color w:val="000000"/>
                <w:sz w:val="18"/>
                <w:u w:val="single"/>
                <w:lang w:val="en-US" w:eastAsia="en-US" w:bidi="ar-SA"/>
              </w:rPr>
              <w:t>just somewhat unusual</w:t>
            </w:r>
            <w:r>
              <w:rPr>
                <w:rFonts w:ascii="arial" w:eastAsia="arial" w:hAnsi="arial" w:cs="arial"/>
                <w:color w:val="000000"/>
                <w:sz w:val="18"/>
                <w:lang w:val="en-US" w:eastAsia="en-US" w:bidi="ar-SA"/>
              </w:rPr>
              <w: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Q.222:</w:t>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 what way?</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 was on the right side.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Q.223:</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Anything else?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It's hard to remember exactly what Jean said. </w:t>
            </w:r>
            <w:r>
              <w:rPr>
                <w:rFonts w:ascii="arial" w:eastAsia="arial" w:hAnsi="arial" w:cs="arial"/>
                <w:color w:val="000000"/>
                <w:sz w:val="18"/>
                <w:u w:val="single"/>
                <w:lang w:val="en-US" w:eastAsia="en-US" w:bidi="ar-SA"/>
              </w:rPr>
              <w:t>I don't think she gave me a lot of details about the pain. I think she just wanted me to come in because she wasn't really sure about it</w:t>
            </w:r>
            <w:r>
              <w:rPr>
                <w:rFonts w:ascii="arial" w:eastAsia="arial" w:hAnsi="arial" w:cs="arial"/>
                <w:color w:val="000000"/>
                <w:sz w:val="18"/>
                <w:lang w:val="en-US" w:eastAsia="en-US" w:bidi="ar-SA"/>
              </w:rPr>
              <w:t>. (Emphasis added).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Dr. Reynolds then gave the following trial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All right. Now, when your got there, you don't recall -- you -- you recall getting the </w:t>
            </w:r>
            <w:r>
              <w:rPr>
                <w:rFonts w:ascii="arial" w:eastAsia="arial" w:hAnsi="arial" w:cs="arial"/>
                <w:color w:val="000000"/>
                <w:sz w:val="18"/>
                <w:u w:val="single"/>
                <w:lang w:val="en-US" w:eastAsia="en-US" w:bidi="ar-SA"/>
              </w:rPr>
              <w:t>impression</w:t>
            </w:r>
            <w:r>
              <w:rPr>
                <w:rFonts w:ascii="arial" w:eastAsia="arial" w:hAnsi="arial" w:cs="arial"/>
                <w:color w:val="000000"/>
                <w:sz w:val="18"/>
                <w:lang w:val="en-US" w:eastAsia="en-US" w:bidi="ar-SA"/>
              </w:rPr>
              <w:t xml:space="preserve"> that the pain had -- had improved or gone away; 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Yes</w:t>
            </w:r>
            <w:r>
              <w:rPr>
                <w:rFonts w:ascii="arial" w:eastAsia="arial" w:hAnsi="arial" w:cs="arial"/>
                <w:color w:val="000000"/>
                <w:sz w:val="18"/>
                <w:lang w:val="en-US" w:eastAsia="en-US" w:bidi="ar-SA"/>
              </w:rPr>
              <w: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But you don't recall giving or obtaining any information as to when it had </w:t>
            </w:r>
            <w:r>
              <w:rPr>
                <w:rFonts w:ascii="arial" w:eastAsia="arial" w:hAnsi="arial" w:cs="arial"/>
                <w:color w:val="000000"/>
                <w:sz w:val="18"/>
                <w:u w:val="single"/>
                <w:lang w:val="en-US" w:eastAsia="en-US" w:bidi="ar-SA"/>
              </w:rPr>
              <w:t>actually started to improve</w:t>
            </w:r>
            <w:r>
              <w:rPr>
                <w:rFonts w:ascii="arial" w:eastAsia="arial" w:hAnsi="arial" w:cs="arial"/>
                <w:color w:val="000000"/>
                <w:sz w:val="18"/>
                <w:lang w:val="en-US" w:eastAsia="en-US" w:bidi="ar-SA"/>
              </w:rPr>
              <w: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I don't specifically remember that a time was given</w:t>
            </w:r>
            <w:r>
              <w:rPr>
                <w:rFonts w:ascii="arial" w:eastAsia="arial" w:hAnsi="arial" w:cs="arial"/>
                <w:color w:val="000000"/>
                <w:sz w:val="18"/>
                <w:lang w:val="en-US" w:eastAsia="en-US" w:bidi="ar-SA"/>
              </w:rPr>
              <w:t xml:space="preserve"> when it got better, no.</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And you don't even believe you received information about whether the pain was in the upper or the lower abdomen, do you</w:t>
            </w:r>
            <w:r>
              <w:rPr>
                <w:rFonts w:ascii="arial" w:eastAsia="arial" w:hAnsi="arial" w:cs="arial"/>
                <w:color w:val="000000"/>
                <w:sz w:val="18"/>
                <w:lang w:val="en-US" w:eastAsia="en-US" w:bidi="ar-SA"/>
              </w:rPr>
              <w: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think I was told it was on the -- it was upper, but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is that -- is that your evidence today?</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Well, I can't -- </w:t>
            </w:r>
            <w:r>
              <w:rPr>
                <w:rFonts w:ascii="arial" w:eastAsia="arial" w:hAnsi="arial" w:cs="arial"/>
                <w:color w:val="000000"/>
                <w:sz w:val="18"/>
                <w:u w:val="single"/>
                <w:lang w:val="en-US" w:eastAsia="en-US" w:bidi="ar-SA"/>
              </w:rPr>
              <w:t>I can't remember</w:t>
            </w:r>
            <w:r>
              <w:rPr>
                <w:rFonts w:ascii="arial" w:eastAsia="arial" w:hAnsi="arial" w:cs="arial"/>
                <w:color w:val="000000"/>
                <w:sz w:val="18"/>
                <w:lang w:val="en-US" w:eastAsia="en-US" w:bidi="ar-SA"/>
              </w:rPr>
              <w: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Dr. Reynolds was then referred to the following further questions and answers given at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Q.301:</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Did you have any </w:t>
            </w:r>
            <w:r>
              <w:rPr>
                <w:rFonts w:ascii="arial" w:eastAsia="arial" w:hAnsi="arial" w:cs="arial"/>
                <w:color w:val="000000"/>
                <w:sz w:val="18"/>
                <w:u w:val="single"/>
                <w:lang w:val="en-US" w:eastAsia="en-US" w:bidi="ar-SA"/>
              </w:rPr>
              <w:t>understanding</w:t>
            </w:r>
            <w:r>
              <w:rPr>
                <w:rFonts w:ascii="arial" w:eastAsia="arial" w:hAnsi="arial" w:cs="arial"/>
                <w:color w:val="000000"/>
                <w:sz w:val="18"/>
                <w:lang w:val="en-US" w:eastAsia="en-US" w:bidi="ar-SA"/>
              </w:rPr>
              <w:t xml:space="preserve"> of the </w:t>
            </w:r>
            <w:r>
              <w:rPr>
                <w:rFonts w:ascii="arial" w:eastAsia="arial" w:hAnsi="arial" w:cs="arial"/>
                <w:color w:val="000000"/>
                <w:sz w:val="18"/>
                <w:u w:val="single"/>
                <w:lang w:val="en-US" w:eastAsia="en-US" w:bidi="ar-SA"/>
              </w:rPr>
              <w:t>location of the pain</w:t>
            </w:r>
            <w:r>
              <w:rPr>
                <w:rFonts w:ascii="arial" w:eastAsia="arial" w:hAnsi="arial" w:cs="arial"/>
                <w:color w:val="000000"/>
                <w:sz w:val="18"/>
                <w:lang w:val="en-US" w:eastAsia="en-US" w:bidi="ar-SA"/>
              </w:rPr>
              <w:t xml:space="preserve"> that the patient had been complaining about?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was told it was on the right side.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Were you told anything about whether it was upper or lower</w:t>
            </w:r>
            <w:r>
              <w:rPr>
                <w:rFonts w:ascii="arial" w:eastAsia="arial" w:hAnsi="arial" w:cs="arial"/>
                <w:color w:val="000000"/>
                <w:sz w:val="18"/>
                <w:lang w:val="en-US" w:eastAsia="en-US" w:bidi="ar-SA"/>
              </w:rPr>
              <w: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Not that I recall</w:t>
            </w:r>
            <w:r>
              <w:rPr>
                <w:rFonts w:ascii="arial" w:eastAsia="arial" w:hAnsi="arial" w:cs="arial"/>
                <w:color w:val="000000"/>
                <w:sz w:val="18"/>
                <w:lang w:val="en-US" w:eastAsia="en-US" w:bidi="ar-SA"/>
              </w:rPr>
              <w: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Dr. Reynolds then gave the following trial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And </w:t>
            </w:r>
            <w:r>
              <w:rPr>
                <w:rFonts w:ascii="arial" w:eastAsia="arial" w:hAnsi="arial" w:cs="arial"/>
                <w:color w:val="000000"/>
                <w:sz w:val="18"/>
                <w:u w:val="single"/>
                <w:lang w:val="en-US" w:eastAsia="en-US" w:bidi="ar-SA"/>
              </w:rPr>
              <w:t>if</w:t>
            </w:r>
            <w:r>
              <w:rPr>
                <w:rFonts w:ascii="arial" w:eastAsia="arial" w:hAnsi="arial" w:cs="arial"/>
                <w:color w:val="000000"/>
                <w:sz w:val="18"/>
                <w:lang w:val="en-US" w:eastAsia="en-US" w:bidi="ar-SA"/>
              </w:rPr>
              <w:t xml:space="preserve">, in fact, </w:t>
            </w:r>
            <w:r>
              <w:rPr>
                <w:rFonts w:ascii="arial" w:eastAsia="arial" w:hAnsi="arial" w:cs="arial"/>
                <w:color w:val="000000"/>
                <w:sz w:val="18"/>
                <w:u w:val="single"/>
                <w:lang w:val="en-US" w:eastAsia="en-US" w:bidi="ar-SA"/>
              </w:rPr>
              <w:t>you did not receive information about whether the pain was in the upper abdomen or the lower abdomen</w:t>
            </w:r>
            <w:r>
              <w:rPr>
                <w:rFonts w:ascii="arial" w:eastAsia="arial" w:hAnsi="arial" w:cs="arial"/>
                <w:color w:val="000000"/>
                <w:sz w:val="18"/>
                <w:lang w:val="en-US" w:eastAsia="en-US" w:bidi="ar-SA"/>
              </w:rPr>
              <w:t xml:space="preserve">, that would mean </w:t>
            </w:r>
            <w:r>
              <w:rPr>
                <w:rFonts w:ascii="arial" w:eastAsia="arial" w:hAnsi="arial" w:cs="arial"/>
                <w:color w:val="000000"/>
                <w:sz w:val="18"/>
                <w:u w:val="single"/>
                <w:lang w:val="en-US" w:eastAsia="en-US" w:bidi="ar-SA"/>
              </w:rPr>
              <w:t>either that you did not ask the patient</w:t>
            </w:r>
            <w:r>
              <w:rPr>
                <w:rFonts w:ascii="arial" w:eastAsia="arial" w:hAnsi="arial" w:cs="arial"/>
                <w:color w:val="000000"/>
                <w:sz w:val="18"/>
                <w:lang w:val="en-US" w:eastAsia="en-US" w:bidi="ar-SA"/>
              </w:rPr>
              <w:t xml:space="preserve"> or that the patient for some reason </w:t>
            </w:r>
            <w:r>
              <w:rPr>
                <w:rFonts w:ascii="arial" w:eastAsia="arial" w:hAnsi="arial" w:cs="arial"/>
                <w:color w:val="000000"/>
                <w:sz w:val="18"/>
                <w:u w:val="single"/>
                <w:lang w:val="en-US" w:eastAsia="en-US" w:bidi="ar-SA"/>
              </w:rPr>
              <w:t>had been unable to tell you; isn't that right</w:t>
            </w:r>
            <w:r>
              <w:rPr>
                <w:rFonts w:ascii="arial" w:eastAsia="arial" w:hAnsi="arial" w:cs="arial"/>
                <w:color w:val="000000"/>
                <w:sz w:val="18"/>
                <w:lang w:val="en-US" w:eastAsia="en-US" w:bidi="ar-SA"/>
              </w:rPr>
              <w: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Yes</w:t>
            </w:r>
            <w:r>
              <w:rPr>
                <w:rFonts w:ascii="arial" w:eastAsia="arial" w:hAnsi="arial" w:cs="arial"/>
                <w:color w:val="000000"/>
                <w:sz w:val="18"/>
                <w:lang w:val="en-US" w:eastAsia="en-US" w:bidi="ar-SA"/>
              </w:rPr>
              <w: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All right. Now, we're going -- we'll come back to that in a little while, but I'd just like to ... I'd just like to deal before -- step back a little bit from this case and -- and make sure </w:t>
            </w:r>
            <w:r>
              <w:rPr>
                <w:rFonts w:ascii="arial" w:eastAsia="arial" w:hAnsi="arial" w:cs="arial"/>
                <w:color w:val="000000"/>
                <w:sz w:val="18"/>
                <w:u w:val="single"/>
                <w:lang w:val="en-US" w:eastAsia="en-US" w:bidi="ar-SA"/>
              </w:rPr>
              <w:t>we understand some general principles. First of all, as a physician, your paramount duty is to protect the health of your patient</w:t>
            </w:r>
            <w:r>
              <w:rPr>
                <w:rFonts w:ascii="arial" w:eastAsia="arial" w:hAnsi="arial" w:cs="arial"/>
                <w:color w:val="000000"/>
                <w:sz w:val="18"/>
                <w:lang w:val="en-US" w:eastAsia="en-US" w:bidi="ar-SA"/>
              </w:rPr>
              <w: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 order to do that, you have to be familiar with the patient's history and the patient's condition?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Knowing the patient's history and current condition, </w:t>
            </w:r>
            <w:r>
              <w:rPr>
                <w:rFonts w:ascii="arial" w:eastAsia="arial" w:hAnsi="arial" w:cs="arial"/>
                <w:color w:val="000000"/>
                <w:sz w:val="18"/>
                <w:u w:val="single"/>
                <w:lang w:val="en-US" w:eastAsia="en-US" w:bidi="ar-SA"/>
              </w:rPr>
              <w:t>you have to know</w:t>
            </w:r>
            <w:r>
              <w:rPr>
                <w:rFonts w:ascii="arial" w:eastAsia="arial" w:hAnsi="arial" w:cs="arial"/>
                <w:color w:val="000000"/>
                <w:sz w:val="18"/>
                <w:lang w:val="en-US" w:eastAsia="en-US" w:bidi="ar-SA"/>
              </w:rPr>
              <w:t xml:space="preserve"> what, </w:t>
            </w:r>
            <w:r>
              <w:rPr>
                <w:rFonts w:ascii="arial" w:eastAsia="arial" w:hAnsi="arial" w:cs="arial"/>
                <w:color w:val="000000"/>
                <w:sz w:val="18"/>
                <w:u w:val="single"/>
                <w:lang w:val="en-US" w:eastAsia="en-US" w:bidi="ar-SA"/>
              </w:rPr>
              <w:t>if any, particular risks might arise</w:t>
            </w:r>
            <w:r>
              <w:rPr>
                <w:rFonts w:ascii="arial" w:eastAsia="arial" w:hAnsi="arial" w:cs="arial"/>
                <w:color w:val="000000"/>
                <w:sz w:val="18"/>
                <w:lang w:val="en-US" w:eastAsia="en-US" w:bidi="ar-SA"/>
              </w:rPr>
              <w:t xml:space="preserve"> or be present in that context?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And in order to fulfill your duty to the patient, you </w:t>
            </w:r>
            <w:r>
              <w:rPr>
                <w:rFonts w:ascii="arial" w:eastAsia="arial" w:hAnsi="arial" w:cs="arial"/>
                <w:color w:val="000000"/>
                <w:sz w:val="18"/>
                <w:u w:val="single"/>
                <w:lang w:val="en-US" w:eastAsia="en-US" w:bidi="ar-SA"/>
              </w:rPr>
              <w:t>have to consider any complaints</w:t>
            </w:r>
            <w:r>
              <w:rPr>
                <w:rFonts w:ascii="arial" w:eastAsia="arial" w:hAnsi="arial" w:cs="arial"/>
                <w:color w:val="000000"/>
                <w:sz w:val="18"/>
                <w:lang w:val="en-US" w:eastAsia="en-US" w:bidi="ar-SA"/>
              </w:rPr>
              <w:t xml:space="preserve"> the patient makes or any symptoms or changes in condition that the patient might report to you?</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And the fundamental process for considering those things is something </w:t>
            </w:r>
            <w:r>
              <w:rPr>
                <w:rFonts w:ascii="arial" w:eastAsia="arial" w:hAnsi="arial" w:cs="arial"/>
                <w:color w:val="000000"/>
                <w:sz w:val="18"/>
                <w:u w:val="single"/>
                <w:lang w:val="en-US" w:eastAsia="en-US" w:bidi="ar-SA"/>
              </w:rPr>
              <w:t>called differential diagnosis</w:t>
            </w:r>
            <w:r>
              <w:rPr>
                <w:rFonts w:ascii="arial" w:eastAsia="arial" w:hAnsi="arial" w:cs="arial"/>
                <w:color w:val="000000"/>
                <w:sz w:val="18"/>
                <w:lang w:val="en-US" w:eastAsia="en-US" w:bidi="ar-SA"/>
              </w:rPr>
              <w: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And what "differential diagnosis" means is that because any given complaint may have </w:t>
            </w:r>
            <w:r>
              <w:rPr>
                <w:rFonts w:ascii="arial" w:eastAsia="arial" w:hAnsi="arial" w:cs="arial"/>
                <w:color w:val="000000"/>
                <w:sz w:val="18"/>
                <w:u w:val="single"/>
                <w:lang w:val="en-US" w:eastAsia="en-US" w:bidi="ar-SA"/>
              </w:rPr>
              <w:t>a number of possible causes, you must consider all the possible explanations and then try and narrow it down; correct</w:t>
            </w:r>
            <w:r>
              <w:rPr>
                <w:rFonts w:ascii="arial" w:eastAsia="arial" w:hAnsi="arial" w:cs="arial"/>
                <w:color w:val="000000"/>
                <w:sz w:val="18"/>
                <w:lang w:val="en-US" w:eastAsia="en-US" w:bidi="ar-SA"/>
              </w:rPr>
              <w: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that is because each possible cause that might occur to you will or may suggest its own set of further questions that have to be asked for specific further examination or investigations that need to be done?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And in going through that process, you have to </w:t>
            </w:r>
            <w:r>
              <w:rPr>
                <w:rFonts w:ascii="arial" w:eastAsia="arial" w:hAnsi="arial" w:cs="arial"/>
                <w:color w:val="000000"/>
                <w:sz w:val="18"/>
                <w:u w:val="single"/>
                <w:lang w:val="en-US" w:eastAsia="en-US" w:bidi="ar-SA"/>
              </w:rPr>
              <w:t>first consider the most serious possible explanations; right</w:t>
            </w:r>
            <w:r>
              <w:rPr>
                <w:rFonts w:ascii="arial" w:eastAsia="arial" w:hAnsi="arial" w:cs="arial"/>
                <w:color w:val="000000"/>
                <w:sz w:val="18"/>
                <w:lang w:val="en-US" w:eastAsia="en-US" w:bidi="ar-SA"/>
              </w:rPr>
              <w: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The serious ones are always in the back of your mind.</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Well, they're not -- I'm sorry. They're not in the back of your -- sorry, My Lord. </w:t>
            </w:r>
            <w:r>
              <w:rPr>
                <w:rFonts w:ascii="arial" w:eastAsia="arial" w:hAnsi="arial" w:cs="arial"/>
                <w:color w:val="000000"/>
                <w:sz w:val="18"/>
                <w:u w:val="single"/>
                <w:lang w:val="en-US" w:eastAsia="en-US" w:bidi="ar-SA"/>
              </w:rPr>
              <w:t>They're not in the back of your mind, I suggest, doctor</w:t>
            </w:r>
            <w:r>
              <w:rPr>
                <w:rFonts w:ascii="arial" w:eastAsia="arial" w:hAnsi="arial" w:cs="arial"/>
                <w:color w:val="000000"/>
                <w:sz w:val="18"/>
                <w:lang w:val="en-US" w:eastAsia="en-US" w:bidi="ar-SA"/>
              </w:rPr>
              <w:t xml:space="preserve">. If your list of possible causes for what the patient is complaining about includes something that is </w:t>
            </w:r>
            <w:r>
              <w:rPr>
                <w:rFonts w:ascii="arial" w:eastAsia="arial" w:hAnsi="arial" w:cs="arial"/>
                <w:color w:val="000000"/>
                <w:sz w:val="18"/>
                <w:u w:val="single"/>
                <w:lang w:val="en-US" w:eastAsia="en-US" w:bidi="ar-SA"/>
              </w:rPr>
              <w:t>life threatening, you have to either confirm that or rule that out first before you spend valuable time dealing with the -- the more benign causes, don't you</w:t>
            </w:r>
            <w:r>
              <w:rPr>
                <w:rFonts w:ascii="arial" w:eastAsia="arial" w:hAnsi="arial" w:cs="arial"/>
                <w:color w:val="000000"/>
                <w:sz w:val="18"/>
                <w:lang w:val="en-US" w:eastAsia="en-US" w:bidi="ar-SA"/>
              </w:rPr>
              <w: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Yes</w:t>
            </w:r>
            <w:r>
              <w:rPr>
                <w:rFonts w:ascii="arial" w:eastAsia="arial" w:hAnsi="arial" w:cs="arial"/>
                <w:color w:val="000000"/>
                <w:sz w:val="18"/>
                <w:lang w:val="en-US" w:eastAsia="en-US" w:bidi="ar-SA"/>
              </w:rPr>
              <w: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if that life -- even if that life threatening possibility is relatively unlikely compared to the other possibilities, it still has to be considered because of the serious consequences, doesn't it?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And in considering the most serious or life threatening possibilities, you must </w:t>
            </w:r>
            <w:r>
              <w:rPr>
                <w:rFonts w:ascii="arial" w:eastAsia="arial" w:hAnsi="arial" w:cs="arial"/>
                <w:color w:val="000000"/>
                <w:sz w:val="18"/>
                <w:u w:val="single"/>
                <w:lang w:val="en-US" w:eastAsia="en-US" w:bidi="ar-SA"/>
              </w:rPr>
              <w:t>consider it in the context of how much time you may have</w:t>
            </w:r>
            <w:r>
              <w:rPr>
                <w:rFonts w:ascii="arial" w:eastAsia="arial" w:hAnsi="arial" w:cs="arial"/>
                <w:color w:val="000000"/>
                <w:sz w:val="18"/>
                <w:lang w:val="en-US" w:eastAsia="en-US" w:bidi="ar-SA"/>
              </w:rPr>
              <w:t xml:space="preserve"> to act if that is, in fact, what's happening?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You also have to be </w:t>
            </w:r>
            <w:r>
              <w:rPr>
                <w:rFonts w:ascii="arial" w:eastAsia="arial" w:hAnsi="arial" w:cs="arial"/>
                <w:color w:val="000000"/>
                <w:sz w:val="18"/>
                <w:u w:val="single"/>
                <w:lang w:val="en-US" w:eastAsia="en-US" w:bidi="ar-SA"/>
              </w:rPr>
              <w:t>aware of the limitations in your own expertise</w:t>
            </w:r>
            <w:r>
              <w:rPr>
                <w:rFonts w:ascii="arial" w:eastAsia="arial" w:hAnsi="arial" w:cs="arial"/>
                <w:color w:val="000000"/>
                <w:sz w:val="18"/>
                <w:lang w:val="en-US" w:eastAsia="en-US" w:bidi="ar-SA"/>
              </w:rPr>
              <w:t xml:space="preserve"> and experience, don't you?</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Yes</w:t>
            </w:r>
            <w:r>
              <w:rPr>
                <w:rFonts w:ascii="arial" w:eastAsia="arial" w:hAnsi="arial" w:cs="arial"/>
                <w:color w:val="000000"/>
                <w:sz w:val="18"/>
                <w:lang w:val="en-US" w:eastAsia="en-US" w:bidi="ar-SA"/>
              </w:rPr>
              <w: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You have to know and be able to recognize those situations where you </w:t>
      </w:r>
      <w:r>
        <w:rPr>
          <w:rFonts w:ascii="arial" w:eastAsia="arial" w:hAnsi="arial" w:cs="arial"/>
          <w:color w:val="000000"/>
          <w:sz w:val="20"/>
          <w:u w:val="single"/>
          <w:lang w:val="en-US" w:eastAsia="en-US" w:bidi="ar-SA"/>
        </w:rPr>
        <w:t>need the help of the appropriate specialist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Yes</w:t>
            </w:r>
            <w:r>
              <w:rPr>
                <w:rFonts w:ascii="arial" w:eastAsia="arial" w:hAnsi="arial" w:cs="arial"/>
                <w:color w:val="000000"/>
                <w:sz w:val="18"/>
                <w:lang w:val="en-US" w:eastAsia="en-US" w:bidi="ar-SA"/>
              </w:rPr>
              <w: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So if we could just illustrate that in the context of a -- a situation unrelated to this case. I'd like to you to </w:t>
            </w:r>
            <w:r>
              <w:rPr>
                <w:rFonts w:ascii="arial" w:eastAsia="arial" w:hAnsi="arial" w:cs="arial"/>
                <w:color w:val="000000"/>
                <w:sz w:val="18"/>
                <w:u w:val="single"/>
                <w:lang w:val="en-US" w:eastAsia="en-US" w:bidi="ar-SA"/>
              </w:rPr>
              <w:t>assume that a middle-aged male patient comes into your office and tells you he's been having chest pains</w:t>
            </w:r>
            <w:r>
              <w:rPr>
                <w:rFonts w:ascii="arial" w:eastAsia="arial" w:hAnsi="arial" w:cs="arial"/>
                <w:color w:val="000000"/>
                <w:sz w:val="18"/>
                <w:lang w:val="en-US" w:eastAsia="en-US" w:bidi="ar-SA"/>
              </w:rPr>
              <w: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Now, there are a number of relatively innocent explanations for chest pain, but the </w:t>
            </w:r>
            <w:r>
              <w:rPr>
                <w:rFonts w:ascii="arial" w:eastAsia="arial" w:hAnsi="arial" w:cs="arial"/>
                <w:color w:val="000000"/>
                <w:sz w:val="18"/>
                <w:u w:val="single"/>
                <w:lang w:val="en-US" w:eastAsia="en-US" w:bidi="ar-SA"/>
              </w:rPr>
              <w:t>first thing you have to consider is whether this patient is having a heart attack</w:t>
            </w:r>
            <w:r>
              <w:rPr>
                <w:rFonts w:ascii="arial" w:eastAsia="arial" w:hAnsi="arial" w:cs="arial"/>
                <w:color w:val="000000"/>
                <w:sz w:val="18"/>
                <w:lang w:val="en-US" w:eastAsia="en-US" w:bidi="ar-SA"/>
              </w:rPr>
              <w: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in order to consider that -- sorry. You have to ask certain questions and perhaps perform certain examinations with that possibility in mind?</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And if you can't rule out the possibility of a heart attack with 100 percent certainty, you would tell a patient to go immediately to the emergency room</w:t>
            </w:r>
            <w:r>
              <w:rPr>
                <w:rFonts w:ascii="arial" w:eastAsia="arial" w:hAnsi="arial" w:cs="arial"/>
                <w:color w:val="000000"/>
                <w:sz w:val="18"/>
                <w:lang w:val="en-US" w:eastAsia="en-US" w:bidi="ar-SA"/>
              </w:rPr>
              <w:t xml:space="preserve"> at the nearest hospital?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I would phone a cardiologist.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I'm sorry?</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would phone a cardiologist.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All right. In fact, depending on the presentation, you might not even waste any time trying to make the diagnosis yourself and make -- put the cardiologist in the hand -- put the patient in the hands of a cardiologist or an emergency physician right away?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might, 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And in considering that diagnosis, you would have to consider the </w:t>
            </w:r>
            <w:r>
              <w:rPr>
                <w:rFonts w:ascii="arial" w:eastAsia="arial" w:hAnsi="arial" w:cs="arial"/>
                <w:color w:val="000000"/>
                <w:sz w:val="18"/>
                <w:u w:val="single"/>
                <w:lang w:val="en-US" w:eastAsia="en-US" w:bidi="ar-SA"/>
              </w:rPr>
              <w:t>characteristics</w:t>
            </w:r>
            <w:r>
              <w:rPr>
                <w:rFonts w:ascii="arial" w:eastAsia="arial" w:hAnsi="arial" w:cs="arial"/>
                <w:color w:val="000000"/>
                <w:sz w:val="18"/>
                <w:lang w:val="en-US" w:eastAsia="en-US" w:bidi="ar-SA"/>
              </w:rPr>
              <w:t xml:space="preserve"> of heart attack </w:t>
            </w:r>
            <w:r>
              <w:rPr>
                <w:rFonts w:ascii="arial" w:eastAsia="arial" w:hAnsi="arial" w:cs="arial"/>
                <w:color w:val="000000"/>
                <w:sz w:val="18"/>
                <w:u w:val="single"/>
                <w:lang w:val="en-US" w:eastAsia="en-US" w:bidi="ar-SA"/>
              </w:rPr>
              <w:t>pain</w:t>
            </w:r>
            <w:r>
              <w:rPr>
                <w:rFonts w:ascii="arial" w:eastAsia="arial" w:hAnsi="arial" w:cs="arial"/>
                <w:color w:val="000000"/>
                <w:sz w:val="18"/>
                <w:lang w:val="en-US" w:eastAsia="en-US" w:bidi="ar-SA"/>
              </w:rPr>
              <w:t xml:space="preserve"> and </w:t>
            </w:r>
            <w:r>
              <w:rPr>
                <w:rFonts w:ascii="arial" w:eastAsia="arial" w:hAnsi="arial" w:cs="arial"/>
                <w:color w:val="000000"/>
                <w:sz w:val="18"/>
                <w:u w:val="single"/>
                <w:lang w:val="en-US" w:eastAsia="en-US" w:bidi="ar-SA"/>
              </w:rPr>
              <w:t>how it might differ</w:t>
            </w:r>
            <w:r>
              <w:rPr>
                <w:rFonts w:ascii="arial" w:eastAsia="arial" w:hAnsi="arial" w:cs="arial"/>
                <w:color w:val="000000"/>
                <w:sz w:val="18"/>
                <w:lang w:val="en-US" w:eastAsia="en-US" w:bidi="ar-SA"/>
              </w:rPr>
              <w:t xml:space="preserve"> from chest pain that's been caused by something else?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But you also have to </w:t>
            </w:r>
            <w:r>
              <w:rPr>
                <w:rFonts w:ascii="arial" w:eastAsia="arial" w:hAnsi="arial" w:cs="arial"/>
                <w:color w:val="000000"/>
                <w:sz w:val="18"/>
                <w:u w:val="single"/>
                <w:lang w:val="en-US" w:eastAsia="en-US" w:bidi="ar-SA"/>
              </w:rPr>
              <w:t>consider</w:t>
            </w:r>
            <w:r>
              <w:rPr>
                <w:rFonts w:ascii="arial" w:eastAsia="arial" w:hAnsi="arial" w:cs="arial"/>
                <w:color w:val="000000"/>
                <w:sz w:val="18"/>
                <w:lang w:val="en-US" w:eastAsia="en-US" w:bidi="ar-SA"/>
              </w:rPr>
              <w:t xml:space="preserve"> the fact that the </w:t>
            </w:r>
            <w:r>
              <w:rPr>
                <w:rFonts w:ascii="arial" w:eastAsia="arial" w:hAnsi="arial" w:cs="arial"/>
                <w:color w:val="000000"/>
                <w:sz w:val="18"/>
                <w:u w:val="single"/>
                <w:lang w:val="en-US" w:eastAsia="en-US" w:bidi="ar-SA"/>
              </w:rPr>
              <w:t>pain and the nature of the pain might vary from one patient to another</w:t>
            </w:r>
            <w:r>
              <w:rPr>
                <w:rFonts w:ascii="arial" w:eastAsia="arial" w:hAnsi="arial" w:cs="arial"/>
                <w:color w:val="000000"/>
                <w:sz w:val="18"/>
                <w:lang w:val="en-US" w:eastAsia="en-US" w:bidi="ar-SA"/>
              </w:rPr>
              <w:t xml:space="preserve"> if it was being caused by a heart attack?</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Some people having a heart attack will actually get pain in the back rather than in the chest</w:t>
            </w:r>
            <w:r>
              <w:rPr>
                <w:rFonts w:ascii="arial" w:eastAsia="arial" w:hAnsi="arial" w:cs="arial"/>
                <w:color w:val="000000"/>
                <w:sz w:val="18"/>
                <w:lang w:val="en-US" w:eastAsia="en-US" w:bidi="ar-SA"/>
              </w:rPr>
              <w: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And if a patient said he had been feeling -- sorry. If the patient said he had been feeling chest pains but that it </w:t>
            </w:r>
            <w:r>
              <w:rPr>
                <w:rFonts w:ascii="arial" w:eastAsia="arial" w:hAnsi="arial" w:cs="arial"/>
                <w:color w:val="000000"/>
                <w:sz w:val="18"/>
                <w:u w:val="single"/>
                <w:lang w:val="en-US" w:eastAsia="en-US" w:bidi="ar-SA"/>
              </w:rPr>
              <w:t>started to feel better within the last five or ten minutes</w:t>
            </w:r>
            <w:r>
              <w:rPr>
                <w:rFonts w:ascii="arial" w:eastAsia="arial" w:hAnsi="arial" w:cs="arial"/>
                <w:color w:val="000000"/>
                <w:sz w:val="18"/>
                <w:lang w:val="en-US" w:eastAsia="en-US" w:bidi="ar-SA"/>
              </w:rPr>
              <w:t xml:space="preserve"> while he was sitting in your waiting room, </w:t>
            </w:r>
            <w:r>
              <w:rPr>
                <w:rFonts w:ascii="arial" w:eastAsia="arial" w:hAnsi="arial" w:cs="arial"/>
                <w:color w:val="000000"/>
                <w:sz w:val="18"/>
                <w:u w:val="single"/>
                <w:lang w:val="en-US" w:eastAsia="en-US" w:bidi="ar-SA"/>
              </w:rPr>
              <w:t>that wouldn't exclude your concern about a heart attack, would it</w:t>
            </w:r>
            <w:r>
              <w:rPr>
                <w:rFonts w:ascii="arial" w:eastAsia="arial" w:hAnsi="arial" w:cs="arial"/>
                <w:color w:val="000000"/>
                <w:sz w:val="18"/>
                <w:lang w:val="en-US" w:eastAsia="en-US" w:bidi="ar-SA"/>
              </w:rPr>
              <w: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 wouldn't exclude my concern about heart disease or coronary artery disease.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All right. You would -- sorry.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The ... The -- fact that the pain had gone would be a </w:t>
            </w:r>
            <w:r>
              <w:rPr>
                <w:rFonts w:ascii="arial" w:eastAsia="arial" w:hAnsi="arial" w:cs="arial"/>
                <w:color w:val="000000"/>
                <w:sz w:val="18"/>
                <w:u w:val="single"/>
                <w:lang w:val="en-US" w:eastAsia="en-US" w:bidi="ar-SA"/>
              </w:rPr>
              <w:t>good sign</w:t>
            </w:r>
            <w:r>
              <w:rPr>
                <w:rFonts w:ascii="arial" w:eastAsia="arial" w:hAnsi="arial" w:cs="arial"/>
                <w:color w:val="000000"/>
                <w:sz w:val="18"/>
                <w:lang w:val="en-US" w:eastAsia="en-US" w:bidi="ar-SA"/>
              </w:rPr>
              <w: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But it wouldn't -- </w:t>
            </w:r>
            <w:r>
              <w:rPr>
                <w:rFonts w:ascii="arial" w:eastAsia="arial" w:hAnsi="arial" w:cs="arial"/>
                <w:color w:val="000000"/>
                <w:sz w:val="18"/>
                <w:u w:val="single"/>
                <w:lang w:val="en-US" w:eastAsia="en-US" w:bidi="ar-SA"/>
              </w:rPr>
              <w:t>it wouldn't delay your wish to have him investigated immediately</w:t>
            </w:r>
            <w:r>
              <w:rPr>
                <w:rFonts w:ascii="arial" w:eastAsia="arial" w:hAnsi="arial" w:cs="arial"/>
                <w:color w:val="000000"/>
                <w:sz w:val="18"/>
                <w:lang w:val="en-US" w:eastAsia="en-US" w:bidi="ar-SA"/>
              </w:rPr>
              <w:t xml:space="preserve"> for signs he might have suffered a heart attack, even if -- even if only a minor one?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Yes. I would have it investigated</w:t>
            </w:r>
            <w:r>
              <w:rPr>
                <w:rFonts w:ascii="arial" w:eastAsia="arial" w:hAnsi="arial" w:cs="arial"/>
                <w:color w:val="000000"/>
                <w:sz w:val="18"/>
                <w:lang w:val="en-US" w:eastAsia="en-US" w:bidi="ar-SA"/>
              </w:rPr>
              <w: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Now, in an obstetrical setting, </w:t>
            </w:r>
            <w:r>
              <w:rPr>
                <w:rFonts w:ascii="arial" w:eastAsia="arial" w:hAnsi="arial" w:cs="arial"/>
                <w:color w:val="000000"/>
                <w:sz w:val="18"/>
                <w:u w:val="single"/>
                <w:lang w:val="en-US" w:eastAsia="en-US" w:bidi="ar-SA"/>
              </w:rPr>
              <w:t>that paramount duty to protect the health of your patient extends to both the mother and the baby</w:t>
            </w:r>
            <w:r>
              <w:rPr>
                <w:rFonts w:ascii="arial" w:eastAsia="arial" w:hAnsi="arial" w:cs="arial"/>
                <w:color w:val="000000"/>
                <w:sz w:val="18"/>
                <w:lang w:val="en-US" w:eastAsia="en-US" w:bidi="ar-SA"/>
              </w:rPr>
              <w: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as of January 23rd, 1999, you knew, of course, that Ms. Strachan was a VBAC patient?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you knew that with any VBAC patient, there was a risk of uterine rupture?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you knew that this would be the worst thing that could happen in that setting; right?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 that setting, yes. There are other bad things that can happen in labour.</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Well, I understand. </w:t>
            </w:r>
            <w:r>
              <w:rPr>
                <w:rFonts w:ascii="arial" w:eastAsia="arial" w:hAnsi="arial" w:cs="arial"/>
                <w:color w:val="000000"/>
                <w:sz w:val="18"/>
                <w:u w:val="single"/>
                <w:lang w:val="en-US" w:eastAsia="en-US" w:bidi="ar-SA"/>
              </w:rPr>
              <w:t>But when you have - when you have a VBAC patient, you know that the specific risk that's associated with that patient is a life threatening catastrophe known as a uterine -- as a uterine rupture</w:t>
            </w:r>
            <w:r>
              <w:rPr>
                <w:rFonts w:ascii="arial" w:eastAsia="arial" w:hAnsi="arial" w:cs="arial"/>
                <w:color w:val="000000"/>
                <w:sz w:val="18"/>
                <w:lang w:val="en-US" w:eastAsia="en-US" w:bidi="ar-SA"/>
              </w:rPr>
              <w: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Yes</w:t>
            </w:r>
            <w:r>
              <w:rPr>
                <w:rFonts w:ascii="arial" w:eastAsia="arial" w:hAnsi="arial" w:cs="arial"/>
                <w:color w:val="000000"/>
                <w:sz w:val="18"/>
                <w:lang w:val="en-US" w:eastAsia="en-US" w:bidi="ar-SA"/>
              </w:rPr>
              <w: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you knew that was something that could cause severe brain damage to the baby if it's not dealt with promptly?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 you generally knew the signs and symptoms that may be associated with a rupture or an impending rupture?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And you knew </w:t>
            </w:r>
            <w:r>
              <w:rPr>
                <w:rFonts w:ascii="arial" w:eastAsia="arial" w:hAnsi="arial" w:cs="arial"/>
                <w:color w:val="000000"/>
                <w:sz w:val="18"/>
                <w:u w:val="single"/>
                <w:lang w:val="en-US" w:eastAsia="en-US" w:bidi="ar-SA"/>
              </w:rPr>
              <w:t>that any one of those potential signs or symptoms was sufficient reason to consider the possibility of a uterine rupture</w:t>
            </w:r>
            <w:r>
              <w:rPr>
                <w:rFonts w:ascii="arial" w:eastAsia="arial" w:hAnsi="arial" w:cs="arial"/>
                <w:color w:val="000000"/>
                <w:sz w:val="18"/>
                <w:lang w:val="en-US" w:eastAsia="en-US" w:bidi="ar-SA"/>
              </w:rPr>
              <w: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I ... Any one would be -- would -- you would -- should think about it, </w:t>
            </w:r>
            <w:r>
              <w:rPr>
                <w:rFonts w:ascii="arial" w:eastAsia="arial" w:hAnsi="arial" w:cs="arial"/>
                <w:color w:val="000000"/>
                <w:sz w:val="18"/>
                <w:u w:val="single"/>
                <w:lang w:val="en-US" w:eastAsia="en-US" w:bidi="ar-SA"/>
              </w:rPr>
              <w:t>yes</w:t>
            </w:r>
            <w:r>
              <w:rPr>
                <w:rFonts w:ascii="arial" w:eastAsia="arial" w:hAnsi="arial" w:cs="arial"/>
                <w:color w:val="000000"/>
                <w:sz w:val="18"/>
                <w:lang w:val="en-US" w:eastAsia="en-US" w:bidi="ar-SA"/>
              </w:rPr>
              <w: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 you also knew that the -- if the uterus ruptures, the worst injury to the baby occurs after a complete rupture when the baby is expelled from the uterus into the abdominal cavity?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And you knew that if there was an impending rupture or a partial rupture where the baby had not yet been expelled from the uterus, you would </w:t>
            </w:r>
            <w:r>
              <w:rPr>
                <w:rFonts w:ascii="arial" w:eastAsia="arial" w:hAnsi="arial" w:cs="arial"/>
                <w:color w:val="000000"/>
                <w:sz w:val="18"/>
                <w:u w:val="single"/>
                <w:lang w:val="en-US" w:eastAsia="en-US" w:bidi="ar-SA"/>
              </w:rPr>
              <w:t>not know how long or how much time you might have</w:t>
            </w:r>
            <w:r>
              <w:rPr>
                <w:rFonts w:ascii="arial" w:eastAsia="arial" w:hAnsi="arial" w:cs="arial"/>
                <w:color w:val="000000"/>
                <w:sz w:val="18"/>
                <w:lang w:val="en-US" w:eastAsia="en-US" w:bidi="ar-SA"/>
              </w:rPr>
              <w:t xml:space="preserve"> before the situation progressed to that point?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You don't know how long --</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All right.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it's going ...</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Could be an hour, could be five minutes; right</w:t>
            </w:r>
            <w:r>
              <w:rPr>
                <w:rFonts w:ascii="arial" w:eastAsia="arial" w:hAnsi="arial" w:cs="arial"/>
                <w:color w:val="000000"/>
                <w:sz w:val="18"/>
                <w:lang w:val="en-US" w:eastAsia="en-US" w:bidi="ar-SA"/>
              </w:rPr>
              <w: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You knew that if one didn't recognize the situation and didn't act until there was evidence of a complete rupture and the baby being expelled from the uterus, that it might by that point be too late to save the baby from catastrophic injury</w:t>
            </w:r>
            <w:r>
              <w:rPr>
                <w:rFonts w:ascii="arial" w:eastAsia="arial" w:hAnsi="arial" w:cs="arial"/>
                <w:color w:val="000000"/>
                <w:sz w:val="18"/>
                <w:lang w:val="en-US" w:eastAsia="en-US" w:bidi="ar-SA"/>
              </w:rPr>
              <w: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Which -- which is what happened in this case</w:t>
            </w:r>
            <w:r>
              <w:rPr>
                <w:rFonts w:ascii="arial" w:eastAsia="arial" w:hAnsi="arial" w:cs="arial"/>
                <w:color w:val="000000"/>
                <w:sz w:val="18"/>
                <w:lang w:val="en-US" w:eastAsia="en-US" w:bidi="ar-SA"/>
              </w:rPr>
              <w: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Yes</w:t>
            </w:r>
            <w:r>
              <w:rPr>
                <w:rFonts w:ascii="arial" w:eastAsia="arial" w:hAnsi="arial" w:cs="arial"/>
                <w:color w:val="000000"/>
                <w:sz w:val="18"/>
                <w:lang w:val="en-US" w:eastAsia="en-US" w:bidi="ar-SA"/>
              </w:rPr>
              <w: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So you </w:t>
            </w:r>
            <w:r>
              <w:rPr>
                <w:rFonts w:ascii="arial" w:eastAsia="arial" w:hAnsi="arial" w:cs="arial"/>
                <w:color w:val="000000"/>
                <w:sz w:val="18"/>
                <w:u w:val="single"/>
                <w:lang w:val="en-US" w:eastAsia="en-US" w:bidi="ar-SA"/>
              </w:rPr>
              <w:t>knew</w:t>
            </w:r>
            <w:r>
              <w:rPr>
                <w:rFonts w:ascii="arial" w:eastAsia="arial" w:hAnsi="arial" w:cs="arial"/>
                <w:color w:val="000000"/>
                <w:sz w:val="18"/>
                <w:lang w:val="en-US" w:eastAsia="en-US" w:bidi="ar-SA"/>
              </w:rPr>
              <w:t xml:space="preserve"> in dealing with a VBAC patient that you </w:t>
            </w:r>
            <w:r>
              <w:rPr>
                <w:rFonts w:ascii="arial" w:eastAsia="arial" w:hAnsi="arial" w:cs="arial"/>
                <w:color w:val="000000"/>
                <w:sz w:val="18"/>
                <w:u w:val="single"/>
                <w:lang w:val="en-US" w:eastAsia="en-US" w:bidi="ar-SA"/>
              </w:rPr>
              <w:t>had to exercise a high degree of caution and have a high index of suspicion</w:t>
            </w:r>
            <w:r>
              <w:rPr>
                <w:rFonts w:ascii="arial" w:eastAsia="arial" w:hAnsi="arial" w:cs="arial"/>
                <w:color w:val="000000"/>
                <w:sz w:val="18"/>
                <w:lang w:val="en-US" w:eastAsia="en-US" w:bidi="ar-SA"/>
              </w:rPr>
              <w:t>; 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And could you tell His Lordship what "high index of suspicion" </w:t>
            </w:r>
            <w:r>
              <w:rPr>
                <w:rFonts w:ascii="arial" w:eastAsia="arial" w:hAnsi="arial" w:cs="arial"/>
                <w:color w:val="000000"/>
                <w:sz w:val="18"/>
                <w:u w:val="single"/>
                <w:lang w:val="en-US" w:eastAsia="en-US" w:bidi="ar-SA"/>
              </w:rPr>
              <w:t>means</w:t>
            </w:r>
            <w:r>
              <w:rPr>
                <w:rFonts w:ascii="arial" w:eastAsia="arial" w:hAnsi="arial" w:cs="arial"/>
                <w:color w:val="000000"/>
                <w:sz w:val="18"/>
                <w:lang w:val="en-US" w:eastAsia="en-US" w:bidi="ar-SA"/>
              </w:rPr>
              <w: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To me, it basically </w:t>
            </w:r>
            <w:r>
              <w:rPr>
                <w:rFonts w:ascii="arial" w:eastAsia="arial" w:hAnsi="arial" w:cs="arial"/>
                <w:color w:val="000000"/>
                <w:sz w:val="18"/>
                <w:u w:val="single"/>
                <w:lang w:val="en-US" w:eastAsia="en-US" w:bidi="ar-SA"/>
              </w:rPr>
              <w:t>means that it's something you should be thinking about</w:t>
            </w:r>
            <w:r>
              <w:rPr>
                <w:rFonts w:ascii="arial" w:eastAsia="arial" w:hAnsi="arial" w:cs="arial"/>
                <w:color w:val="000000"/>
                <w:sz w:val="18"/>
                <w:lang w:val="en-US" w:eastAsia="en-US" w:bidi="ar-SA"/>
              </w:rPr>
              <w: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And if you think about it </w:t>
            </w:r>
            <w:r>
              <w:rPr>
                <w:rFonts w:ascii="arial" w:eastAsia="arial" w:hAnsi="arial" w:cs="arial"/>
                <w:color w:val="000000"/>
                <w:sz w:val="18"/>
                <w:u w:val="single"/>
                <w:lang w:val="en-US" w:eastAsia="en-US" w:bidi="ar-SA"/>
              </w:rPr>
              <w:t>and realize there is any possibility of it happening</w:t>
            </w:r>
            <w:r>
              <w:rPr>
                <w:rFonts w:ascii="arial" w:eastAsia="arial" w:hAnsi="arial" w:cs="arial"/>
                <w:color w:val="000000"/>
                <w:sz w:val="18"/>
                <w:lang w:val="en-US" w:eastAsia="en-US" w:bidi="ar-SA"/>
              </w:rPr>
              <w:t xml:space="preserve"> or being about to happen, </w:t>
            </w:r>
            <w:r>
              <w:rPr>
                <w:rFonts w:ascii="arial" w:eastAsia="arial" w:hAnsi="arial" w:cs="arial"/>
                <w:color w:val="000000"/>
                <w:sz w:val="18"/>
                <w:u w:val="single"/>
                <w:lang w:val="en-US" w:eastAsia="en-US" w:bidi="ar-SA"/>
              </w:rPr>
              <w:t>you knew that you had to err on the side of caution</w:t>
            </w:r>
            <w:r>
              <w:rPr>
                <w:rFonts w:ascii="arial" w:eastAsia="arial" w:hAnsi="arial" w:cs="arial"/>
                <w:color w:val="000000"/>
                <w:sz w:val="18"/>
                <w:lang w:val="en-US" w:eastAsia="en-US" w:bidi="ar-SA"/>
              </w:rPr>
              <w: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I pause at this point to observe that the answers given by Dr. Reynolds to the above questions (the principles) really demonstrate or state the duty owed by the reasonable, competent, general practitioner in obstetrics when a VBAC patient, in a trial of labour, reports a sign or symptom that is associated with a developing uterine rupture. The answers clearly show as well that Dr. Reynolds fully appreciated the duty she owed to Mrs. Strachan on the morning in question. I observe also that Dr. Reynolds never did engage the differential diagnosis process. She never did exercise a high degree of caution or possess a high index of suspicion. She never did consider the most serious possible explanation, nor did she confirm or rule it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Dr. Reynolds was read the excerpt at p. 547 of Williams Obstetrics, 19th ed., (which she had read before, but did not think she had read before Mrs. Strachan became her patient) that a VBAC patient is neither normal nor low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She agreed that notwithstanding the fact the standard text books say such women are not low risk, it was her practice to treat them as low risk, adding that it was also the practice in the Hospital. While I will have more to say about this in a moment, I observe that the statement is a matter of common sense and aptly describes the situation; that I simply do not accept a statement, whether made by a lay person or a medical practitioner, that a VBAC patient is normal, or that her attendant circumstances expose her to no more risk than a non-VBAC patient. One has a uterine scar which may be susceptible to labour stress, and result in catastrophic injuries to the infant, while the other does not. In my opinion, it is misleading to even suggest normalcy or equivalent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It was suggested to the doctor that she knew that one sign of a rupture or a developing rupture of the uterus is an unusual abdominal pain. She said that it was her understanding that the pain had to be located in the lower abdomen, and that it had to be severe and constant, or "unremitting pain". She said that the source of her knowledge about the signs and symptoms of uterine rupture was the Guidelines, which was referred to earlier. She also agreed that one of the signs under the topic "Signs That May Occur With Impending Uterine Rupture" was "lower abdominal pain between contractions"; that one of the signs listed under the topic "Signs That May Occur With a Complete Or Partial Rupture" was "unusual abdominal/uterine pain; that neither of them refer to a specific location or the severity of the pain required. It is not clear where severe, constant lower abdomen, unremitting pain comes from,; although it would appear to have reference to the actual state of rupture, as opposed to what I have been referring to as a developing uterine rupture.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Dr. Reynolds was referred to the Nurses' Notes and questioned again as to what exactly she had been told by Nurse Kinash during the 5:10 a.m. telephone call. She was specifically referred to the note that the patient was up in the chair, that she was complaining of constant abdominal pain and continued to complain of constant, right-sided pain. When asked whether she was saying that the nurse did not describe the pain to her as constant abdominal pain she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Well, as has already been said, I don't remember a lot of details about the conversation, but I'm sure that the pain was described to me, and I'm sure that the nurse would have told me it was constant, and she would have told me that it was right-sided and she would have told me that it was upper, as we know on the fetal record indicated.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When it was suggested that she was speculating, that she had no recollection of this, she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 but logically I must have been told that it was upper right-handed pain, and even though it was constant, it was not described to me as severe.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When it was put to her that she was not actually told where the pain was located, for example, in the upper or lower abdomen, she said "I think that I must have been told that it was upper". She then had put to her discovery evidence, which had been put to her earlier, to the effect that all she was told about the unusual pain was that it was right-sided.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Dr. Reynolds went on to say that she was sure that if the nurse told her it was right-sided, she would also have mentioned that it was "upper". It did not make sense that she would say that it was right and not right upper. She noted that this is what is written on the fetal strip. I note that her actual description, which she herself wrote in her Progress Notes, which she says she wrote at 5:45 a.m., was "called in because of episode of continuous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When asked, in effect, why she did not say this at discovery, she said "when I was answering the questions and in discovery, I was trying to be honest about exactly what I had remembered, not what I had seen, and it very -- its hard to remember what you're remembering from when".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When it was pointed out that the pain was of sufficient severity and sufficient concern that a very experienced obstetrical nurse had called her at 5:10 a.m. about it, she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understood that she was concerned, yes. She did not sound particularly worried on the phone. She was just asking me to come in to assess the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Because shes experienced, I think if she had been really concerned, I think she would have suggested (a) either that I hurry, or (b) that possibly somebody else should be coming in at the same time. The nurses have absolutely no qualms about suggesting if they feel an obstetrician or someone else should be called in if they're sufficiently worried.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She went on to say that in effect, she and the nurse were looking after Mrs. Strachan together, that the nurses have experience and if they assess a situation as emergent, they will certainty call an obstetrician in, at times, even before they have called the G.P..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When it was put to her that she understood the nurses were looking to her for guidance, and for her to determine what was going on, she said "in this case they phoned because there was something unusual going on. They weren't sure what it was about, and they asked me to come in to assess the situation". I took her answer to be in the affirmative.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I pause to observe at this point again, that Dr. Reynolds emphasized that during the conversation Nurse Kinash did not convey to her that she was really concerned; that she was simply passing on the fact that Mrs. Strachan had an unusual pain which the nurse could not explain. In my opinion, in the circumstances, Dr. Reynolds' interpretation of the situation and, in particular, of the degree of Nurse Kinash's concern, should be of little comfort to her. It was suffice that the complaint was of constant abdominal pain in a VBAC patient, that an experienced obstetric nurse called her at 5:10 a.m. in the morning, and that she went to the hospital to assess the situation. It was a circumstance that required immediate investigation. It was a matter for a specialist, an obstetrician. I observe also that I am not prepared to find that it is more likely than not that Nurse Kinash in fact told her that the pain was upper right-sided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It was put to Dr. Reynolds, with regard to what she had been told by Nurse Kinash at 5:10 a.m. that morning: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 the question of whether this might indicate even the slightest possibility of there being a uterine rupture, or impending uterine rupture </w:t>
            </w:r>
            <w:r>
              <w:rPr>
                <w:rFonts w:ascii="arial" w:eastAsia="arial" w:hAnsi="arial" w:cs="arial"/>
                <w:color w:val="000000"/>
                <w:sz w:val="18"/>
                <w:u w:val="single"/>
                <w:lang w:val="en-US" w:eastAsia="en-US" w:bidi="ar-SA"/>
              </w:rPr>
              <w:t>did not occur to you</w:t>
            </w:r>
            <w:r>
              <w:rPr>
                <w:rFonts w:ascii="arial" w:eastAsia="arial" w:hAnsi="arial" w:cs="arial"/>
                <w:color w:val="000000"/>
                <w:sz w:val="18"/>
                <w:lang w:val="en-US" w:eastAsia="en-US" w:bidi="ar-SA"/>
              </w:rPr>
              <w:t xml:space="preserve"> at all?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 did not specially occur to me, 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Right. You </w:t>
            </w:r>
            <w:r>
              <w:rPr>
                <w:rFonts w:ascii="arial" w:eastAsia="arial" w:hAnsi="arial" w:cs="arial"/>
                <w:color w:val="000000"/>
                <w:sz w:val="18"/>
                <w:u w:val="single"/>
                <w:lang w:val="en-US" w:eastAsia="en-US" w:bidi="ar-SA"/>
              </w:rPr>
              <w:t>just didn't turn your mind to the possibility</w:t>
            </w:r>
            <w:r>
              <w:rPr>
                <w:rFonts w:ascii="arial" w:eastAsia="arial" w:hAnsi="arial" w:cs="arial"/>
                <w:color w:val="000000"/>
                <w:sz w:val="18"/>
                <w:lang w:val="en-US" w:eastAsia="en-US" w:bidi="ar-SA"/>
              </w:rPr>
              <w: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I had no indication that there was anything like that going on</w:t>
            </w:r>
            <w:r>
              <w:rPr>
                <w:rFonts w:ascii="arial" w:eastAsia="arial" w:hAnsi="arial" w:cs="arial"/>
                <w:color w:val="000000"/>
                <w:sz w:val="18"/>
                <w:lang w:val="en-US" w:eastAsia="en-US" w:bidi="ar-SA"/>
              </w:rPr>
              <w: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No, it was not that you had no indication; you didn't think about it one way or the other, did you</w:t>
            </w:r>
            <w:r>
              <w:rPr>
                <w:rFonts w:ascii="arial" w:eastAsia="arial" w:hAnsi="arial" w:cs="arial"/>
                <w:color w:val="000000"/>
                <w:sz w:val="18"/>
                <w:lang w:val="en-US" w:eastAsia="en-US" w:bidi="ar-SA"/>
              </w:rPr>
              <w: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Not that I recall</w:t>
            </w:r>
            <w:r>
              <w:rPr>
                <w:rFonts w:ascii="arial" w:eastAsia="arial" w:hAnsi="arial" w:cs="arial"/>
                <w:color w:val="000000"/>
                <w:sz w:val="18"/>
                <w:lang w:val="en-US" w:eastAsia="en-US" w:bidi="ar-SA"/>
              </w:rPr>
              <w: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All right. And you didn't -- you didn't turn your mind to it, although you knew Karen Strachan to be a VBAC patient;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didn't turn your mind to it, although you knew the risk of uterine rupture to be a specific risk associated with VBAC labour;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It's a very rare risk, yes.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But it's a significant risk; 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its significant in the fact that the result is not very good, 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Yes. It's a </w:t>
            </w:r>
            <w:r>
              <w:rPr>
                <w:rFonts w:ascii="arial" w:eastAsia="arial" w:hAnsi="arial" w:cs="arial"/>
                <w:color w:val="000000"/>
                <w:sz w:val="18"/>
                <w:u w:val="single"/>
                <w:lang w:val="en-US" w:eastAsia="en-US" w:bidi="ar-SA"/>
              </w:rPr>
              <w:t>known risk</w:t>
            </w:r>
            <w:r>
              <w:rPr>
                <w:rFonts w:ascii="arial" w:eastAsia="arial" w:hAnsi="arial" w:cs="arial"/>
                <w:color w:val="000000"/>
                <w:sz w:val="18"/>
                <w:lang w:val="en-US" w:eastAsia="en-US" w:bidi="ar-SA"/>
              </w:rPr>
              <w: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It's a known risk.</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She was then asked, and she answered: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So if I understand you correctly, your -- your differential diagnosis or what things you might put on your list of differential diagnosis depends entirely on the </w:t>
            </w:r>
            <w:r>
              <w:rPr>
                <w:rFonts w:ascii="arial" w:eastAsia="arial" w:hAnsi="arial" w:cs="arial"/>
                <w:color w:val="000000"/>
                <w:sz w:val="18"/>
                <w:u w:val="single"/>
                <w:lang w:val="en-US" w:eastAsia="en-US" w:bidi="ar-SA"/>
              </w:rPr>
              <w:t>level of concern</w:t>
            </w:r>
            <w:r>
              <w:rPr>
                <w:rFonts w:ascii="arial" w:eastAsia="arial" w:hAnsi="arial" w:cs="arial"/>
                <w:color w:val="000000"/>
                <w:sz w:val="18"/>
                <w:lang w:val="en-US" w:eastAsia="en-US" w:bidi="ar-SA"/>
              </w:rPr>
              <w:t xml:space="preserve"> that </w:t>
            </w:r>
            <w:r>
              <w:rPr>
                <w:rFonts w:ascii="arial" w:eastAsia="arial" w:hAnsi="arial" w:cs="arial"/>
                <w:color w:val="000000"/>
                <w:sz w:val="18"/>
                <w:u w:val="single"/>
                <w:lang w:val="en-US" w:eastAsia="en-US" w:bidi="ar-SA"/>
              </w:rPr>
              <w:t>the nurse</w:t>
            </w:r>
            <w:r>
              <w:rPr>
                <w:rFonts w:ascii="arial" w:eastAsia="arial" w:hAnsi="arial" w:cs="arial"/>
                <w:color w:val="000000"/>
                <w:sz w:val="18"/>
                <w:lang w:val="en-US" w:eastAsia="en-US" w:bidi="ar-SA"/>
              </w:rPr>
              <w:t xml:space="preserve"> happens to convey to you on the telephone?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Well, obviously that's a factor</w:t>
            </w:r>
            <w:r>
              <w:rPr>
                <w:rFonts w:ascii="arial" w:eastAsia="arial" w:hAnsi="arial" w:cs="arial"/>
                <w:color w:val="000000"/>
                <w:sz w:val="18"/>
                <w:lang w:val="en-US" w:eastAsia="en-US" w:bidi="ar-SA"/>
              </w:rPr>
              <w:t>. Shes an experienced nurse and she was not particularly worried.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Dr. Reynolds went on to say that if there had been a rupture at that time there certainly would have been other signs and symptoms associated with it. She also agreed again that given the severity of uterine rupture, even one sign consistent with it at the least requires her to address the possibility.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xml:space="preserve">  Mr. Smith questioned Dr. Reynolds at some length as to what she knew and would have done, if after receiving the telephone call she had turned her mind to the possibility of uterine rupture. Most of her answers appear to be based on what actually happened, and if there </w:t>
      </w:r>
      <w:r>
        <w:rPr>
          <w:rFonts w:ascii="arial" w:eastAsia="arial" w:hAnsi="arial" w:cs="arial"/>
          <w:color w:val="000000"/>
          <w:sz w:val="20"/>
          <w:u w:val="single"/>
          <w:lang w:val="en-US" w:eastAsia="en-US" w:bidi="ar-SA"/>
        </w:rPr>
        <w:t>had been uterine rupture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However, in summing up his questions, Mr. Smith said: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And what I'm going to suggest to you is, knowing all the things we've been through, knowing how </w:t>
            </w:r>
            <w:r>
              <w:rPr>
                <w:rFonts w:ascii="arial" w:eastAsia="arial" w:hAnsi="arial" w:cs="arial"/>
                <w:color w:val="000000"/>
                <w:sz w:val="18"/>
                <w:u w:val="single"/>
                <w:lang w:val="en-US" w:eastAsia="en-US" w:bidi="ar-SA"/>
              </w:rPr>
              <w:t>quickly</w:t>
            </w:r>
            <w:r>
              <w:rPr>
                <w:rFonts w:ascii="arial" w:eastAsia="arial" w:hAnsi="arial" w:cs="arial"/>
                <w:color w:val="000000"/>
                <w:sz w:val="18"/>
                <w:lang w:val="en-US" w:eastAsia="en-US" w:bidi="ar-SA"/>
              </w:rPr>
              <w:t xml:space="preserve"> that situation can develop, if in fact there is the situation, knowing the </w:t>
            </w:r>
            <w:r>
              <w:rPr>
                <w:rFonts w:ascii="arial" w:eastAsia="arial" w:hAnsi="arial" w:cs="arial"/>
                <w:color w:val="000000"/>
                <w:sz w:val="18"/>
                <w:u w:val="single"/>
                <w:lang w:val="en-US" w:eastAsia="en-US" w:bidi="ar-SA"/>
              </w:rPr>
              <w:t>level of expertise</w:t>
            </w:r>
            <w:r>
              <w:rPr>
                <w:rFonts w:ascii="arial" w:eastAsia="arial" w:hAnsi="arial" w:cs="arial"/>
                <w:color w:val="000000"/>
                <w:sz w:val="18"/>
                <w:lang w:val="en-US" w:eastAsia="en-US" w:bidi="ar-SA"/>
              </w:rPr>
              <w:t xml:space="preserve"> that would be </w:t>
            </w:r>
            <w:r>
              <w:rPr>
                <w:rFonts w:ascii="arial" w:eastAsia="arial" w:hAnsi="arial" w:cs="arial"/>
                <w:color w:val="000000"/>
                <w:sz w:val="18"/>
                <w:u w:val="single"/>
                <w:lang w:val="en-US" w:eastAsia="en-US" w:bidi="ar-SA"/>
              </w:rPr>
              <w:t>needed</w:t>
            </w:r>
            <w:r>
              <w:rPr>
                <w:rFonts w:ascii="arial" w:eastAsia="arial" w:hAnsi="arial" w:cs="arial"/>
                <w:color w:val="000000"/>
                <w:sz w:val="18"/>
                <w:lang w:val="en-US" w:eastAsia="en-US" w:bidi="ar-SA"/>
              </w:rPr>
              <w:t xml:space="preserve"> to deal with it, and </w:t>
            </w:r>
            <w:r>
              <w:rPr>
                <w:rFonts w:ascii="arial" w:eastAsia="arial" w:hAnsi="arial" w:cs="arial"/>
                <w:color w:val="000000"/>
                <w:sz w:val="18"/>
                <w:u w:val="single"/>
                <w:lang w:val="en-US" w:eastAsia="en-US" w:bidi="ar-SA"/>
              </w:rPr>
              <w:t>knowing</w:t>
            </w:r>
            <w:r>
              <w:rPr>
                <w:rFonts w:ascii="arial" w:eastAsia="arial" w:hAnsi="arial" w:cs="arial"/>
                <w:color w:val="000000"/>
                <w:sz w:val="18"/>
                <w:lang w:val="en-US" w:eastAsia="en-US" w:bidi="ar-SA"/>
              </w:rPr>
              <w:t xml:space="preserve"> the </w:t>
            </w:r>
            <w:r>
              <w:rPr>
                <w:rFonts w:ascii="arial" w:eastAsia="arial" w:hAnsi="arial" w:cs="arial"/>
                <w:color w:val="000000"/>
                <w:sz w:val="18"/>
                <w:u w:val="single"/>
                <w:lang w:val="en-US" w:eastAsia="en-US" w:bidi="ar-SA"/>
              </w:rPr>
              <w:t>consequences</w:t>
            </w:r>
            <w:r>
              <w:rPr>
                <w:rFonts w:ascii="arial" w:eastAsia="arial" w:hAnsi="arial" w:cs="arial"/>
                <w:color w:val="000000"/>
                <w:sz w:val="18"/>
                <w:lang w:val="en-US" w:eastAsia="en-US" w:bidi="ar-SA"/>
              </w:rPr>
              <w:t xml:space="preserve"> of not dealing with it in time, the </w:t>
            </w:r>
            <w:r>
              <w:rPr>
                <w:rFonts w:ascii="arial" w:eastAsia="arial" w:hAnsi="arial" w:cs="arial"/>
                <w:color w:val="000000"/>
                <w:sz w:val="18"/>
                <w:u w:val="single"/>
                <w:lang w:val="en-US" w:eastAsia="en-US" w:bidi="ar-SA"/>
              </w:rPr>
              <w:t>prudent thing to do would be to ask the nurse to at least notify the obstetrician on call, wouldn't it</w:t>
            </w:r>
            <w:r>
              <w:rPr>
                <w:rFonts w:ascii="arial" w:eastAsia="arial" w:hAnsi="arial" w:cs="arial"/>
                <w:color w:val="000000"/>
                <w:sz w:val="18"/>
                <w:lang w:val="en-US" w:eastAsia="en-US" w:bidi="ar-SA"/>
              </w:rPr>
              <w: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In hindsight, obviously that's what I should have done</w:t>
            </w:r>
            <w:r>
              <w:rPr>
                <w:rFonts w:ascii="arial" w:eastAsia="arial" w:hAnsi="arial" w:cs="arial"/>
                <w:color w:val="000000"/>
                <w:sz w:val="18"/>
                <w:lang w:val="en-US" w:eastAsia="en-US" w:bidi="ar-SA"/>
              </w:rPr>
              <w: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Mr. Smith made it clear that he was not talking about hindsight. He pointed out, and she agreed, that at 5:10 a.m., all she knew was that she had a VBAC patient with unusual abdominal pain. And he asked her again: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All right. And you know from the BCRCP Guidelines that we talked about that unusual </w:t>
            </w:r>
            <w:r>
              <w:rPr>
                <w:rFonts w:ascii="arial" w:eastAsia="arial" w:hAnsi="arial" w:cs="arial"/>
                <w:color w:val="000000"/>
                <w:sz w:val="18"/>
                <w:u w:val="single"/>
                <w:lang w:val="en-US" w:eastAsia="en-US" w:bidi="ar-SA"/>
              </w:rPr>
              <w:t>pain</w:t>
            </w:r>
            <w:r>
              <w:rPr>
                <w:rFonts w:ascii="arial" w:eastAsia="arial" w:hAnsi="arial" w:cs="arial"/>
                <w:color w:val="000000"/>
                <w:sz w:val="18"/>
                <w:lang w:val="en-US" w:eastAsia="en-US" w:bidi="ar-SA"/>
              </w:rPr>
              <w:t xml:space="preserve"> in a VBAC patient </w:t>
            </w:r>
            <w:r>
              <w:rPr>
                <w:rFonts w:ascii="arial" w:eastAsia="arial" w:hAnsi="arial" w:cs="arial"/>
                <w:color w:val="000000"/>
                <w:sz w:val="18"/>
                <w:u w:val="single"/>
                <w:lang w:val="en-US" w:eastAsia="en-US" w:bidi="ar-SA"/>
              </w:rPr>
              <w:t>is one symptom</w:t>
            </w:r>
            <w:r>
              <w:rPr>
                <w:rFonts w:ascii="arial" w:eastAsia="arial" w:hAnsi="arial" w:cs="arial"/>
                <w:color w:val="000000"/>
                <w:sz w:val="18"/>
                <w:lang w:val="en-US" w:eastAsia="en-US" w:bidi="ar-SA"/>
              </w:rPr>
              <w:t xml:space="preserve"> that is known to be </w:t>
            </w:r>
            <w:r>
              <w:rPr>
                <w:rFonts w:ascii="arial" w:eastAsia="arial" w:hAnsi="arial" w:cs="arial"/>
                <w:color w:val="000000"/>
                <w:sz w:val="18"/>
                <w:u w:val="single"/>
                <w:lang w:val="en-US" w:eastAsia="en-US" w:bidi="ar-SA"/>
              </w:rPr>
              <w:t>associated with uterine rupture</w:t>
            </w:r>
            <w:r>
              <w:rPr>
                <w:rFonts w:ascii="arial" w:eastAsia="arial" w:hAnsi="arial" w:cs="arial"/>
                <w:color w:val="000000"/>
                <w:sz w:val="18"/>
                <w:lang w:val="en-US" w:eastAsia="en-US" w:bidi="ar-SA"/>
              </w:rPr>
              <w:t>, don't you?</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With a uterine thats </w:t>
            </w:r>
            <w:r>
              <w:rPr>
                <w:rFonts w:ascii="arial" w:eastAsia="arial" w:hAnsi="arial" w:cs="arial"/>
                <w:color w:val="000000"/>
                <w:sz w:val="18"/>
                <w:u w:val="single"/>
                <w:lang w:val="en-US" w:eastAsia="en-US" w:bidi="ar-SA"/>
              </w:rPr>
              <w:t>already ruptured</w:t>
            </w:r>
            <w:r>
              <w:rPr>
                <w:rFonts w:ascii="arial" w:eastAsia="arial" w:hAnsi="arial" w:cs="arial"/>
                <w:color w:val="000000"/>
                <w:sz w:val="18"/>
                <w:lang w:val="en-US" w:eastAsia="en-US" w:bidi="ar-SA"/>
              </w:rPr>
              <w: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She went on to say that if the uterus had already ruptured there would have been other signs such as fetal distress. This, of course, is an understatement.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xml:space="preserve">  When questioned again about the Guidelines, and the fact that uterine rupture </w:t>
      </w:r>
      <w:r>
        <w:rPr>
          <w:rFonts w:ascii="arial" w:eastAsia="arial" w:hAnsi="arial" w:cs="arial"/>
          <w:color w:val="000000"/>
          <w:sz w:val="20"/>
          <w:u w:val="single"/>
          <w:lang w:val="en-US" w:eastAsia="en-US" w:bidi="ar-SA"/>
        </w:rPr>
        <w:t>was a progressive process</w:t>
      </w:r>
      <w:r>
        <w:rPr>
          <w:rFonts w:ascii="arial" w:eastAsia="arial" w:hAnsi="arial" w:cs="arial"/>
          <w:color w:val="000000"/>
          <w:sz w:val="20"/>
          <w:lang w:val="en-US" w:eastAsia="en-US" w:bidi="ar-SA"/>
        </w:rPr>
        <w:t>, the following exchange took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You </w:t>
            </w:r>
            <w:r>
              <w:rPr>
                <w:rFonts w:ascii="arial" w:eastAsia="arial" w:hAnsi="arial" w:cs="arial"/>
                <w:color w:val="000000"/>
                <w:sz w:val="18"/>
                <w:u w:val="single"/>
                <w:lang w:val="en-US" w:eastAsia="en-US" w:bidi="ar-SA"/>
              </w:rPr>
              <w:t>knew</w:t>
            </w:r>
            <w:r>
              <w:rPr>
                <w:rFonts w:ascii="arial" w:eastAsia="arial" w:hAnsi="arial" w:cs="arial"/>
                <w:color w:val="000000"/>
                <w:sz w:val="18"/>
                <w:lang w:val="en-US" w:eastAsia="en-US" w:bidi="ar-SA"/>
              </w:rPr>
              <w:t xml:space="preserve"> that signs -- that </w:t>
            </w:r>
            <w:r>
              <w:rPr>
                <w:rFonts w:ascii="arial" w:eastAsia="arial" w:hAnsi="arial" w:cs="arial"/>
                <w:color w:val="000000"/>
                <w:sz w:val="18"/>
                <w:u w:val="single"/>
                <w:lang w:val="en-US" w:eastAsia="en-US" w:bidi="ar-SA"/>
              </w:rPr>
              <w:t>unusual abdominal pain is associated with partial or complete rupture</w:t>
            </w:r>
            <w:r>
              <w:rPr>
                <w:rFonts w:ascii="arial" w:eastAsia="arial" w:hAnsi="arial" w:cs="arial"/>
                <w:color w:val="000000"/>
                <w:sz w:val="18"/>
                <w:lang w:val="en-US" w:eastAsia="en-US" w:bidi="ar-SA"/>
              </w:rPr>
              <w: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Yes</w:t>
            </w:r>
            <w:r>
              <w:rPr>
                <w:rFonts w:ascii="arial" w:eastAsia="arial" w:hAnsi="arial" w:cs="arial"/>
                <w:color w:val="000000"/>
                <w:sz w:val="18"/>
                <w:lang w:val="en-US" w:eastAsia="en-US" w:bidi="ar-SA"/>
              </w:rPr>
              <w: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And it is a progressive process, isn't it</w:t>
            </w:r>
            <w:r>
              <w:rPr>
                <w:rFonts w:ascii="arial" w:eastAsia="arial" w:hAnsi="arial" w:cs="arial"/>
                <w:color w:val="000000"/>
                <w:sz w:val="18"/>
                <w:lang w:val="en-US" w:eastAsia="en-US" w:bidi="ar-SA"/>
              </w:rPr>
              <w:t>? The scar gets further and further separated until at some point the uterus ruptures completely and the baby is expelled into the abdominal cavity; right?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Yes</w:t>
            </w:r>
            <w:r>
              <w:rPr>
                <w:rFonts w:ascii="arial" w:eastAsia="arial" w:hAnsi="arial" w:cs="arial"/>
                <w:color w:val="000000"/>
                <w:sz w:val="18"/>
                <w:lang w:val="en-US" w:eastAsia="en-US" w:bidi="ar-SA"/>
              </w:rPr>
              <w:t xml:space="preserve">, but my reading of this paper is that with impending, i.e., when it's happening or occurring, you </w:t>
            </w:r>
            <w:r>
              <w:rPr>
                <w:rFonts w:ascii="arial" w:eastAsia="arial" w:hAnsi="arial" w:cs="arial"/>
                <w:color w:val="000000"/>
                <w:sz w:val="18"/>
                <w:u w:val="single"/>
                <w:lang w:val="en-US" w:eastAsia="en-US" w:bidi="ar-SA"/>
              </w:rPr>
              <w:t>would have a lower abdominal pain between contractions</w:t>
            </w:r>
            <w:r>
              <w:rPr>
                <w:rFonts w:ascii="arial" w:eastAsia="arial" w:hAnsi="arial" w:cs="arial"/>
                <w:color w:val="000000"/>
                <w:sz w:val="18"/>
                <w:lang w:val="en-US" w:eastAsia="en-US" w:bidi="ar-SA"/>
              </w:rPr>
              <w:t>. (Emphasis added).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She continued to say that the way that she read the paper "signs that may occur with impending uterine rupture" meant signs that have occurred when they have </w:t>
      </w:r>
      <w:r>
        <w:rPr>
          <w:rFonts w:ascii="arial" w:eastAsia="arial" w:hAnsi="arial" w:cs="arial"/>
          <w:color w:val="000000"/>
          <w:sz w:val="20"/>
          <w:u w:val="single"/>
          <w:lang w:val="en-US" w:eastAsia="en-US" w:bidi="ar-SA"/>
        </w:rPr>
        <w:t>already had a rupture</w:t>
      </w:r>
      <w:r>
        <w:rPr>
          <w:rFonts w:ascii="arial" w:eastAsia="arial" w:hAnsi="arial" w:cs="arial"/>
          <w:color w:val="000000"/>
          <w:sz w:val="20"/>
          <w:lang w:val="en-US" w:eastAsia="en-US" w:bidi="ar-SA"/>
        </w:rPr>
        <w:t>. In my view, this is a strained interpretation. She knew Mr. Smith was asking about a developing uterine rupture, not actual uterine rupture. What she seemed to be saying was that the only abdominal sign of uterine rupture was lower abdominal pain, which, I note, Mrs. Strachan recalled experiencing at least at one point. She then added: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a partial rupture, though, it would not just -- I know that they're listed here in this as if -- as if they are sort of -- you could only have one. But the thing is that you're going to have more than one symptom if you had a partial rupture. And the most consistent one, in my understanding, is that you are going to have fetal distress.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Mr. Smith then repeated his question and carried on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And I appreciate you're saying you don't think there was a reason for you to think about uterine rupture. But if, hypothetically, anything you thought on the phone at 5:10 caused you to </w:t>
            </w:r>
            <w:r>
              <w:rPr>
                <w:rFonts w:ascii="arial" w:eastAsia="arial" w:hAnsi="arial" w:cs="arial"/>
                <w:color w:val="000000"/>
                <w:sz w:val="18"/>
                <w:u w:val="single"/>
                <w:lang w:val="en-US" w:eastAsia="en-US" w:bidi="ar-SA"/>
              </w:rPr>
              <w:t>even consider the possibility</w:t>
            </w:r>
            <w:r>
              <w:rPr>
                <w:rFonts w:ascii="arial" w:eastAsia="arial" w:hAnsi="arial" w:cs="arial"/>
                <w:color w:val="000000"/>
                <w:sz w:val="18"/>
                <w:lang w:val="en-US" w:eastAsia="en-US" w:bidi="ar-SA"/>
              </w:rPr>
              <w:t xml:space="preserve"> of a uterine rupture, </w:t>
            </w:r>
            <w:r>
              <w:rPr>
                <w:rFonts w:ascii="arial" w:eastAsia="arial" w:hAnsi="arial" w:cs="arial"/>
                <w:color w:val="000000"/>
                <w:sz w:val="18"/>
                <w:u w:val="single"/>
                <w:lang w:val="en-US" w:eastAsia="en-US" w:bidi="ar-SA"/>
              </w:rPr>
              <w:t>the prudent thing to do would have been to have the obstetrician notified, wouldn't it</w:t>
            </w:r>
            <w:r>
              <w:rPr>
                <w:rFonts w:ascii="arial" w:eastAsia="arial" w:hAnsi="arial" w:cs="arial"/>
                <w:color w:val="000000"/>
                <w:sz w:val="18"/>
                <w:lang w:val="en-US" w:eastAsia="en-US" w:bidi="ar-SA"/>
              </w:rPr>
              <w: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If I had thought that it was a uterine rupture, I definitely would have called the obstetrician</w:t>
            </w:r>
            <w:r>
              <w:rPr>
                <w:rFonts w:ascii="arial" w:eastAsia="arial" w:hAnsi="arial" w:cs="arial"/>
                <w:color w:val="000000"/>
                <w:sz w:val="18"/>
                <w:lang w:val="en-US" w:eastAsia="en-US" w:bidi="ar-SA"/>
              </w:rPr>
              <w: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If you thought even there was a </w:t>
            </w:r>
            <w:r>
              <w:rPr>
                <w:rFonts w:ascii="arial" w:eastAsia="arial" w:hAnsi="arial" w:cs="arial"/>
                <w:color w:val="000000"/>
                <w:sz w:val="18"/>
                <w:u w:val="single"/>
                <w:lang w:val="en-US" w:eastAsia="en-US" w:bidi="ar-SA"/>
              </w:rPr>
              <w:t>possibility</w:t>
            </w:r>
            <w:r>
              <w:rPr>
                <w:rFonts w:ascii="arial" w:eastAsia="arial" w:hAnsi="arial" w:cs="arial"/>
                <w:color w:val="000000"/>
                <w:sz w:val="18"/>
                <w:lang w:val="en-US" w:eastAsia="en-US" w:bidi="ar-SA"/>
              </w:rPr>
              <w:t xml:space="preserve"> of a uterine rupture, or had it on your differential diagnosis you would have called the obstetrician, wouldn't you?</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I'm sorry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If you had thought there was a </w:t>
            </w:r>
            <w:r>
              <w:rPr>
                <w:rFonts w:ascii="arial" w:eastAsia="arial" w:hAnsi="arial" w:cs="arial"/>
                <w:color w:val="000000"/>
                <w:sz w:val="18"/>
                <w:u w:val="single"/>
                <w:lang w:val="en-US" w:eastAsia="en-US" w:bidi="ar-SA"/>
              </w:rPr>
              <w:t>possibility</w:t>
            </w:r>
            <w:r>
              <w:rPr>
                <w:rFonts w:ascii="arial" w:eastAsia="arial" w:hAnsi="arial" w:cs="arial"/>
                <w:color w:val="000000"/>
                <w:sz w:val="18"/>
                <w:lang w:val="en-US" w:eastAsia="en-US" w:bidi="ar-SA"/>
              </w:rPr>
              <w:t xml:space="preserve"> of a uterine rupture, or you had that condition on your list of differential diagnosis you would have called the obstetrician immediately, wouldn't you?</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If I thought there was a possibility I ... it would depend on the degree of possibility</w:t>
            </w:r>
            <w:r>
              <w:rPr>
                <w:rFonts w:ascii="arial" w:eastAsia="arial" w:hAnsi="arial" w:cs="arial"/>
                <w:color w:val="000000"/>
                <w:sz w:val="18"/>
                <w:lang w:val="en-US" w:eastAsia="en-US" w:bidi="ar-SA"/>
              </w:rPr>
              <w: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All right</w:t>
            </w:r>
            <w:r>
              <w:rPr>
                <w:rFonts w:ascii="arial" w:eastAsia="arial" w:hAnsi="arial" w:cs="arial"/>
                <w:color w:val="000000"/>
                <w:sz w:val="18"/>
                <w:lang w:val="en-US" w:eastAsia="en-US" w:bidi="ar-SA"/>
              </w:rPr>
              <w: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That again is a different thing ... </w:t>
            </w:r>
            <w:r>
              <w:rPr>
                <w:rFonts w:ascii="arial" w:eastAsia="arial" w:hAnsi="arial" w:cs="arial"/>
                <w:color w:val="000000"/>
                <w:sz w:val="18"/>
                <w:u w:val="single"/>
                <w:lang w:val="en-US" w:eastAsia="en-US" w:bidi="ar-SA"/>
              </w:rPr>
              <w:t>a different question to answer knowing the result and knowing the tone of the conversation. Obviously if I thought there was any possibility that there was a uterine rupture I would have called the obstetrician, but I did not think it was a possibility when I was called in to the hospital</w:t>
            </w:r>
            <w:r>
              <w:rPr>
                <w:rFonts w:ascii="arial" w:eastAsia="arial" w:hAnsi="arial" w:cs="arial"/>
                <w:color w:val="000000"/>
                <w:sz w:val="18"/>
                <w:lang w:val="en-US" w:eastAsia="en-US" w:bidi="ar-SA"/>
              </w:rPr>
              <w:t>. (Emphasis added).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will be seen that it is my opinion that as a result of the telephone call, Dr. Reynolds should have considered the possibility that the unusual pain was caused by uterine rupture (which was the very risk which she was supposed to be watching for) and she should have telephoned the obstetrician. It was, as I have said, a matter for a specialist, an obstetrician. She should have at least consulted him in the context, including her lack of experience with a developing uterine rupture in relation to VBAC patients, and the serious risk of a developing uterine rupture.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Dr. Reynolds agreed that even if she had turned her mind to the possibility of a developing uterine rupture, and she was told that the unusual pain was upper rather than lower, she would not have dismissed the possibility of uterine rupture from her mind. What she would have done was look for other signs or symptoms which might be present if it was uterine rupture. She said that the most consistent other sign would be a change in fetal heart rate pattern, particularly deceleration, a non-reassuring fetal heart 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She then was asked to assume that the nurse told her that they did not have a non-reassuring fetal heart pattern. She agreed that all that would tell her is that if there was a developing uterine rupture situation, it had not as yet reached the stage where it was interfering with the blood supply through the umbilical cord to the fetus. She agreed that the lack of a non-reassuring heart pattern does not, in and of its self, exclude consideration of a uterine rupture. However, she added that it was "very reassuring if the fetal heart rate is reassuring".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Mr. Smith then asked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If you have clinical signs or symptoms that you </w:t>
            </w:r>
            <w:r>
              <w:rPr>
                <w:rFonts w:ascii="arial" w:eastAsia="arial" w:hAnsi="arial" w:cs="arial"/>
                <w:color w:val="000000"/>
                <w:sz w:val="18"/>
                <w:u w:val="single"/>
                <w:lang w:val="en-US" w:eastAsia="en-US" w:bidi="ar-SA"/>
              </w:rPr>
              <w:t>think may be associated with uterine rupture</w:t>
            </w:r>
            <w:r>
              <w:rPr>
                <w:rFonts w:ascii="arial" w:eastAsia="arial" w:hAnsi="arial" w:cs="arial"/>
                <w:color w:val="000000"/>
                <w:sz w:val="18"/>
                <w:lang w:val="en-US" w:eastAsia="en-US" w:bidi="ar-SA"/>
              </w:rPr>
              <w:t xml:space="preserve"> and the fetal heart -- </w:t>
            </w:r>
            <w:r>
              <w:rPr>
                <w:rFonts w:ascii="arial" w:eastAsia="arial" w:hAnsi="arial" w:cs="arial"/>
                <w:color w:val="000000"/>
                <w:sz w:val="18"/>
                <w:u w:val="single"/>
                <w:lang w:val="en-US" w:eastAsia="en-US" w:bidi="ar-SA"/>
              </w:rPr>
              <w:t>the lack</w:t>
            </w:r>
            <w:r>
              <w:rPr>
                <w:rFonts w:ascii="arial" w:eastAsia="arial" w:hAnsi="arial" w:cs="arial"/>
                <w:color w:val="000000"/>
                <w:sz w:val="18"/>
                <w:lang w:val="en-US" w:eastAsia="en-US" w:bidi="ar-SA"/>
              </w:rPr>
              <w:t xml:space="preserve"> of fetal heart abnormalities </w:t>
            </w:r>
            <w:r>
              <w:rPr>
                <w:rFonts w:ascii="arial" w:eastAsia="arial" w:hAnsi="arial" w:cs="arial"/>
                <w:color w:val="000000"/>
                <w:sz w:val="18"/>
                <w:u w:val="single"/>
                <w:lang w:val="en-US" w:eastAsia="en-US" w:bidi="ar-SA"/>
              </w:rPr>
              <w:t>doesn't exclude that consideration</w:t>
            </w:r>
            <w:r>
              <w:rPr>
                <w:rFonts w:ascii="arial" w:eastAsia="arial" w:hAnsi="arial" w:cs="arial"/>
                <w:color w:val="000000"/>
                <w:sz w:val="18"/>
                <w:lang w:val="en-US" w:eastAsia="en-US" w:bidi="ar-SA"/>
              </w:rPr>
              <w:t xml:space="preserve">. The fetal heart pattern is only reassuring in the sense that it </w:t>
            </w:r>
            <w:r>
              <w:rPr>
                <w:rFonts w:ascii="arial" w:eastAsia="arial" w:hAnsi="arial" w:cs="arial"/>
                <w:color w:val="000000"/>
                <w:sz w:val="18"/>
                <w:u w:val="single"/>
                <w:lang w:val="en-US" w:eastAsia="en-US" w:bidi="ar-SA"/>
              </w:rPr>
              <w:t>tells you if you do have a uterine rupture on your hands you still have time to act</w:t>
            </w:r>
            <w:r>
              <w:rPr>
                <w:rFonts w:ascii="arial" w:eastAsia="arial" w:hAnsi="arial" w:cs="arial"/>
                <w:color w:val="000000"/>
                <w:sz w:val="18"/>
                <w:lang w:val="en-US" w:eastAsia="en-US" w:bidi="ar-SA"/>
              </w:rPr>
              <w:t xml:space="preserve"> before the baby starts being affected by it; 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Put in that way, </w:t>
            </w:r>
            <w:r>
              <w:rPr>
                <w:rFonts w:ascii="arial" w:eastAsia="arial" w:hAnsi="arial" w:cs="arial"/>
                <w:color w:val="000000"/>
                <w:sz w:val="18"/>
                <w:u w:val="single"/>
                <w:lang w:val="en-US" w:eastAsia="en-US" w:bidi="ar-SA"/>
              </w:rPr>
              <w:t>yes</w:t>
            </w:r>
            <w:r>
              <w:rPr>
                <w:rFonts w:ascii="arial" w:eastAsia="arial" w:hAnsi="arial" w:cs="arial"/>
                <w:color w:val="000000"/>
                <w:sz w:val="18"/>
                <w:lang w:val="en-US" w:eastAsia="en-US" w:bidi="ar-SA"/>
              </w:rPr>
              <w: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She went on to agree that at that point they would still not know how much time they had.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It was put to Dr. Reynolds that another sign associated with the possibility of developing uterine rupture is that contractions may seem to change, or the pattern may change, or there may be a falling off of contractions. She said that it was usual that they completely stop; also that it was possible to have "incoordinate uterine activity" which is also a sign which may occur with a complete or partial rupture or an impending rupture. It involves the muscle not contracting in an appropriate way to put pressure on the baby to bring it down into the pelvis.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She then had the following discovery evidence put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Q.315:</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Just going back to the contractions, Nurse Kinash said on her discovery that by 5:10 she </w:t>
            </w:r>
            <w:r>
              <w:rPr>
                <w:rFonts w:ascii="arial" w:eastAsia="arial" w:hAnsi="arial" w:cs="arial"/>
                <w:color w:val="000000"/>
                <w:sz w:val="18"/>
                <w:u w:val="single"/>
                <w:lang w:val="en-US" w:eastAsia="en-US" w:bidi="ar-SA"/>
              </w:rPr>
              <w:t>believed contractions had become less frequent than they had been earlier</w:t>
            </w:r>
            <w:r>
              <w:rPr>
                <w:rFonts w:ascii="arial" w:eastAsia="arial" w:hAnsi="arial" w:cs="arial"/>
                <w:color w:val="000000"/>
                <w:sz w:val="18"/>
                <w:lang w:val="en-US" w:eastAsia="en-US" w:bidi="ar-SA"/>
              </w:rPr>
              <w:t>. Did she communicate anything of that nature to you?</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Q.316:</w:t>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Would that have been significant to you?</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Yes, </w:t>
            </w:r>
            <w:r>
              <w:rPr>
                <w:rFonts w:ascii="arial" w:eastAsia="arial" w:hAnsi="arial" w:cs="arial"/>
                <w:color w:val="000000"/>
                <w:sz w:val="18"/>
                <w:u w:val="single"/>
                <w:lang w:val="en-US" w:eastAsia="en-US" w:bidi="ar-SA"/>
              </w:rPr>
              <w:t>potentially significant</w:t>
            </w:r>
            <w:r>
              <w:rPr>
                <w:rFonts w:ascii="arial" w:eastAsia="arial" w:hAnsi="arial" w:cs="arial"/>
                <w:color w:val="000000"/>
                <w:sz w:val="18"/>
                <w:lang w:val="en-US" w:eastAsia="en-US" w:bidi="ar-SA"/>
              </w:rPr>
              <w: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Q.317:</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 what way?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Well, the most ... I mean, it certainly ... a decrease in uterine contractions is </w:t>
            </w:r>
            <w:r>
              <w:rPr>
                <w:rFonts w:ascii="arial" w:eastAsia="arial" w:hAnsi="arial" w:cs="arial"/>
                <w:color w:val="000000"/>
                <w:sz w:val="18"/>
                <w:u w:val="single"/>
                <w:lang w:val="en-US" w:eastAsia="en-US" w:bidi="ar-SA"/>
              </w:rPr>
              <w:t>considered one of the signs of an impending uterine rupture</w:t>
            </w:r>
            <w:r>
              <w:rPr>
                <w:rFonts w:ascii="arial" w:eastAsia="arial" w:hAnsi="arial" w:cs="arial"/>
                <w:color w:val="000000"/>
                <w:sz w:val="18"/>
                <w:lang w:val="en-US" w:eastAsia="en-US" w:bidi="ar-SA"/>
              </w:rPr>
              <w:t>. Its also a sign that labour is not progressing well.</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Q.318:</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Would a decrease in contractions be a greater concern in the context of there having been a complaint of unusual pain</w:t>
            </w:r>
            <w:r>
              <w:rPr>
                <w:rFonts w:ascii="arial" w:eastAsia="arial" w:hAnsi="arial" w:cs="arial"/>
                <w:color w:val="000000"/>
                <w:sz w:val="18"/>
                <w:lang w:val="en-US" w:eastAsia="en-US" w:bidi="ar-SA"/>
              </w:rPr>
              <w: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It should be, yes</w:t>
            </w:r>
            <w:r>
              <w:rPr>
                <w:rFonts w:ascii="arial" w:eastAsia="arial" w:hAnsi="arial" w:cs="arial"/>
                <w:color w:val="000000"/>
                <w:sz w:val="18"/>
                <w:lang w:val="en-US" w:eastAsia="en-US" w:bidi="ar-SA"/>
              </w:rPr>
              <w: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observe that when Dr. Reynolds arrived at the hospital, there were, in fact, two signs of possible developing uterine rupture, a decrease or change in contractions, and the complaint of constant abdominal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Dr. Reynolds went on to say that she could not recall the nurse conveying anything to her about a change in contractions; although it was her expectation that the nurse would notify her of any concerns she might have which she thought was significant. She also agreed that on arriving at the Hospital, by 5:30 a.m. she was in a position to know that contractions had indeed become less frequent, because this was disclosed by the monitor.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Her Progress Note at 5:30 a.m. was that contractions were three minutes apart. I am unable to find a reliable recording for her conclusion. As will be seen, the monitoring system, for some unexplained reason, was poor at best, when it was actually being used, and at times it was not being used, with particular regard to contractions; this in the face of a lengthy complaint of constant abdominal pain, and of indigent contractions, which in my view, required constant usage and monitoring.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She agreed that when one looks at the monitor strip, that was run from 5:01 to about 5:16 or 5:17 a.m., that strip does not show contractions three minutes apart. Her evidence in this regard continued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All right. And lets ... it shows, in fact ... there seems ... at one point there seems to be </w:t>
            </w:r>
            <w:r>
              <w:rPr>
                <w:rFonts w:ascii="arial" w:eastAsia="arial" w:hAnsi="arial" w:cs="arial"/>
                <w:color w:val="000000"/>
                <w:sz w:val="18"/>
                <w:u w:val="single"/>
                <w:lang w:val="en-US" w:eastAsia="en-US" w:bidi="ar-SA"/>
              </w:rPr>
              <w:t>a gap of 8 or 10 minutes between contractions, doesn't it</w:t>
            </w:r>
            <w:r>
              <w:rPr>
                <w:rFonts w:ascii="arial" w:eastAsia="arial" w:hAnsi="arial" w:cs="arial"/>
                <w:color w:val="000000"/>
                <w:sz w:val="18"/>
                <w:lang w:val="en-US" w:eastAsia="en-US" w:bidi="ar-SA"/>
              </w:rPr>
              <w: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can't remember exactly, but ...</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lets ... lets have a look at it right now.</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There was </w:t>
            </w:r>
            <w:r>
              <w:rPr>
                <w:rFonts w:ascii="arial" w:eastAsia="arial" w:hAnsi="arial" w:cs="arial"/>
                <w:color w:val="000000"/>
                <w:sz w:val="18"/>
                <w:u w:val="single"/>
                <w:lang w:val="en-US" w:eastAsia="en-US" w:bidi="ar-SA"/>
              </w:rPr>
              <w:t>definitely a gap there</w:t>
            </w:r>
            <w:r>
              <w:rPr>
                <w:rFonts w:ascii="arial" w:eastAsia="arial" w:hAnsi="arial" w:cs="arial"/>
                <w:color w:val="000000"/>
                <w:sz w:val="18"/>
                <w:lang w:val="en-US" w:eastAsia="en-US" w:bidi="ar-SA"/>
              </w:rPr>
              <w: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 Well, thats ... thats good enough. We don't need to discuss it in detail. And you said ... well, lets see. The monitor strip ended at about 5:17?</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O.k. so ... </w:t>
            </w:r>
            <w:r>
              <w:rPr>
                <w:rFonts w:ascii="arial" w:eastAsia="arial" w:hAnsi="arial" w:cs="arial"/>
                <w:color w:val="000000"/>
                <w:sz w:val="18"/>
                <w:u w:val="single"/>
                <w:lang w:val="en-US" w:eastAsia="en-US" w:bidi="ar-SA"/>
              </w:rPr>
              <w:t>and from then, for the next 10 or 15 minutes, until you got there at 5:30, we don't know what contractions there were, if any, do we</w:t>
            </w:r>
            <w:r>
              <w:rPr>
                <w:rFonts w:ascii="arial" w:eastAsia="arial" w:hAnsi="arial" w:cs="arial"/>
                <w:color w:val="000000"/>
                <w:sz w:val="18"/>
                <w:lang w:val="en-US" w:eastAsia="en-US" w:bidi="ar-SA"/>
              </w:rPr>
              <w: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that is the case even though your expectation was that the monitor strip would be continuous in the presence of a complaint of a constant pain?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would have thought so, 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Dr. Reynolds was then taken to the strip beginning shortly before 4:00 a.m. at panel 24362. The evidence was: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 And from then, until the strip is taken off at approximately 4:15, we seem to have contractions roughly every three minutes; right? Three or four minutes?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Yes. Theres certainly </w:t>
            </w:r>
            <w:r>
              <w:rPr>
                <w:rFonts w:ascii="arial" w:eastAsia="arial" w:hAnsi="arial" w:cs="arial"/>
                <w:color w:val="000000"/>
                <w:sz w:val="18"/>
                <w:u w:val="single"/>
                <w:lang w:val="en-US" w:eastAsia="en-US" w:bidi="ar-SA"/>
              </w:rPr>
              <w:t>a longer gap than that at the end</w:t>
            </w:r>
            <w:r>
              <w:rPr>
                <w:rFonts w:ascii="arial" w:eastAsia="arial" w:hAnsi="arial" w:cs="arial"/>
                <w:color w:val="000000"/>
                <w:sz w:val="18"/>
                <w:lang w:val="en-US" w:eastAsia="en-US" w:bidi="ar-SA"/>
              </w:rPr>
              <w:t>, between the last two that are on there.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then theres obviously a longer gap too, because it continues on for the five minutes.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then at ... when the strip resumes at 5:10, which now we're on panel 24370 ... at question we have another contraction. We have a contraction there; 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All right. Thats just a little before ... roughly around 5:08 a.m. according to the strip.</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Uhm uhm (yes).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And then there are </w:t>
            </w:r>
            <w:r>
              <w:rPr>
                <w:rFonts w:ascii="arial" w:eastAsia="arial" w:hAnsi="arial" w:cs="arial"/>
                <w:color w:val="000000"/>
                <w:sz w:val="18"/>
                <w:u w:val="single"/>
                <w:lang w:val="en-US" w:eastAsia="en-US" w:bidi="ar-SA"/>
              </w:rPr>
              <w:t>not many contractions</w:t>
            </w:r>
            <w:r>
              <w:rPr>
                <w:rFonts w:ascii="arial" w:eastAsia="arial" w:hAnsi="arial" w:cs="arial"/>
                <w:color w:val="000000"/>
                <w:sz w:val="18"/>
                <w:lang w:val="en-US" w:eastAsia="en-US" w:bidi="ar-SA"/>
              </w:rPr>
              <w:t xml:space="preserve"> except maybe the beginning of one just as the strip is coming off at about 5:16 or 5:17?</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what it appears, 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The cross-examination continued: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So according -- so I understand you correctly, you got there and would have seen that there had been </w:t>
            </w:r>
            <w:r>
              <w:rPr>
                <w:rFonts w:ascii="arial" w:eastAsia="arial" w:hAnsi="arial" w:cs="arial"/>
                <w:color w:val="000000"/>
                <w:sz w:val="18"/>
                <w:u w:val="single"/>
                <w:lang w:val="en-US" w:eastAsia="en-US" w:bidi="ar-SA"/>
              </w:rPr>
              <w:t>a period of at least eight minutes between contractions that had previously been three minutes apart</w:t>
            </w:r>
            <w:r>
              <w:rPr>
                <w:rFonts w:ascii="arial" w:eastAsia="arial" w:hAnsi="arial" w:cs="arial"/>
                <w:color w:val="000000"/>
                <w:sz w:val="18"/>
                <w:lang w:val="en-US" w:eastAsia="en-US" w:bidi="ar-SA"/>
              </w:rPr>
              <w:t xml:space="preserve">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Correct? And you </w:t>
            </w:r>
            <w:r>
              <w:rPr>
                <w:rFonts w:ascii="arial" w:eastAsia="arial" w:hAnsi="arial" w:cs="arial"/>
                <w:color w:val="000000"/>
                <w:sz w:val="18"/>
                <w:u w:val="single"/>
                <w:lang w:val="en-US" w:eastAsia="en-US" w:bidi="ar-SA"/>
              </w:rPr>
              <w:t>saw that for ten minutes or so you had no idea what contractions there had been</w:t>
            </w:r>
            <w:r>
              <w:rPr>
                <w:rFonts w:ascii="arial" w:eastAsia="arial" w:hAnsi="arial" w:cs="arial"/>
                <w:color w:val="000000"/>
                <w:sz w:val="18"/>
                <w:lang w:val="en-US" w:eastAsia="en-US" w:bidi="ar-SA"/>
              </w:rPr>
              <w:t xml:space="preserve"> because the monitor hadn't been running?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And then in the space of about five minutes, you believe that </w:t>
            </w:r>
            <w:r>
              <w:rPr>
                <w:rFonts w:ascii="arial" w:eastAsia="arial" w:hAnsi="arial" w:cs="arial"/>
                <w:color w:val="000000"/>
                <w:sz w:val="18"/>
                <w:u w:val="single"/>
                <w:lang w:val="en-US" w:eastAsia="en-US" w:bidi="ar-SA"/>
              </w:rPr>
              <w:t>just by observation that there were now two contractions at some point</w:t>
            </w:r>
            <w:r>
              <w:rPr>
                <w:rFonts w:ascii="arial" w:eastAsia="arial" w:hAnsi="arial" w:cs="arial"/>
                <w:color w:val="000000"/>
                <w:sz w:val="18"/>
                <w:lang w:val="en-US" w:eastAsia="en-US" w:bidi="ar-SA"/>
              </w:rPr>
              <w:t xml:space="preserve"> between that five minute period?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Yes, I think I saw ... observed</w:t>
            </w:r>
            <w:r>
              <w:rPr>
                <w:rFonts w:ascii="arial" w:eastAsia="arial" w:hAnsi="arial" w:cs="arial"/>
                <w:color w:val="000000"/>
                <w:sz w:val="18"/>
                <w:lang w:val="en-US" w:eastAsia="en-US" w:bidi="ar-SA"/>
              </w:rPr>
              <w:t xml:space="preserve"> ...</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But you didn't ...</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 </w:t>
            </w:r>
            <w:r>
              <w:rPr>
                <w:rFonts w:ascii="arial" w:eastAsia="arial" w:hAnsi="arial" w:cs="arial"/>
                <w:color w:val="000000"/>
                <w:sz w:val="18"/>
                <w:u w:val="single"/>
                <w:lang w:val="en-US" w:eastAsia="en-US" w:bidi="ar-SA"/>
              </w:rPr>
              <w:t>a couple</w:t>
            </w:r>
            <w:r>
              <w:rPr>
                <w:rFonts w:ascii="arial" w:eastAsia="arial" w:hAnsi="arial" w:cs="arial"/>
                <w:color w:val="000000"/>
                <w:sz w:val="18"/>
                <w:lang w:val="en-US" w:eastAsia="en-US" w:bidi="ar-SA"/>
              </w:rPr>
              <w: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didn't ...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After Ms. Khanna objected that counsel was not letting the witness finish her answer, the examination continued: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All right. The question was, you know ... you knew from the strip or at least it appeared from the strip that theres been a ... that where </w:t>
            </w:r>
            <w:r>
              <w:rPr>
                <w:rFonts w:ascii="arial" w:eastAsia="arial" w:hAnsi="arial" w:cs="arial"/>
                <w:color w:val="000000"/>
                <w:sz w:val="18"/>
                <w:u w:val="single"/>
                <w:lang w:val="en-US" w:eastAsia="en-US" w:bidi="ar-SA"/>
              </w:rPr>
              <w:t>contractions had previously been three minutes apart you now had evidence of at least one period where they were at least eight minutes apart</w:t>
            </w:r>
            <w:r>
              <w:rPr>
                <w:rFonts w:ascii="arial" w:eastAsia="arial" w:hAnsi="arial" w:cs="arial"/>
                <w:color w:val="000000"/>
                <w:sz w:val="18"/>
                <w:lang w:val="en-US" w:eastAsia="en-US" w:bidi="ar-SA"/>
              </w:rPr>
              <w: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that was followed by a period in which you had no idea because the monitor hadn't been running; 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O.k. And then you say </w:t>
            </w:r>
            <w:r>
              <w:rPr>
                <w:rFonts w:ascii="arial" w:eastAsia="arial" w:hAnsi="arial" w:cs="arial"/>
                <w:color w:val="000000"/>
                <w:sz w:val="18"/>
                <w:u w:val="single"/>
                <w:lang w:val="en-US" w:eastAsia="en-US" w:bidi="ar-SA"/>
              </w:rPr>
              <w:t>in the space of about five minutes</w:t>
            </w:r>
            <w:r>
              <w:rPr>
                <w:rFonts w:ascii="arial" w:eastAsia="arial" w:hAnsi="arial" w:cs="arial"/>
                <w:color w:val="000000"/>
                <w:sz w:val="18"/>
                <w:lang w:val="en-US" w:eastAsia="en-US" w:bidi="ar-SA"/>
              </w:rPr>
              <w:t xml:space="preserve"> you observe just from the patient's behaviour that </w:t>
            </w:r>
            <w:r>
              <w:rPr>
                <w:rFonts w:ascii="arial" w:eastAsia="arial" w:hAnsi="arial" w:cs="arial"/>
                <w:color w:val="000000"/>
                <w:sz w:val="18"/>
                <w:u w:val="single"/>
                <w:lang w:val="en-US" w:eastAsia="en-US" w:bidi="ar-SA"/>
              </w:rPr>
              <w:t>she seemed to be having contractions on two occasions</w:t>
            </w:r>
            <w:r>
              <w:rPr>
                <w:rFonts w:ascii="arial" w:eastAsia="arial" w:hAnsi="arial" w:cs="arial"/>
                <w:color w:val="000000"/>
                <w:sz w:val="18"/>
                <w:lang w:val="en-US" w:eastAsia="en-US" w:bidi="ar-SA"/>
              </w:rPr>
              <w:t xml:space="preserve"> ... perhaps two occasions; right?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I thought she had a couple of contractions, yes, while I was there talking to her</w:t>
            </w:r>
            <w:r>
              <w:rPr>
                <w:rFonts w:ascii="arial" w:eastAsia="arial" w:hAnsi="arial" w:cs="arial"/>
                <w:color w:val="000000"/>
                <w:sz w:val="18"/>
                <w:lang w:val="en-US" w:eastAsia="en-US" w:bidi="ar-SA"/>
              </w:rPr>
              <w: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And you didn't ... o.k. And you didn't ask yourself, whats going on here; </w:t>
            </w:r>
            <w:r>
              <w:rPr>
                <w:rFonts w:ascii="arial" w:eastAsia="arial" w:hAnsi="arial" w:cs="arial"/>
                <w:color w:val="000000"/>
                <w:sz w:val="18"/>
                <w:u w:val="single"/>
                <w:lang w:val="en-US" w:eastAsia="en-US" w:bidi="ar-SA"/>
              </w:rPr>
              <w:t>why is the pattern of contractions changing like this in such a short period of time</w:t>
            </w:r>
            <w:r>
              <w:rPr>
                <w:rFonts w:ascii="arial" w:eastAsia="arial" w:hAnsi="arial" w:cs="arial"/>
                <w:color w:val="000000"/>
                <w:sz w:val="18"/>
                <w:lang w:val="en-US" w:eastAsia="en-US" w:bidi="ar-SA"/>
              </w:rPr>
              <w: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You mean why was she getting them more frequently again</w:t>
            </w:r>
            <w:r>
              <w:rPr>
                <w:rFonts w:ascii="arial" w:eastAsia="arial" w:hAnsi="arial" w:cs="arial"/>
                <w:color w:val="000000"/>
                <w:sz w:val="18"/>
                <w:lang w:val="en-US" w:eastAsia="en-US" w:bidi="ar-SA"/>
              </w:rPr>
              <w: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why had she been getting them ... within the space of less than half a hour, why had she, having previously been three minutes apart, gone to eight minutes apart or more and was now suddenly back to two minutes apart; did you not wonder what was going on?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I thought it was just a variation in ... in labour</w:t>
            </w:r>
            <w:r>
              <w:rPr>
                <w:rFonts w:ascii="arial" w:eastAsia="arial" w:hAnsi="arial" w:cs="arial"/>
                <w:color w:val="000000"/>
                <w:sz w:val="18"/>
                <w:lang w:val="en-US" w:eastAsia="en-US" w:bidi="ar-SA"/>
              </w:rPr>
              <w: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Notwithstanding evidence from at least some of the defendants' expert witnesses that the strips were normal, I am satisfied, on the basis of the strip referred to, the evidence of Dr. Reynolds, and the evidence of the plaintiffs' expert doctors, that when Dr. Reynolds arrived at the Hospital to do her examination there was evidence of constant abdominal pain for 30 or 40 minutes. In addition, there were changes in the contraction patterns, which would have been more significant because of the constant abdominal pain. In my opinion, in the circumstances and on her own evidence, Dr. Reynolds should have moved swiftly to bring in the obstetrician and the surgical team.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Rupturing Of The Membrane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Dr. Reynolds confirmed that after her examination she decided to rupture the membrane. While the presenting part was at -2, she felt the head was "well applied to the cervix" and any risk involved was acceptable. She understood that the risk of prolapse cord, which she agreed was potentially catastrophic, was substantially reduced by the fact that the head was well applied to the cervix.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The evidence is that when she examined Mrs. Strachan around 5:30 a.m., the first thing she found was that the baby's station was -2. The same finding was made by the nurse when she examined Mrs. Strachan when she was admitted shortly before 4:00 a.m., one and a half hours earlier. At that time the nurse also found that the baby's head was not well applied to the cervix.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record was pointed out to her and the examination continued: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your evidence is that the head, the head not being well applied at 4:00 was well applied at 5:30, even though it had not descended at all?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How is that possible?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Well, </w:t>
            </w:r>
            <w:r>
              <w:rPr>
                <w:rFonts w:ascii="arial" w:eastAsia="arial" w:hAnsi="arial" w:cs="arial"/>
                <w:color w:val="000000"/>
                <w:sz w:val="18"/>
                <w:u w:val="single"/>
                <w:lang w:val="en-US" w:eastAsia="en-US" w:bidi="ar-SA"/>
              </w:rPr>
              <w:t>part of the reason could be that the cervix had just simply thinned out. And theres always quite a bit of subjective determination in what is -2 and -1&lt;.u&gt;. When you are assessing how high the baby's head is above the ischial spine, theres no direct way to measure that. Its simply an estimate of how high that baby is up in the pelvis, or in this case, down in the pelvis, and I tend to be somewhat conservative and I ... there is certainly every likelihood that the baby ... if someone else had examined her, that it would have been -1</w:t>
            </w:r>
            <w:r>
              <w:rPr>
                <w:rFonts w:ascii="arial" w:eastAsia="arial" w:hAnsi="arial" w:cs="arial"/>
                <w:color w:val="000000"/>
                <w:sz w:val="18"/>
                <w:lang w:val="en-US" w:eastAsia="en-US" w:bidi="ar-SA"/>
              </w:rPr>
              <w: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Well you don't know that</w:t>
            </w:r>
            <w:r>
              <w:rPr>
                <w:rFonts w:ascii="arial" w:eastAsia="arial" w:hAnsi="arial" w:cs="arial"/>
                <w:color w:val="000000"/>
                <w:sz w:val="18"/>
                <w:lang w:val="en-US" w:eastAsia="en-US" w:bidi="ar-SA"/>
              </w:rPr>
              <w: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I don't know that</w:t>
            </w:r>
            <w:r>
              <w:rPr>
                <w:rFonts w:ascii="arial" w:eastAsia="arial" w:hAnsi="arial" w:cs="arial"/>
                <w:color w:val="000000"/>
                <w:sz w:val="18"/>
                <w:lang w:val="en-US" w:eastAsia="en-US" w:bidi="ar-SA"/>
              </w:rPr>
              <w: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have to make an assessment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I don't know that, but Dr. Yoshida </w:t>
            </w:r>
            <w:r>
              <w:rPr>
                <w:rFonts w:ascii="arial" w:eastAsia="arial" w:hAnsi="arial" w:cs="arial"/>
                <w:color w:val="000000"/>
                <w:sz w:val="18"/>
                <w:u w:val="single"/>
                <w:lang w:val="en-US" w:eastAsia="en-US" w:bidi="ar-SA"/>
              </w:rPr>
              <w:t>in the morning had saw that the baby was -1 to -2</w:t>
            </w:r>
            <w:r>
              <w:rPr>
                <w:rFonts w:ascii="arial" w:eastAsia="arial" w:hAnsi="arial" w:cs="arial"/>
                <w:color w:val="000000"/>
                <w:sz w:val="18"/>
                <w:lang w:val="en-US" w:eastAsia="en-US" w:bidi="ar-SA"/>
              </w:rPr>
              <w: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This would appear to suggest that at the time that Dr. Yoshida examined Mrs. Strachan the baby's station was lower than the station at the time that Dr. Reynolds decided to rupture the membrane.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Dr. Reynolds agreed that in the context of the Guidelines, before one can safely rupture the membrane, one requires both that the head is at or below -1, and the presenting part must be well applied. However, she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felt, when I did the vaginal exam, that the head was well enough down in the pelvis, the cervix was very well applied, and the membrane were bulking out through the cervix and I was ... in that particular case, although there are always risks associated with rupturing membrane, I felt comfortable doing it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She was then referred to the "Nursing Significant Findings" Record at B.59. It was pointed out that she was called at 5:10 a.m., and that at 5:25 a.m. there is a note which says "abdominal pain still present but not as severe":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Right? And then you got there five - five minutes later and were under the </w:t>
            </w:r>
            <w:r>
              <w:rPr>
                <w:rFonts w:ascii="arial" w:eastAsia="arial" w:hAnsi="arial" w:cs="arial"/>
                <w:color w:val="000000"/>
                <w:sz w:val="18"/>
                <w:u w:val="single"/>
                <w:lang w:val="en-US" w:eastAsia="en-US" w:bidi="ar-SA"/>
              </w:rPr>
              <w:t>impression</w:t>
            </w:r>
            <w:r>
              <w:rPr>
                <w:rFonts w:ascii="arial" w:eastAsia="arial" w:hAnsi="arial" w:cs="arial"/>
                <w:color w:val="000000"/>
                <w:sz w:val="18"/>
                <w:lang w:val="en-US" w:eastAsia="en-US" w:bidi="ar-SA"/>
              </w:rPr>
              <w:t xml:space="preserve"> that the pain had gone completely?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was told that the pain has resolved.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Right. But it had -- if it had resolved, it had resolved sometime </w:t>
            </w:r>
            <w:r>
              <w:rPr>
                <w:rFonts w:ascii="arial" w:eastAsia="arial" w:hAnsi="arial" w:cs="arial"/>
                <w:color w:val="000000"/>
                <w:sz w:val="18"/>
                <w:u w:val="single"/>
                <w:lang w:val="en-US" w:eastAsia="en-US" w:bidi="ar-SA"/>
              </w:rPr>
              <w:t>within the previous five minutes</w:t>
            </w:r>
            <w:r>
              <w:rPr>
                <w:rFonts w:ascii="arial" w:eastAsia="arial" w:hAnsi="arial" w:cs="arial"/>
                <w:color w:val="000000"/>
                <w:sz w:val="18"/>
                <w:lang w:val="en-US" w:eastAsia="en-US" w:bidi="ar-SA"/>
              </w:rPr>
              <w: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Yes, and </w:t>
            </w:r>
            <w:r>
              <w:rPr>
                <w:rFonts w:ascii="arial" w:eastAsia="arial" w:hAnsi="arial" w:cs="arial"/>
                <w:color w:val="000000"/>
                <w:sz w:val="18"/>
                <w:u w:val="single"/>
                <w:lang w:val="en-US" w:eastAsia="en-US" w:bidi="ar-SA"/>
              </w:rPr>
              <w:t>it continued to stay away</w:t>
            </w:r>
            <w:r>
              <w:rPr>
                <w:rFonts w:ascii="arial" w:eastAsia="arial" w:hAnsi="arial" w:cs="arial"/>
                <w:color w:val="000000"/>
                <w:sz w:val="18"/>
                <w:lang w:val="en-US" w:eastAsia="en-US" w:bidi="ar-SA"/>
              </w:rPr>
              <w:t xml:space="preserve"> while I was there to the best of my knowledge.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Yes. So because of that you didn't ... it </w:t>
            </w:r>
            <w:r>
              <w:rPr>
                <w:rFonts w:ascii="arial" w:eastAsia="arial" w:hAnsi="arial" w:cs="arial"/>
                <w:color w:val="000000"/>
                <w:sz w:val="18"/>
                <w:u w:val="single"/>
                <w:lang w:val="en-US" w:eastAsia="en-US" w:bidi="ar-SA"/>
              </w:rPr>
              <w:t>didn't occur to you to ask whether this pain had ... had been consistent with the possibility of a uterine rupture or impending rupture? It didn't cross your mind</w:t>
            </w:r>
            <w:r>
              <w:rPr>
                <w:rFonts w:ascii="arial" w:eastAsia="arial" w:hAnsi="arial" w:cs="arial"/>
                <w:color w:val="000000"/>
                <w:sz w:val="18"/>
                <w:lang w:val="en-US" w:eastAsia="en-US" w:bidi="ar-SA"/>
              </w:rPr>
              <w: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I did not think at the time that it was a uterine rupture. </w:t>
            </w:r>
            <w:r>
              <w:rPr>
                <w:rFonts w:ascii="arial" w:eastAsia="arial" w:hAnsi="arial" w:cs="arial"/>
                <w:color w:val="000000"/>
                <w:sz w:val="18"/>
                <w:u w:val="single"/>
                <w:lang w:val="en-US" w:eastAsia="en-US" w:bidi="ar-SA"/>
              </w:rPr>
              <w:t>However I did an assessment and ... with every attempt to rule out something ominous like that. I don't have a good explanation for what the pain was that she was experiencing when I was called in. By the time I got there the pain was gone, and everything else was reassuring</w:t>
            </w:r>
            <w:r>
              <w:rPr>
                <w:rFonts w:ascii="arial" w:eastAsia="arial" w:hAnsi="arial" w:cs="arial"/>
                <w:color w:val="000000"/>
                <w:sz w:val="18"/>
                <w:lang w:val="en-US" w:eastAsia="en-US" w:bidi="ar-SA"/>
              </w:rPr>
              <w:t>. (Emphasis added).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xml:space="preserve">  I pause at this point to observe that her evidence, that she made every attempt to "rule out something </w:t>
      </w:r>
      <w:r>
        <w:rPr>
          <w:rFonts w:ascii="arial" w:eastAsia="arial" w:hAnsi="arial" w:cs="arial"/>
          <w:color w:val="000000"/>
          <w:sz w:val="20"/>
          <w:u w:val="single"/>
          <w:lang w:val="en-US" w:eastAsia="en-US" w:bidi="ar-SA"/>
        </w:rPr>
        <w:t>ominous like that</w:t>
      </w:r>
      <w:r>
        <w:rPr>
          <w:rFonts w:ascii="arial" w:eastAsia="arial" w:hAnsi="arial" w:cs="arial"/>
          <w:color w:val="000000"/>
          <w:sz w:val="20"/>
          <w:lang w:val="en-US" w:eastAsia="en-US" w:bidi="ar-SA"/>
        </w:rPr>
        <w:t>," like her evidence that she would have examined Mrs. Strachan's abdomen in the area of the uterine scar, would appear to be inconsistent with her view that all was well at that time, and that in fact she never considered that the constant abdominal pain which was recorded as being present minutes before her arrival, and which had been present for at least 40 minutes, might possibly be a forewarning that uterine rupture was in progress. I repeat, that in my view, Dr. Reynolds did not do the required assessment.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Dr. Reynolds was then cross-examined in some detail as to what might have happened if the obstetrician and the operating staff had been called in at 5:10 or 5:30 a.m. She agreed that even if the possibility of the rupture had not been recognized until 6:00 a.m., the delivery would have been faster. She also agreed that in the circumstances, even if only ten or fifteen minutes faster, it would have made a difference. However, she also pointed out that you do not call the surgeon, the anaesthetist and so on in if you do not know whether or not a caesarean section will be performed. She has never experienced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All right. Does it make sense?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it would be nice to have staff around, 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All right. Its more important to protect the patient's health than it is to worry about waking up people at 5:00 or 5:10 a.m. in the morning; 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a true statement.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just like you would not tell a patient who you thought might be having a heart attack, we'll wait to see if you collapse before we bother the cardiologist. You wouldn't do that, would you?</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typically the ... no, obviously I wouldn't do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Or if you thought that there was </w:t>
            </w:r>
            <w:r>
              <w:rPr>
                <w:rFonts w:ascii="arial" w:eastAsia="arial" w:hAnsi="arial" w:cs="arial"/>
                <w:color w:val="000000"/>
                <w:sz w:val="18"/>
                <w:u w:val="single"/>
                <w:lang w:val="en-US" w:eastAsia="en-US" w:bidi="ar-SA"/>
              </w:rPr>
              <w:t>even a possibility</w:t>
            </w:r>
            <w:r>
              <w:rPr>
                <w:rFonts w:ascii="arial" w:eastAsia="arial" w:hAnsi="arial" w:cs="arial"/>
                <w:color w:val="000000"/>
                <w:sz w:val="18"/>
                <w:lang w:val="en-US" w:eastAsia="en-US" w:bidi="ar-SA"/>
              </w:rPr>
              <w:t xml:space="preserve"> that they were having a heart attack. You wouldn't want to take that chance of ignoring it?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If I thought there was a possibility they were having a heart attack, then the patient ... I don't work in emergency, but the patient would be in emergency where there is somebody there all the time, and they would do an assessment before they called the cardiologist.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he might be in emergency or you might ... he might be in your office and you tell him to get over to emergency as quickly as possible; right?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If I thought they were having a heart attack or ... .</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Or if you thought there </w:t>
            </w:r>
            <w:r>
              <w:rPr>
                <w:rFonts w:ascii="arial" w:eastAsia="arial" w:hAnsi="arial" w:cs="arial"/>
                <w:color w:val="000000"/>
                <w:sz w:val="18"/>
                <w:u w:val="single"/>
                <w:lang w:val="en-US" w:eastAsia="en-US" w:bidi="ar-SA"/>
              </w:rPr>
              <w:t>was a risk</w:t>
            </w:r>
            <w:r>
              <w:rPr>
                <w:rFonts w:ascii="arial" w:eastAsia="arial" w:hAnsi="arial" w:cs="arial"/>
                <w:color w:val="000000"/>
                <w:sz w:val="18"/>
                <w:lang w:val="en-US" w:eastAsia="en-US" w:bidi="ar-SA"/>
              </w:rPr>
              <w:t xml:space="preserve"> that they were having a heart attack. You wouldn't wait for conclusive evidence to put that patient in the hands of the people that could deal with the problem; right?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It depends on the other symptoms. If somebody has mild ... sort of vague symptoms or whatever, I would do an assessment first before I call the cardiologist</w:t>
            </w:r>
            <w:r>
              <w:rPr>
                <w:rFonts w:ascii="arial" w:eastAsia="arial" w:hAnsi="arial" w:cs="arial"/>
                <w:color w:val="000000"/>
                <w:sz w:val="18"/>
                <w:lang w:val="en-US" w:eastAsia="en-US" w:bidi="ar-SA"/>
              </w:rPr>
              <w: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O.k. Lets talk about the assessment you did. You were </w:t>
            </w:r>
            <w:r>
              <w:rPr>
                <w:rFonts w:ascii="arial" w:eastAsia="arial" w:hAnsi="arial" w:cs="arial"/>
                <w:color w:val="000000"/>
                <w:sz w:val="18"/>
                <w:u w:val="single"/>
                <w:lang w:val="en-US" w:eastAsia="en-US" w:bidi="ar-SA"/>
              </w:rPr>
              <w:t>satisfied the pain was gone</w:t>
            </w:r>
            <w:r>
              <w:rPr>
                <w:rFonts w:ascii="arial" w:eastAsia="arial" w:hAnsi="arial" w:cs="arial"/>
                <w:color w:val="000000"/>
                <w:sz w:val="18"/>
                <w:lang w:val="en-US" w:eastAsia="en-US" w:bidi="ar-SA"/>
              </w:rPr>
              <w:t>; right?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was told the pain was gone when she ... there was no tenderness in her abdomen.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She agreed that the VBAC Guidelines referred to earlier, do not list abdominal tenderness as a symptom associated with uterine rupture.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The cross-examination continued: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Doctor, </w:t>
            </w:r>
            <w:r>
              <w:rPr>
                <w:rFonts w:ascii="arial" w:eastAsia="arial" w:hAnsi="arial" w:cs="arial"/>
                <w:color w:val="000000"/>
                <w:sz w:val="18"/>
                <w:u w:val="single"/>
                <w:lang w:val="en-US" w:eastAsia="en-US" w:bidi="ar-SA"/>
              </w:rPr>
              <w:t>if you had turned your mind to the question</w:t>
            </w:r>
            <w:r>
              <w:rPr>
                <w:rFonts w:ascii="arial" w:eastAsia="arial" w:hAnsi="arial" w:cs="arial"/>
                <w:color w:val="000000"/>
                <w:sz w:val="18"/>
                <w:lang w:val="en-US" w:eastAsia="en-US" w:bidi="ar-SA"/>
              </w:rPr>
              <w:t xml:space="preserve"> of whether </w:t>
            </w:r>
            <w:r>
              <w:rPr>
                <w:rFonts w:ascii="arial" w:eastAsia="arial" w:hAnsi="arial" w:cs="arial"/>
                <w:color w:val="000000"/>
                <w:sz w:val="18"/>
                <w:u w:val="single"/>
                <w:lang w:val="en-US" w:eastAsia="en-US" w:bidi="ar-SA"/>
              </w:rPr>
              <w:t>this pain</w:t>
            </w:r>
            <w:r>
              <w:rPr>
                <w:rFonts w:ascii="arial" w:eastAsia="arial" w:hAnsi="arial" w:cs="arial"/>
                <w:color w:val="000000"/>
                <w:sz w:val="18"/>
                <w:lang w:val="en-US" w:eastAsia="en-US" w:bidi="ar-SA"/>
              </w:rPr>
              <w:t xml:space="preserve"> that the patient had been reporting </w:t>
            </w:r>
            <w:r>
              <w:rPr>
                <w:rFonts w:ascii="arial" w:eastAsia="arial" w:hAnsi="arial" w:cs="arial"/>
                <w:color w:val="000000"/>
                <w:sz w:val="18"/>
                <w:u w:val="single"/>
                <w:lang w:val="en-US" w:eastAsia="en-US" w:bidi="ar-SA"/>
              </w:rPr>
              <w:t>was potentially associated with the uterine rupture</w:t>
            </w:r>
            <w:r>
              <w:rPr>
                <w:rFonts w:ascii="arial" w:eastAsia="arial" w:hAnsi="arial" w:cs="arial"/>
                <w:color w:val="000000"/>
                <w:sz w:val="18"/>
                <w:lang w:val="en-US" w:eastAsia="en-US" w:bidi="ar-SA"/>
              </w:rPr>
              <w:t>, you would not have relied on your own judgment to dismiss the possibility because the pain had gone away in the presence of narcotics, would you?</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Yes, I thought it was very significant that the pain had gone away in spite of the fact that she had the Demerol</w:t>
            </w:r>
            <w:r>
              <w:rPr>
                <w:rFonts w:ascii="arial" w:eastAsia="arial" w:hAnsi="arial" w:cs="arial"/>
                <w:color w:val="000000"/>
                <w:sz w:val="18"/>
                <w:lang w:val="en-US" w:eastAsia="en-US" w:bidi="ar-SA"/>
              </w:rPr>
              <w:t>. Demerol is not a very strong analgesic in labour.</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Doctor, again, you had never ... you'd never seen a uterine rupture?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I hadn't.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 you had no direct experience as to what the effect of analgesics might be on the pain associated with uterine rupture in the different stages of that condition's developments; right?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I was just going based on what I had known about ...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 after counsel's interjection: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had been told that it was quite acceptable to use narcotics and/or an epidural in someone who was undergoing a trial of labour.</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 I'm not suggesting it wasn't acceptable to use it. What I'm suggesting to you is if you had turned your mind to the question of whether this pain was associated with uterine rupture or impending uterine rupture and had then noted that it had gone away and asked yourself is it gone away ... has it gone away only because of analgesics, or asked yourself what effect might the analgesic be having on that, you would have probably wanted the advice of the obstetrician and perhaps the anaesthetist before dismissing any consideration of uterine rupture from your mind, wouldn't you?</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I really did feel that it was very significant that the pain had gone, and I did not think that it was due to the Demerol</w:t>
            </w:r>
            <w:r>
              <w:rPr>
                <w:rFonts w:ascii="arial" w:eastAsia="arial" w:hAnsi="arial" w:cs="arial"/>
                <w:color w:val="000000"/>
                <w:sz w:val="18"/>
                <w:lang w:val="en-US" w:eastAsia="en-US" w:bidi="ar-SA"/>
              </w:rPr>
              <w: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But you weren't thinking of the pain in the context of the worst thing that might be ... that could happen to this patient, were you</w:t>
            </w:r>
            <w:r>
              <w:rPr>
                <w:rFonts w:ascii="arial" w:eastAsia="arial" w:hAnsi="arial" w:cs="arial"/>
                <w:color w:val="000000"/>
                <w:sz w:val="18"/>
                <w:lang w:val="en-US" w:eastAsia="en-US" w:bidi="ar-SA"/>
              </w:rPr>
              <w: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It was not on the front of my mind, no, it wasn't because</w:t>
            </w:r>
            <w:r>
              <w:rPr>
                <w:rFonts w:ascii="arial" w:eastAsia="arial" w:hAnsi="arial" w:cs="arial"/>
                <w:color w:val="000000"/>
                <w:sz w:val="18"/>
                <w:lang w:val="en-US" w:eastAsia="en-US" w:bidi="ar-SA"/>
              </w:rPr>
              <w:t xml:space="preserve"> ...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 wasn't anywhere in your mind.</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no, I think it was somewhere in my mind.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The cross-examination continued: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Now, in fact, doctor, </w:t>
            </w:r>
            <w:r>
              <w:rPr>
                <w:rFonts w:ascii="arial" w:eastAsia="arial" w:hAnsi="arial" w:cs="arial"/>
                <w:color w:val="000000"/>
                <w:sz w:val="18"/>
                <w:u w:val="single"/>
                <w:lang w:val="en-US" w:eastAsia="en-US" w:bidi="ar-SA"/>
              </w:rPr>
              <w:t>you were sufficiently concerned</w:t>
            </w:r>
            <w:r>
              <w:rPr>
                <w:rFonts w:ascii="arial" w:eastAsia="arial" w:hAnsi="arial" w:cs="arial"/>
                <w:color w:val="000000"/>
                <w:sz w:val="18"/>
                <w:lang w:val="en-US" w:eastAsia="en-US" w:bidi="ar-SA"/>
              </w:rPr>
              <w:t xml:space="preserve"> about this pain, </w:t>
            </w:r>
            <w:r>
              <w:rPr>
                <w:rFonts w:ascii="arial" w:eastAsia="arial" w:hAnsi="arial" w:cs="arial"/>
                <w:color w:val="000000"/>
                <w:sz w:val="18"/>
                <w:u w:val="single"/>
                <w:lang w:val="en-US" w:eastAsia="en-US" w:bidi="ar-SA"/>
              </w:rPr>
              <w:t>notwithstanding that it had gone away</w:t>
            </w:r>
            <w:r>
              <w:rPr>
                <w:rFonts w:ascii="arial" w:eastAsia="arial" w:hAnsi="arial" w:cs="arial"/>
                <w:color w:val="000000"/>
                <w:sz w:val="18"/>
                <w:lang w:val="en-US" w:eastAsia="en-US" w:bidi="ar-SA"/>
              </w:rPr>
              <w:t xml:space="preserve">, that you ... that it was a reason you </w:t>
            </w:r>
            <w:r>
              <w:rPr>
                <w:rFonts w:ascii="arial" w:eastAsia="arial" w:hAnsi="arial" w:cs="arial"/>
                <w:color w:val="000000"/>
                <w:sz w:val="18"/>
                <w:u w:val="single"/>
                <w:lang w:val="en-US" w:eastAsia="en-US" w:bidi="ar-SA"/>
              </w:rPr>
              <w:t>felt it necessary to rupture the membrane in order to assess the health of the fetus, didn't you</w:t>
            </w:r>
            <w:r>
              <w:rPr>
                <w:rFonts w:ascii="arial" w:eastAsia="arial" w:hAnsi="arial" w:cs="arial"/>
                <w:color w:val="000000"/>
                <w:sz w:val="18"/>
                <w:lang w:val="en-US" w:eastAsia="en-US" w:bidi="ar-SA"/>
              </w:rPr>
              <w: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I was ... yes, </w:t>
            </w:r>
            <w:r>
              <w:rPr>
                <w:rFonts w:ascii="arial" w:eastAsia="arial" w:hAnsi="arial" w:cs="arial"/>
                <w:color w:val="000000"/>
                <w:sz w:val="18"/>
                <w:u w:val="single"/>
                <w:lang w:val="en-US" w:eastAsia="en-US" w:bidi="ar-SA"/>
              </w:rPr>
              <w:t>that was the reason that I ruptured the membrane</w:t>
            </w:r>
            <w:r>
              <w:rPr>
                <w:rFonts w:ascii="arial" w:eastAsia="arial" w:hAnsi="arial" w:cs="arial"/>
                <w:color w:val="000000"/>
                <w:sz w:val="18"/>
                <w:lang w:val="en-US" w:eastAsia="en-US" w:bidi="ar-SA"/>
              </w:rPr>
              <w: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You were concerned ... </w:t>
            </w:r>
            <w:r>
              <w:rPr>
                <w:rFonts w:ascii="arial" w:eastAsia="arial" w:hAnsi="arial" w:cs="arial"/>
                <w:color w:val="000000"/>
                <w:sz w:val="18"/>
                <w:u w:val="single"/>
                <w:lang w:val="en-US" w:eastAsia="en-US" w:bidi="ar-SA"/>
              </w:rPr>
              <w:t>concerned because there had been pain that wasn't usual</w:t>
            </w:r>
            <w:r>
              <w:rPr>
                <w:rFonts w:ascii="arial" w:eastAsia="arial" w:hAnsi="arial" w:cs="arial"/>
                <w:color w:val="000000"/>
                <w:sz w:val="18"/>
                <w:lang w:val="en-US" w:eastAsia="en-US" w:bidi="ar-SA"/>
              </w:rPr>
              <w:t xml:space="preserve">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Yes</w:t>
            </w:r>
            <w:r>
              <w:rPr>
                <w:rFonts w:ascii="arial" w:eastAsia="arial" w:hAnsi="arial" w:cs="arial"/>
                <w:color w:val="000000"/>
                <w:sz w:val="18"/>
                <w:lang w:val="en-US" w:eastAsia="en-US" w:bidi="ar-SA"/>
              </w:rPr>
              <w: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 </w:t>
            </w:r>
            <w:r>
              <w:rPr>
                <w:rFonts w:ascii="arial" w:eastAsia="arial" w:hAnsi="arial" w:cs="arial"/>
                <w:color w:val="000000"/>
                <w:sz w:val="18"/>
                <w:u w:val="single"/>
                <w:lang w:val="en-US" w:eastAsia="en-US" w:bidi="ar-SA"/>
              </w:rPr>
              <w:t>in a patient who was undergoing a trial of labour</w:t>
            </w:r>
            <w:r>
              <w:rPr>
                <w:rFonts w:ascii="arial" w:eastAsia="arial" w:hAnsi="arial" w:cs="arial"/>
                <w:color w:val="000000"/>
                <w:sz w:val="18"/>
                <w:lang w:val="en-US" w:eastAsia="en-US" w:bidi="ar-SA"/>
              </w:rPr>
              <w: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All right. And those are exactly the criteria or some of the ... two criteria which, according to all the Guidelines, would also require you to consider the possibility of a uterine rupture, isn't it?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mean if it had already ruptured?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No. You've told us earlier unusual pain in a VBAC patient requires </w:t>
            </w:r>
            <w:r>
              <w:rPr>
                <w:rFonts w:ascii="arial" w:eastAsia="arial" w:hAnsi="arial" w:cs="arial"/>
                <w:color w:val="000000"/>
                <w:sz w:val="18"/>
                <w:u w:val="single"/>
                <w:lang w:val="en-US" w:eastAsia="en-US" w:bidi="ar-SA"/>
              </w:rPr>
              <w:t>at least some consideration</w:t>
            </w:r>
            <w:r>
              <w:rPr>
                <w:rFonts w:ascii="arial" w:eastAsia="arial" w:hAnsi="arial" w:cs="arial"/>
                <w:color w:val="000000"/>
                <w:sz w:val="18"/>
                <w:lang w:val="en-US" w:eastAsia="en-US" w:bidi="ar-SA"/>
              </w:rPr>
              <w:t xml:space="preserve"> of rupture or impending rupture; right?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Well, my understanding was that impending rupture has lower abdominal pain</w:t>
            </w:r>
            <w:r>
              <w:rPr>
                <w:rFonts w:ascii="arial" w:eastAsia="arial" w:hAnsi="arial" w:cs="arial"/>
                <w:color w:val="000000"/>
                <w:sz w:val="18"/>
                <w:lang w:val="en-US" w:eastAsia="en-US" w:bidi="ar-SA"/>
              </w:rPr>
              <w: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Doctor, you ... sorry do you have something you are going to say?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were concerned enough about the pain that you decided to rupture the membrane even in a situation where you knew there was at least some possible risk of cord prolapse?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There was a very minimum risk of cord prolapse.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I had been called in about the pain, and this was part of my complete assessment</w:t>
            </w:r>
            <w:r>
              <w:rPr>
                <w:rFonts w:ascii="arial" w:eastAsia="arial" w:hAnsi="arial" w:cs="arial"/>
                <w:color w:val="000000"/>
                <w:sz w:val="18"/>
                <w:lang w:val="en-US" w:eastAsia="en-US" w:bidi="ar-SA"/>
              </w:rPr>
              <w: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If you had thought of this pain in the context</w:t>
            </w:r>
            <w:r>
              <w:rPr>
                <w:rFonts w:ascii="arial" w:eastAsia="arial" w:hAnsi="arial" w:cs="arial"/>
                <w:color w:val="000000"/>
                <w:sz w:val="18"/>
                <w:lang w:val="en-US" w:eastAsia="en-US" w:bidi="ar-SA"/>
              </w:rPr>
              <w:t xml:space="preserve"> or the potential context that you were thinking about </w:t>
            </w:r>
            <w:r>
              <w:rPr>
                <w:rFonts w:ascii="arial" w:eastAsia="arial" w:hAnsi="arial" w:cs="arial"/>
                <w:color w:val="000000"/>
                <w:sz w:val="18"/>
                <w:u w:val="single"/>
                <w:lang w:val="en-US" w:eastAsia="en-US" w:bidi="ar-SA"/>
              </w:rPr>
              <w:t>a uterine rupture as even a possibility</w:t>
            </w:r>
            <w:r>
              <w:rPr>
                <w:rFonts w:ascii="arial" w:eastAsia="arial" w:hAnsi="arial" w:cs="arial"/>
                <w:color w:val="000000"/>
                <w:sz w:val="18"/>
                <w:lang w:val="en-US" w:eastAsia="en-US" w:bidi="ar-SA"/>
              </w:rPr>
              <w:t>, you would not have ruptured the membranes, would you?</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I think I wanted to see if there was blood there as well, blood or muconium. So I ... there's certainly a possibility that yes, I would have ruptured the membrane</w:t>
            </w:r>
            <w:r>
              <w:rPr>
                <w:rFonts w:ascii="arial" w:eastAsia="arial" w:hAnsi="arial" w:cs="arial"/>
                <w:color w:val="000000"/>
                <w:sz w:val="18"/>
                <w:lang w:val="en-US" w:eastAsia="en-US" w:bidi="ar-SA"/>
              </w:rPr>
              <w: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Rupturing -- sorry. </w:t>
            </w:r>
            <w:r>
              <w:rPr>
                <w:rFonts w:ascii="arial" w:eastAsia="arial" w:hAnsi="arial" w:cs="arial"/>
                <w:color w:val="000000"/>
                <w:sz w:val="18"/>
                <w:u w:val="single"/>
                <w:lang w:val="en-US" w:eastAsia="en-US" w:bidi="ar-SA"/>
              </w:rPr>
              <w:t>Rupturing the membrane tells you nothing directly about the state of the scar, does it</w:t>
            </w:r>
            <w:r>
              <w:rPr>
                <w:rFonts w:ascii="arial" w:eastAsia="arial" w:hAnsi="arial" w:cs="arial"/>
                <w:color w:val="000000"/>
                <w:sz w:val="18"/>
                <w:lang w:val="en-US" w:eastAsia="en-US" w:bidi="ar-SA"/>
              </w:rPr>
              <w: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No</w:t>
            </w:r>
            <w:r>
              <w:rPr>
                <w:rFonts w:ascii="arial" w:eastAsia="arial" w:hAnsi="arial" w:cs="arial"/>
                <w:color w:val="000000"/>
                <w:sz w:val="18"/>
                <w:lang w:val="en-US" w:eastAsia="en-US" w:bidi="ar-SA"/>
              </w:rPr>
              <w:t>, not to my knowledge.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This primarily tells you about the health of the fetus</w:t>
            </w:r>
            <w:r>
              <w:rPr>
                <w:rFonts w:ascii="arial" w:eastAsia="arial" w:hAnsi="arial" w:cs="arial"/>
                <w:color w:val="000000"/>
                <w:sz w:val="18"/>
                <w:lang w:val="en-US" w:eastAsia="en-US" w:bidi="ar-SA"/>
              </w:rPr>
              <w: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Yes</w:t>
            </w:r>
            <w:r>
              <w:rPr>
                <w:rFonts w:ascii="arial" w:eastAsia="arial" w:hAnsi="arial" w:cs="arial"/>
                <w:color w:val="000000"/>
                <w:sz w:val="18"/>
                <w:lang w:val="en-US" w:eastAsia="en-US" w:bidi="ar-SA"/>
              </w:rPr>
              <w: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All right. Which, as we said, may not be affected during the early stages of a uterine rupture, right</w:t>
            </w:r>
            <w:r>
              <w:rPr>
                <w:rFonts w:ascii="arial" w:eastAsia="arial" w:hAnsi="arial" w:cs="arial"/>
                <w:color w:val="000000"/>
                <w:sz w:val="18"/>
                <w:lang w:val="en-US" w:eastAsia="en-US" w:bidi="ar-SA"/>
              </w:rPr>
              <w: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That's conceivable, yes</w:t>
            </w:r>
            <w:r>
              <w:rPr>
                <w:rFonts w:ascii="arial" w:eastAsia="arial" w:hAnsi="arial" w:cs="arial"/>
                <w:color w:val="000000"/>
                <w:sz w:val="18"/>
                <w:lang w:val="en-US" w:eastAsia="en-US" w:bidi="ar-SA"/>
              </w:rPr>
              <w: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All right. And although blood in the amniotic fluid may tell you -- may be a warning sign, the absence of blood </w:t>
            </w:r>
            <w:r>
              <w:rPr>
                <w:rFonts w:ascii="arial" w:eastAsia="arial" w:hAnsi="arial" w:cs="arial"/>
                <w:color w:val="000000"/>
                <w:sz w:val="18"/>
                <w:u w:val="single"/>
                <w:lang w:val="en-US" w:eastAsia="en-US" w:bidi="ar-SA"/>
              </w:rPr>
              <w:t>wouldn't exclude consideration of a uterine rupture</w:t>
            </w:r>
            <w:r>
              <w:rPr>
                <w:rFonts w:ascii="arial" w:eastAsia="arial" w:hAnsi="arial" w:cs="arial"/>
                <w:color w:val="000000"/>
                <w:sz w:val="18"/>
                <w:lang w:val="en-US" w:eastAsia="en-US" w:bidi="ar-SA"/>
              </w:rPr>
              <w:t xml:space="preserve"> if thats what you're thinking of, would it?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No, but it would be one more thing that would say that the uterus was not ruptured</w:t>
            </w:r>
            <w:r>
              <w:rPr>
                <w:rFonts w:ascii="arial" w:eastAsia="arial" w:hAnsi="arial" w:cs="arial"/>
                <w:color w:val="000000"/>
                <w:sz w:val="18"/>
                <w:lang w:val="en-US" w:eastAsia="en-US" w:bidi="ar-SA"/>
              </w:rPr>
              <w: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O.k. But if you were thinking of a uterine rupture, you would also realize that </w:t>
            </w:r>
            <w:r>
              <w:rPr>
                <w:rFonts w:ascii="arial" w:eastAsia="arial" w:hAnsi="arial" w:cs="arial"/>
                <w:color w:val="000000"/>
                <w:sz w:val="18"/>
                <w:u w:val="single"/>
                <w:lang w:val="en-US" w:eastAsia="en-US" w:bidi="ar-SA"/>
              </w:rPr>
              <w:t>the scar comes apart in layers; right</w:t>
            </w:r>
            <w:r>
              <w:rPr>
                <w:rFonts w:ascii="arial" w:eastAsia="arial" w:hAnsi="arial" w:cs="arial"/>
                <w:color w:val="000000"/>
                <w:sz w:val="18"/>
                <w:lang w:val="en-US" w:eastAsia="en-US" w:bidi="ar-SA"/>
              </w:rPr>
              <w: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They are different -- there are layers of tissues covered by the scar and it comes apart; 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if the scar has come apart completely, the only thing that may be holding that baby in the uterus would be the intact amniotic membrane; 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But I'm making a hole well below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no, no. No, no. The ... lets think of it this way: the uterus for want of a better description is like a large bag or a balloon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Right? And inside that balloon is a somewhat smaller -- not smaller -- balloon filled with water. Thats the amniotic membrane; 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Right. And inside the water-filled balloon is the baby?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if the outer bag, that is, the uterus, has a tear anywhere on its surface, there is a risk of the baby coming through that -- that rip; 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But that is less likely to happen if not just the baby has to get through that rip but the whole water-filled balloon has to get through that rip. Does that make sense?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 makes sense when you put it that way, but I don't know if thats the case.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I observe at this point the inconsistency of her evidence now suggesting that she was in fact concerned about the constant abdominal pain, which she had earlier dismissed because it was gone, and, in effect, decided to exclude a developing uterine rupture as a cause by rupturing the membrane. While I have concerns with this evidence, I point out that even if it is accepted, her conduct is no defence, and additionally, it was simply too late.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Dr. Reynolds went on to reiterate that before she ruptured the membrane, the pain had gone, there was a reassuring fetal heart rate and labour had progressed very well. She did not have any signs that there was a ruptured uterus. All was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Other than a history of pain that you had absolutely </w:t>
            </w:r>
            <w:r>
              <w:rPr>
                <w:rFonts w:ascii="arial" w:eastAsia="arial" w:hAnsi="arial" w:cs="arial"/>
                <w:color w:val="000000"/>
                <w:sz w:val="18"/>
                <w:u w:val="single"/>
                <w:lang w:val="en-US" w:eastAsia="en-US" w:bidi="ar-SA"/>
              </w:rPr>
              <w:t>no explanation for</w:t>
            </w:r>
            <w:r>
              <w:rPr>
                <w:rFonts w:ascii="arial" w:eastAsia="arial" w:hAnsi="arial" w:cs="arial"/>
                <w:color w:val="000000"/>
                <w:sz w:val="18"/>
                <w:lang w:val="en-US" w:eastAsia="en-US" w:bidi="ar-SA"/>
              </w:rPr>
              <w:t>; 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It was not lower abdominal pain, though</w:t>
            </w:r>
            <w:r>
              <w:rPr>
                <w:rFonts w:ascii="arial" w:eastAsia="arial" w:hAnsi="arial" w:cs="arial"/>
                <w:color w:val="000000"/>
                <w:sz w:val="18"/>
                <w:lang w:val="en-US" w:eastAsia="en-US" w:bidi="ar-SA"/>
              </w:rPr>
              <w: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I observe, again, that there was no acceptable evidence that Dr. Reynolds was in fact told that the pain was upper abdominal pain. While I accept Dr. Doersam's evidence that the location of the pain is irrelevant, I am not persuaded that Dr. Reynolds was in fact told that she was dealing with upper abdominal pain, and that that would justify her conduct in effect, in ignoring the pain and the possibility that it might be caused by a developing uterine rupture.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xml:space="preserve">  While there is no onus on her, in my opinion, a prima facie case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Dr. Reynolds is made out on her own evidence, and her explanations do not really deal with it. While it may be argued that her conduct was appropriate in the circumstances of a normal case, that is, that of a normal mother in labour, as suggested for example by Dr. Williams and Dr. Cooper, (although I do not believe this to be the case) this ignores the context or the environment in which the uterine rupture developed. Namely, a VBAC patient and the known risks involved, and the very signs or symptoms seen, and which could be seen, around the time Dr. Reynolds arrived at the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The signs and symptoms, the constant abdominal pain, and the obvious changes in the strips when compared, were the very signs and symptoms Dr. Reynolds should have been on the watch for, and should have immediately responded to, absent any timely and explicatory evidence which would support a knowledgeable and discerning or critical judgment, in the particular circumstances, that the signs or symptoms, particularly the constant pain in the abdomen, could reasonably be excluded as possibly giving rise to uterine rupture or a developing rupture, and that Mrs. Strachan was not at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I do not know how Dr. Reynolds can suggest that she did a detailed assessment "to rule out something ominous" like a developing uterine rupture when she never directed her mind to its possibility; and I do not think that a "usual examination" (even assuming that she conducted the extensive examination she claims she did) in the context, would entitle her to conclude to any degree of medical certainty, that "everything else was reassuring".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In my view, in the circumstances, a prudent general practitioner, like Dr. Reynolds, having no immediate explanation for the constant abdominal pain and running out of time, would have immediately arranged for a caesarean section to be done, or brought in an obstetrician as quickly as possible on the basis of the constant abdominal pain alone; and additionally, I am satisfied that there were other contextual signs, revealed by the strips, which would bolster or support the prudent physician's conclusion that a caesarean section should be performed in the circumstances. I am, of course, referring to the situation when Dr. Reynolds went to the Hospital. However, it will be seen that in my opinion she should have brought in the obstetrician immediately after she received the telephone call from Nurse Kinash. The primary purpose of the trial of labour was to identify and deal with this very situation, and it was one for the obstetrician to deal with in consultation with the G.P., Dr. Reynolds.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I go farther and say, that if this is not the case, if, what I have called the "usual examination" conducted by Dr. Reynolds at the crucial time (which ignored the signs referred to), is sufficient, then the monitoring of the VBAC patient, in the face of a known sign of a developing uterine rupture, the constant abdominal pain, is meaningless. This approach appears to be condoned by the defence doctors and might be described as a blind approach waiting for (more) concrete signs or symptoms, when their arrival would certify that it was already too late to do anything.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EVIDENCE OF NURSE ALICE J. KINASH</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Direct 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In 1969 Nurse Kinash graduated from a three-year nursing program which included basic obstetrical nursing training. She worked as a medical surgical nurse in Winnipeg until she moved to Kelowna in 1975. In 1977 she began working in the maternity area of the Hospital. Apart from working part time when she was having children, she worked full time from 1983 to 1999 in the maternity area at the Hospital. She ceased to work in the maternity area in 1999. Since then she has worked in the ambulatory care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Prior to January 1999 Nurse Kinash had had experience in caring for VBAC patients during labour and delivery. It was "a fairly usual thing" for her. Her understanding was that generally speaking, VBAC patients were considered low risk patients. She was aware that uterine rupture had a particular association with VBAC patients. However, she had never had any experience with an actual uterine rupture, or a developing uterine rupture.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I am satisfied that Nurse Kinash was an experienced labour and delivery nurse. She was knowledgeable with regard to the monitoring of VBAC patients, and generally with regard to the signs associated with uterine rupture. However, she had no experience in actual rupture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Nurse Kinash was asked what her practice was in January 1999, in terms of monitoring fetal heart rate, in low risk patients. She said: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 was my practice to run a monitor strip for approximately 20 minutes to ascertain the well-being of the infant.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would that be something that would happen on admission, the 20 minutes you've talked about?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thereafter, how was the fetal heart monitored?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Thereafter the fetal heart rate would be monitored either by auscultation or a fetal monitor approximately every 15 minutes to every half-hour ...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Auscultation is a method of listening to the baby's heart rate using a hand-held device called a "doppler". It is similar in appearance to a microphone. It is put over the point where the fetal heart rate is strongest and you count for about a minute. It does not produce any paper trace like the fetal monitor strip does. However, the information is recorded on the partogram. The fetal monitor is called an ultrasound. It is a large round paddle device which is put on the patient at the point where the baby's heart rate is strongest.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When using the monitor, the paddle, which is connected to it, is "belted" to the mother's abdomen. Monitors which are stationary on the wall, as well as portable units are used; she could not recall which one they were using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Apparently, as well as running a continuous fetal strip using the monitor, the nurse can use the monitor to ausculate, or listen, to the fetal heart intermittently, in the same way that she would use the doppler. When she does that there is no paper strip produced. However, she records the findings on the Nursing Admission Record.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Nurse Kinash said that when she did her initial assessment of Mrs. Strachan, Mr. Strachan was present. She does not recall either of them saying that at the time Mrs. Strachan was having constant pain or pain between contractions. She believes, from her practice, that the initial assessment would have taken 10 to 15 minutes. Her practice was that if a complaint was made of unusual pain, or pain between contractions, she would have ascertained where the pain was and then she would have told the doctor. She recalled from the Records that she telephoned Dr. Reynolds at 4:15 a.m. to tell her that Mrs. Strachan was in the Hospital and ask for an analgesic order of Demerol of 100 milligrams and an antibiotic order of Gravol of 50 milligrams.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Nurse Kinash explained that she did not give Mrs. Strachan the Demerol and Gravol "too early in the labour" which is her practice. The reason is that it delays contractions. She was referred to the first monitor strip which commenced at 3:51 a.m. and ran for approximately 30 minutes, to 4:18 a.m. She believes that she took it off to let Mrs. Strachan sit in a chair and get more comfortable. She was asked whether she had any concerns about portions of the strip. She said for the most part "no", although she had to consider loss of contact or artifacts in the strip. While the strip was very sketchy, it was not terribly worrisome to her because she believed that she could hear the fetal heart rate up at 120. The gist of her evidence was that the strip was fairly reassuring, except for the loss of contact.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She was asked again about her practice in making her notes. She said that the 4:45 a.m. time was probably the time that she started her charting. She then charted a series of events that had occurred in a period of about 15 minutes.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She was asked to say what she did, if anything, as a result of Mrs. Strachan's complaints of constant abdominal pain. She said: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Well, I listened to the baby's heart rate, and </w:t>
            </w:r>
            <w:r>
              <w:rPr>
                <w:rFonts w:ascii="arial" w:eastAsia="arial" w:hAnsi="arial" w:cs="arial"/>
                <w:color w:val="000000"/>
                <w:sz w:val="18"/>
                <w:u w:val="single"/>
                <w:lang w:val="en-US" w:eastAsia="en-US" w:bidi="ar-SA"/>
              </w:rPr>
              <w:t>I would have</w:t>
            </w:r>
            <w:r>
              <w:rPr>
                <w:rFonts w:ascii="arial" w:eastAsia="arial" w:hAnsi="arial" w:cs="arial"/>
                <w:color w:val="000000"/>
                <w:sz w:val="18"/>
                <w:lang w:val="en-US" w:eastAsia="en-US" w:bidi="ar-SA"/>
              </w:rPr>
              <w:t xml:space="preserve"> asked the patient where the pain was.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I was going to say that I probably </w:t>
            </w:r>
            <w:r>
              <w:rPr>
                <w:rFonts w:ascii="arial" w:eastAsia="arial" w:hAnsi="arial" w:cs="arial"/>
                <w:color w:val="000000"/>
                <w:sz w:val="18"/>
                <w:u w:val="single"/>
                <w:lang w:val="en-US" w:eastAsia="en-US" w:bidi="ar-SA"/>
              </w:rPr>
              <w:t>would have</w:t>
            </w:r>
            <w:r>
              <w:rPr>
                <w:rFonts w:ascii="arial" w:eastAsia="arial" w:hAnsi="arial" w:cs="arial"/>
                <w:color w:val="000000"/>
                <w:sz w:val="18"/>
                <w:lang w:val="en-US" w:eastAsia="en-US" w:bidi="ar-SA"/>
              </w:rPr>
              <w:t xml:space="preserve"> decided that I would like to get the patient back to bed to run a monitor strip.</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After an exchange between counsel with regard to whether the witness was giving evidence based on her recollection or on her normal practice, she was asked: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 when I asked you, Mrs. Kinash, what you did as a result of the complaint of constant pain that you noted, can you explain to His Lordship what that's based on, whether it's your recollection, your review of the records or a combination of those things.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I believe it's a recollection -- </w:t>
            </w:r>
            <w:r>
              <w:rPr>
                <w:rFonts w:ascii="arial" w:eastAsia="arial" w:hAnsi="arial" w:cs="arial"/>
                <w:color w:val="000000"/>
                <w:sz w:val="18"/>
                <w:u w:val="single"/>
                <w:lang w:val="en-US" w:eastAsia="en-US" w:bidi="ar-SA"/>
              </w:rPr>
              <w:t>not a recollection; a combination of everything, the charts and what I normally would have done under those circumstances</w:t>
            </w:r>
            <w:r>
              <w:rPr>
                <w:rFonts w:ascii="arial" w:eastAsia="arial" w:hAnsi="arial" w:cs="arial"/>
                <w:color w:val="000000"/>
                <w:sz w:val="18"/>
                <w:lang w:val="en-US" w:eastAsia="en-US" w:bidi="ar-SA"/>
              </w:rPr>
              <w: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Later Nurse Kinash was asked: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And can you say -- and I'll preface this by asking you to clarify as best you can for His Lordship whether it's from memory or the record or some combination or from your normal practice. </w:t>
            </w:r>
            <w:r>
              <w:rPr>
                <w:rFonts w:ascii="arial" w:eastAsia="arial" w:hAnsi="arial" w:cs="arial"/>
                <w:color w:val="000000"/>
                <w:sz w:val="18"/>
                <w:u w:val="single"/>
                <w:lang w:val="en-US" w:eastAsia="en-US" w:bidi="ar-SA"/>
              </w:rPr>
              <w:t>Can you say how severe the constant pain was</w:t>
            </w:r>
            <w:r>
              <w:rPr>
                <w:rFonts w:ascii="arial" w:eastAsia="arial" w:hAnsi="arial" w:cs="arial"/>
                <w:color w:val="000000"/>
                <w:sz w:val="18"/>
                <w:lang w:val="en-US" w:eastAsia="en-US" w:bidi="ar-SA"/>
              </w:rPr>
              <w: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By recollection I can't, By -- by -- may I rephrase that. </w:t>
      </w:r>
      <w:r>
        <w:rPr>
          <w:rFonts w:ascii="arial" w:eastAsia="arial" w:hAnsi="arial" w:cs="arial"/>
          <w:color w:val="000000"/>
          <w:sz w:val="20"/>
          <w:u w:val="single"/>
          <w:lang w:val="en-US" w:eastAsia="en-US" w:bidi="ar-SA"/>
        </w:rPr>
        <w:t>My normal practice is not to let my labouring patients be in severe pain -- in severe constant pain. I certainly would have done something about it initially. I think I feel</w:t>
      </w:r>
      <w:r>
        <w:rPr>
          <w:rFonts w:ascii="arial" w:eastAsia="arial" w:hAnsi="arial" w:cs="arial"/>
          <w:color w:val="000000"/>
          <w:sz w:val="20"/>
          <w:lang w:val="en-US" w:eastAsia="en-US" w:bidi="ar-SA"/>
        </w:rPr>
        <w:t xml:space="preserve"> that perhaps the patient was coping with it reasonably well at the time to not have any immediate intervention. That's all I can say at this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 finally: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From my normal practice I don't let my patients in labour experience very severe pain if there's something I can do about it. </w:t>
            </w:r>
            <w:r>
              <w:rPr>
                <w:rFonts w:ascii="arial" w:eastAsia="arial" w:hAnsi="arial" w:cs="arial"/>
                <w:color w:val="000000"/>
                <w:sz w:val="18"/>
                <w:u w:val="single"/>
                <w:lang w:val="en-US" w:eastAsia="en-US" w:bidi="ar-SA"/>
              </w:rPr>
              <w:t>I would have notified the doctor a lot sooner</w:t>
            </w:r>
            <w:r>
              <w:rPr>
                <w:rFonts w:ascii="arial" w:eastAsia="arial" w:hAnsi="arial" w:cs="arial"/>
                <w:color w:val="000000"/>
                <w:sz w:val="18"/>
                <w:lang w:val="en-US" w:eastAsia="en-US" w:bidi="ar-SA"/>
              </w:rPr>
              <w:t xml:space="preserve">. I feel I would have notified the doctor a lot sooner </w:t>
            </w:r>
            <w:r>
              <w:rPr>
                <w:rFonts w:ascii="arial" w:eastAsia="arial" w:hAnsi="arial" w:cs="arial"/>
                <w:color w:val="000000"/>
                <w:sz w:val="18"/>
                <w:u w:val="single"/>
                <w:lang w:val="en-US" w:eastAsia="en-US" w:bidi="ar-SA"/>
              </w:rPr>
              <w:t>if the pain was of greater proportion</w:t>
            </w:r>
            <w:r>
              <w:rPr>
                <w:rFonts w:ascii="arial" w:eastAsia="arial" w:hAnsi="arial" w:cs="arial"/>
                <w:color w:val="000000"/>
                <w:sz w:val="18"/>
                <w:lang w:val="en-US" w:eastAsia="en-US" w:bidi="ar-SA"/>
              </w:rPr>
              <w: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She did telephone Dr. Reynolds about the constant abdominal pain, a good 40 minutes after Mrs. Strachan started complaining about it. She seemed to say that the pain must not have been severe because normally she does not let her patients be "in severe pain"; that she felt Mrs. Strachan was coping with it reasonably well. She suggested that if this was not the case she would have telephoned Dr. Reynolds earlier.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In my view, this is simply a reconstructing or reasoning out of what she concludes must have been the case. Her evidence on the point on cross-examination confirms this. It is of little value to me. In any event, it would seem that the pain was of little concern to her, although she did not understand what was causing it; and she did not direct her mind as to whether it was possible that a developing uterine rupture was in progress.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Nurse Kinash was referred to the note on the strip which is located above panel 24369, and which appears to have been made between 5:01 and 5:10 a.m. I referred to the note earlier. It says: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Constant sharp upper uterine pain. Right upper uterine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witness said that it was written by a fellow nurse, Nurse Coutellier, another labour and delivery nurse. I have already pointed out that Nurse Coutellier was not called at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Nurse Kinash explained that she asked Nurse Coutellier why, in her opinion, was Mrs. Strachan suffering the constant abdominal pain. She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Joanne made a comment that it could possibly be a placenta abruption, a very early sign of placenta abruption, </w:t>
      </w:r>
      <w:r>
        <w:rPr>
          <w:rFonts w:ascii="arial" w:eastAsia="arial" w:hAnsi="arial" w:cs="arial"/>
          <w:color w:val="000000"/>
          <w:sz w:val="20"/>
          <w:u w:val="single"/>
          <w:lang w:val="en-US" w:eastAsia="en-US" w:bidi="ar-SA"/>
        </w:rPr>
        <w:t>which we thought of briefly</w:t>
      </w:r>
      <w:r>
        <w:rPr>
          <w:rFonts w:ascii="arial" w:eastAsia="arial" w:hAnsi="arial" w:cs="arial"/>
          <w:color w:val="000000"/>
          <w:sz w:val="20"/>
          <w:lang w:val="en-US" w:eastAsia="en-US" w:bidi="ar-SA"/>
        </w:rPr>
        <w:t xml:space="preserve">, but the fetal heart tracing was reassuring and we more or less </w:t>
      </w:r>
      <w:r>
        <w:rPr>
          <w:rFonts w:ascii="arial" w:eastAsia="arial" w:hAnsi="arial" w:cs="arial"/>
          <w:color w:val="000000"/>
          <w:sz w:val="20"/>
          <w:u w:val="single"/>
          <w:lang w:val="en-US" w:eastAsia="en-US" w:bidi="ar-SA"/>
        </w:rPr>
        <w:t>ruled out</w:t>
      </w:r>
      <w:r>
        <w:rPr>
          <w:rFonts w:ascii="arial" w:eastAsia="arial" w:hAnsi="arial" w:cs="arial"/>
          <w:color w:val="000000"/>
          <w:sz w:val="20"/>
          <w:lang w:val="en-US" w:eastAsia="en-US" w:bidi="ar-SA"/>
        </w:rPr>
        <w:t xml:space="preserve"> a placenta abruption </w:t>
      </w:r>
      <w:r>
        <w:rPr>
          <w:rFonts w:ascii="arial" w:eastAsia="arial" w:hAnsi="arial" w:cs="arial"/>
          <w:color w:val="000000"/>
          <w:sz w:val="20"/>
          <w:u w:val="single"/>
          <w:lang w:val="en-US" w:eastAsia="en-US" w:bidi="ar-SA"/>
        </w:rPr>
        <w:t>because of the reassurance of the fetal heart strip</w:t>
      </w:r>
      <w:r>
        <w:rPr>
          <w:rFonts w:ascii="arial" w:eastAsia="arial" w:hAnsi="arial" w:cs="arial"/>
          <w:color w:val="000000"/>
          <w:sz w:val="20"/>
          <w:lang w:val="en-US" w:eastAsia="en-US" w:bidi="ar-SA"/>
        </w:rPr>
        <w:t>. After consulting with Joanne, we both agreed that it was -- it would be time to call in the family doctor.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She did not tell Dr. Reynolds of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Nurse Kinash was then asked about the second strip which commenced at 5:01 a.m. and was discontinued at 5:17 a.m. She believes that she discontinued the monitoring so that Mrs. Strachan could go to the bathroom, and to give her a chance to move around. At the time she had no concerns about the strip.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Nurse Kinash recalled Dr. Reynolds arriving at the Hospital at approximately 5:35 a.m. She also recalled Dr. Reynolds rupturing Mrs. Strachan's membrane after performing a vaginal examination; that the amniotic fluid was clear. She said that she had a very clear memory of this and "feeling a lot of reassurance and things were progressing well". When asked whether she received any information from Dr. Reynolds, she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don't remember if she told me the station, but I do remember the term "well applied", head was well applied to the cervix. My Lord, I'm not too sure if that's what I meant to say. What I meant to say was she may have said the head was well down. There are two terms that are used interchangeably. Sometimes they say 'head well down'; sometimes "well applied".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While appreciating how difficult it is to give evidence long after the event, and to distinguish between what actually happened and what the mind in a defensive mode suggests must have happened, I have already expressed my concern with the witness' ability to recall actual events; which perhaps makes what she recorded and did not record more weighty.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She was referred to her note at 5:35 a.m. that there was decreased variability and asked if that caused her concern. She said that it did not cause her concern because Mrs. Strachan had received Demerol and Gravol which she attributed as the cause. This was after the membrane was ruptured.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Nurse Kinash believes that Dr. Reynolds was in the room when Mrs. Strachan got up to go to the bathroom. Dr. Reynolds then left the room to go to the nursing station. Nurse Kinash, also left the room, "to give the patient some privacy to try and void". She returned about 15 minutes later because she wanted to check the baby's heart rate. When she entered the room she heard what she thought was the fetal heart rate of 92 to 100. She found that it was the same as the maternal pulse. It was then determined that it was Mrs. Strachan's pulse, not the baby's pulse, that was 92 to 100.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Nurse Kinash said that Dr. Reynolds then came back into the room, having heard the heart beat of 90, which is "a lot ... slower of course than a normal fetal heart rate of 120 ...". Dr. Reynolds asked her if she wanted her to put on an internal electrode. The witness said that she then got out a device called a spiral electrode and got it ready for Dr. Reynolds to use, while the doctor was putting on her gloves. She then seems to say that she got a fetal heart rate between 130 and 140 during which she remembered Mrs. Strachan "wincing".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Counsel then referred her to her following discovery evidence which was read in by Mr. Smith: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All right. And did </w:t>
            </w:r>
            <w:r>
              <w:rPr>
                <w:rFonts w:ascii="arial" w:eastAsia="arial" w:hAnsi="arial" w:cs="arial"/>
                <w:color w:val="000000"/>
                <w:sz w:val="18"/>
                <w:u w:val="single"/>
                <w:lang w:val="en-US" w:eastAsia="en-US" w:bidi="ar-SA"/>
              </w:rPr>
              <w:t>you turn your mind at all as to whether uterine rupture was a possibility here</w:t>
            </w:r>
            <w:r>
              <w:rPr>
                <w:rFonts w:ascii="arial" w:eastAsia="arial" w:hAnsi="arial" w:cs="arial"/>
                <w:color w:val="000000"/>
                <w:sz w:val="18"/>
                <w:lang w:val="en-US" w:eastAsia="en-US" w:bidi="ar-SA"/>
              </w:rPr>
              <w: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No, I did not</w:t>
            </w:r>
            <w:r>
              <w:rPr>
                <w:rFonts w:ascii="arial" w:eastAsia="arial" w:hAnsi="arial" w:cs="arial"/>
                <w:color w:val="000000"/>
                <w:sz w:val="18"/>
                <w:lang w:val="en-US" w:eastAsia="en-US" w:bidi="ar-SA"/>
              </w:rPr>
              <w: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asked why she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Because there was no uterine decelerations -- there was no fetal decelerations accompanying the pain.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Cross-Examination By Mr. Smith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Nurse Kinash acknowledged that the strip was off from 4:17 a.m. until 5:01 a.m., after the complaint had been made about constant abdominal pain; that during this period of time Mrs. Strachan was sitting up in a chair. She agreed that there was no particular reason why she could not have been hooked up to the monitor during that period of time. It was simply not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She was also asked about her direct evidence that while she obtained the order for Demerol at 4:15 a.m. she did not give it to Mrs. Strachan until 4:45 a.m. because she wanted to try other things to relieve Mrs. Strachan's pain. She then agreed that in fact she had no recollection or knowledge at all as to why there was a delay in giving the Demerol.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She was asked about her evidence on direct, that she thought that if the pain was more severe she would have called Dr. Reynolds sooner, that is, at around 4:45 a.m. She then agreed, as well, that she had no recollection or knowledge of why Dr. Reynolds was not called until 5:10 a.m. I observe, again, that in my opinion, Nurse Kinash should have called Dr. Reynolds at 4:45 a.m.; also that the severity of the pain is not a test. The fact that the pain is abdominal pain is sufficient.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The following exchange then took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In fact, Ms. Kinash, it's fair to say that </w:t>
            </w:r>
            <w:r>
              <w:rPr>
                <w:rFonts w:ascii="arial" w:eastAsia="arial" w:hAnsi="arial" w:cs="arial"/>
                <w:color w:val="000000"/>
                <w:sz w:val="18"/>
                <w:u w:val="single"/>
                <w:lang w:val="en-US" w:eastAsia="en-US" w:bidi="ar-SA"/>
              </w:rPr>
              <w:t>beyond what you can actually read in the chart, your memory of this case is quite hazy</w:t>
            </w:r>
            <w:r>
              <w:rPr>
                <w:rFonts w:ascii="arial" w:eastAsia="arial" w:hAnsi="arial" w:cs="arial"/>
                <w:color w:val="000000"/>
                <w:sz w:val="18"/>
                <w:lang w:val="en-US" w:eastAsia="en-US" w:bidi="ar-SA"/>
              </w:rPr>
              <w: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really have little or no recollection at all beyond what you can read in the Records?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That's not completely true. </w:t>
            </w:r>
            <w:r>
              <w:rPr>
                <w:rFonts w:ascii="arial" w:eastAsia="arial" w:hAnsi="arial" w:cs="arial"/>
                <w:color w:val="000000"/>
                <w:sz w:val="18"/>
                <w:u w:val="single"/>
                <w:lang w:val="en-US" w:eastAsia="en-US" w:bidi="ar-SA"/>
              </w:rPr>
              <w:t>I do remember certain instances</w:t>
            </w:r>
            <w:r>
              <w:rPr>
                <w:rFonts w:ascii="arial" w:eastAsia="arial" w:hAnsi="arial" w:cs="arial"/>
                <w:color w:val="000000"/>
                <w:sz w:val="18"/>
                <w:lang w:val="en-US" w:eastAsia="en-US" w:bidi="ar-SA"/>
              </w:rPr>
              <w:t>. Some things are fairly vivid to me, but there's lots of things I really don't have a strong memory of.</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She then had her discovery evidence put to her wherein she acknowledged, in effect, that her recollections of events was really what is seen in the Chart. She went on to say that she did only remember certain things.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Nurse Kinash acknowledged that the Hospital did not have its own policies or procedures on VBAC labour; that it adopted the Guidelines. She agreed that while she had not worked there for four years, she had read the Guidelines at some point, and she was generally aware of the signs and symptoms that can be seen with a uterine rupture, or impending uterine rupture, including unusual abdominal pain. She was aware that it was a potential risk in every VBAC patient.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Nurse Kinash was referred to her notes of procedures and comments on the admission document, and particularly her two references to Mrs. Strachan's complaint of constant abdominal pain. She had told Ms. Harper the previous day that the 4:45 a.m. time designated a series of events that began at 4:45 a.m., contrary to a later note for 5:35 a.m., which she said was a summary of events which had already taken place. She said this was because she believed she started at 4:45 a.m. because that is when she gave Mrs. Strachan Demerol. I am satisfied on the point that Mrs. Strachan had complained about constant abdominal pain prior to 4:45 a.m., and that the nurses' notations after that time refer to events which occurred prior to 4:45 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Further, Nurse Kinash agreed that because Mrs. Strachan was referring to the pain as "constant" at 4:45 a.m., she had to have been experiencing it for some period of time prior to 4:45 a.m. She agreed also that other than what she recorded on the Chart, i.e., "constant pain on the right side", she had no recollection of having received any further details of the pain from Mrs. Strachan.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She then explained her comment, that because it was her practice to do so, she would have checked to see if the pain was over the scar, that is, over Mrs. Strachan's incision, because she was a VBAC patient. She also agreed that while that would have been an important matter to record, whether it was or was not, she made no recording of it. I observe as well that she did not say why she was checking the scar, if the pain was right-sided, and if she ever directed her mind as to whether it was possible that she was dealing with a developing uterine rupture. She did not tell Dr. Reynolds any of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Nurse Kinash acknowledged that she knew at the time that unusual abdominal pain in a VBAC patient raised at least the possibility of scar separation and uterine rupture. However, she did not think about that possibility at the time, that is, at the time that Mrs. Strachan was complaining of constant abdominal pain and thereafter.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She was then referred to her discovery evidence. She was questioned about her consideration of placental abruption and she had not stated that she had ruled it out. She said that this was because at the time she was nervous and she had not familiarized herself with her Chart.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She then acknowledged that nurses do not diagnose and that she was not saying that she took it upon herself to rule out the possibility of a placental abruption without discussing the matter with the doctor. She said that she just spoke for herself, to say that she ran the monitor and there was no evidence of fetal decelerations. She said that fetal decelerations are more indicative to her of "something being amiss than the pain was at the time"; that is why she called the doctor, to have her assess the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Nurse Kinash agreed that it was her responsibility to make sure that she fully conveyed both the nature of the complaint and her concern to the attending physician; that at the time she called Dr. Reynolds, she was concerned "that a very serious complication of labour might be occurring". However, she has no recollection of how she described the pain to Dr. Reynolds. She was just concerned and wanted the doctor to come and see the patient. She does not remember telling Dr. Reynolds that she had considered the possibility of placental abruption. She does not remember if she conveyed to her that she thought that a serious complication might be occurring. Again, I had some concern with this evidence, if it was meant to persuade me that at the time she made the telephone call, Nurse Kinash was concerned that a very serious complication of labour might be occurring, although she did not direct her mind to the possibility of uterine rupture, and that she expressed such concern, with details, to Dr. Reynolds.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She does not believe that she asked Dr. Reynolds whether she also wanted her to notify the obstetrician on call. She was then referred to her notation that abdominal pain was still present, but not as severe. She cannot remember the degree to which the pain had been apparent; although it was significant enough for her to make a note of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Nurse Kinash has no recollection of Mrs. Strachan ever saying that the pain had gone completely. Her normal practice would be to record it if the patient had told her that the pain had gone.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It was pointed out to her that she had also noted, from the monitoring strip, prior to Dr. Reynolds' arrival, that there seemed to have been a decrease in Mrs. Strachan's contractions. Her response was that she could not see any notation to that effect. She was then referred to her discovery evidence where she said that she had assessed the contraction pattern and ascertained that the contractions seemed to have eased off somewhat, that they were less frequent than they had been before.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She said that at the time she was not aware that a change in the contraction pattern, or change in uterine activity, was also a sign that may occur with a developing or actual uterine rupture. She does not remember whether she did or did not draw this change in the contraction pattern to Dr. Reynolds' attention. She has no recollection of there being any subsequent change or improvement in the contraction pattern, after she noted that the contractions appeared to have been falling off. She also agreed that after the membrane was ruptured, she put on the portion of the monitor that monitors the fetal heart, but she did not put on the portion that monitors contractions. They had no information on the contraction pattern after that time. Thus, they did not know if Mrs. Strachan was having any contractions when she went to, was in, and returned from, the bathroom. Nor did they know what the fetal heart rate was doing. This was, as I recall, for a period of about 15 minutes when Nurse Kinash and Dr. Reynolds were at the nurses' station.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She had noted in her Records that before Mrs. Strachan went to the bathroom, the fetal heart rate strip was showing decreased variability. This means that the fetal heart rate line appeared flatter and straighter than it had before.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xml:space="preserve">  She was then referred to the fact that she recorded the fetal heart rate at 90 to 100 after Mrs. Strachan came back from the bathroom; that she thought, and it turned out, that it was the same pulse as the mother. At 6:15 a.m. the heart rate was recorded at 130 and 140. She agreed that after the strip went on at 6:02 a.m. it represented a fetal heart rate down around 90 to 100 for some period of time and briefly climbing back to 135. When it was suggested to her that that was ominous, she said: </w:t>
      </w:r>
      <w:r>
        <w:rPr>
          <w:rFonts w:ascii="arial" w:eastAsia="arial" w:hAnsi="arial" w:cs="arial"/>
          <w:color w:val="000000"/>
          <w:sz w:val="20"/>
          <w:u w:val="single"/>
          <w:lang w:val="en-US" w:eastAsia="en-US" w:bidi="ar-SA"/>
        </w:rPr>
        <w:t>"no", but it was "not reassuring".</w:t>
      </w:r>
      <w:r>
        <w:rPr>
          <w:rFonts w:ascii="arial" w:eastAsia="arial" w:hAnsi="arial" w:cs="arial"/>
          <w:color w:val="000000"/>
          <w:sz w:val="20"/>
          <w:lang w:val="en-US" w:eastAsia="en-US" w:bidi="ar-SA"/>
        </w:rPr>
        <w:t xml:space="preserve">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Finally, she agreed from her note that it was around 6:15 a.m. when she recorded the fetal heart rate at 130 and 140. When Mrs. Strachan returned to bed from the bathroom at 6:00 a.m. she had recorded it at 90.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Re-Examination by Ms. Harper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Nurse Kinash agreed that she does have some recollection of the conversation with Dr. Reynolds, over and above what is contained in her Chart. For example, she recalled the doctor asking her if she wanted her to come into the Hospital, and she said that she did. She said: "thats all I recall". She also acknowledged her discovery evidence that specific precautions against the cord prolapsing were not taken when Dr. Reynolds ruptured the membrane. She recalled the doctor saying that they had this well down.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Cross-Examination by Mr. Samtani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Nurse Kinash was referred to the strip which started at 5:01 a.m., and her evidence that contractions had been falling off. She was then asked whether the uterine contraction monitor picked up all contractions all the time and she said: "no".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EVIDENCE OF DR. G. DOERSAM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Dr. Doersam has been a practising obstetrician and gynaecologist since 1985. He regularly delivers babies, and consults with family physicians who also deliver babies, at the Surrey Memorial Hospital. He was called on behalf of the plaintiffs.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Direct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Dr. Doersam's direct evidence is contained in his Report dated April 16, 2003. In it Dr. Doersam said that the hazards of the VBAC process include those attached to any vaginal delivery, as well as those specifically related to delivery from a uterus previously scarred by caesarean delivery. His point is well taken in comparison to the position of the defence expert doctors.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latter includes breakdown of the uterine scar during labour. Breakdown of the uterine scar may be as mild as silent thinning and subtle opening of the uterine wound, without significant consequence for either mother or fetus ... or catastrophic, complete opening of the scar that allows the baby to be expelled from the uterine cavity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Dr. Doersam states at p. 2 of his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Signs that may occur with impending uterine rupture include inadequate labour progress despite good contractions, incoordinate uterine activity, maternal restlessness and anxiety </w:t>
      </w:r>
      <w:r>
        <w:rPr>
          <w:rFonts w:ascii="arial" w:eastAsia="arial" w:hAnsi="arial" w:cs="arial"/>
          <w:color w:val="000000"/>
          <w:sz w:val="20"/>
          <w:u w:val="single"/>
          <w:lang w:val="en-US" w:eastAsia="en-US" w:bidi="ar-SA"/>
        </w:rPr>
        <w:t>and lower abdominal pain between contractions</w:t>
      </w:r>
      <w:r>
        <w:rPr>
          <w:rFonts w:ascii="arial" w:eastAsia="arial" w:hAnsi="arial" w:cs="arial"/>
          <w:color w:val="000000"/>
          <w:sz w:val="20"/>
          <w:lang w:val="en-US" w:eastAsia="en-US" w:bidi="ar-SA"/>
        </w:rPr>
        <w:t xml:space="preserve">. Signs that may occur with a complete or partial uterine rupture include </w:t>
      </w:r>
      <w:r>
        <w:rPr>
          <w:rFonts w:ascii="arial" w:eastAsia="arial" w:hAnsi="arial" w:cs="arial"/>
          <w:color w:val="000000"/>
          <w:sz w:val="20"/>
          <w:u w:val="single"/>
          <w:lang w:val="en-US" w:eastAsia="en-US" w:bidi="ar-SA"/>
        </w:rPr>
        <w:t>sudden, non-reassuring fetal heart pattern, unusual abdominal pain</w:t>
      </w:r>
      <w:r>
        <w:rPr>
          <w:rFonts w:ascii="arial" w:eastAsia="arial" w:hAnsi="arial" w:cs="arial"/>
          <w:color w:val="000000"/>
          <w:sz w:val="20"/>
          <w:lang w:val="en-US" w:eastAsia="en-US" w:bidi="ar-SA"/>
        </w:rPr>
        <w:t>, cessation of contractions or incoordinate uterine activity, unexplained vaginal bleeding, sudden maternal rapid heartbeat and low blood pressure, excessive fetal movements, fetal parts easily felt through the maternal abdominal wall and retreat of the presenting part of the fetus to a higher point in the birth canal than previously.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With regard to his above reference to "lower abdominal pain between contractions", Dr. Doersam said that he either should have left the word "lower" out, or he should have put "upper or lower" in its place. He emphasised that the location of the pain is much less important than its timing and novelty. The scar pain is non-specific in its nature and location. He said that the characteristic feature of scar pain is its constancy between contractions, and its novelty during a previously normal pattern of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At p. 3 of his Report the doctor notes a clear change in the maternal condition occurring at 4:45 a.m. with the appearance of constant right-sided pain which continued when the mother was assisted back to bed. He noted that at 5:30 a.m. Dr. Reynolds noted that she had been called in at about 5:10 a.m. because of a bout of pain that lasted 30 minutes and had settled by 5:30 a.m., "45 minutes after the pain was first described and the analgesic had been given".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He also noted that at 5:00 a.m. the electronic fetal heart rate recording was resumed; that the electronic pattern showed reduced baseline variability and the absence of accelerations, a pattern that did not provide reassurance of fetal well being. He also noted that "suspicion of uterine dehiscence was not voiced between 0445 and 0630".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Dr. Doersam opined: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According to the normal and acceptable standards of practice, any physician caring for this patient would have </w:t>
      </w:r>
      <w:r>
        <w:rPr>
          <w:rFonts w:ascii="arial" w:eastAsia="arial" w:hAnsi="arial" w:cs="arial"/>
          <w:color w:val="000000"/>
          <w:sz w:val="20"/>
          <w:u w:val="single"/>
          <w:lang w:val="en-US" w:eastAsia="en-US" w:bidi="ar-SA"/>
        </w:rPr>
        <w:t>expected to be notified</w:t>
      </w:r>
      <w:r>
        <w:rPr>
          <w:rFonts w:ascii="arial" w:eastAsia="arial" w:hAnsi="arial" w:cs="arial"/>
          <w:color w:val="000000"/>
          <w:sz w:val="20"/>
          <w:lang w:val="en-US" w:eastAsia="en-US" w:bidi="ar-SA"/>
        </w:rPr>
        <w:t xml:space="preserve"> of abdominal pain between contractions </w:t>
      </w:r>
      <w:r>
        <w:rPr>
          <w:rFonts w:ascii="arial" w:eastAsia="arial" w:hAnsi="arial" w:cs="arial"/>
          <w:color w:val="000000"/>
          <w:sz w:val="20"/>
          <w:u w:val="single"/>
          <w:lang w:val="en-US" w:eastAsia="en-US" w:bidi="ar-SA"/>
        </w:rPr>
        <w:t>without delay</w:t>
      </w:r>
      <w:r>
        <w:rPr>
          <w:rFonts w:ascii="arial" w:eastAsia="arial" w:hAnsi="arial" w:cs="arial"/>
          <w:color w:val="000000"/>
          <w:sz w:val="20"/>
          <w:lang w:val="en-US" w:eastAsia="en-US" w:bidi="ar-SA"/>
        </w:rPr>
        <w:t xml:space="preserve"> once it was reported by the patient, i.e., at 0445.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A consulting obstetrician would have expected to be called immediately the suspicion of uterine rupture arose, based on any of the following</w:t>
      </w:r>
      <w:r>
        <w:rPr>
          <w:rFonts w:ascii="arial" w:eastAsia="arial" w:hAnsi="arial" w:cs="arial"/>
          <w:color w:val="000000"/>
          <w:sz w:val="20"/>
          <w:lang w:val="en-US" w:eastAsia="en-US" w:bidi="ar-SA"/>
        </w:rPr>
        <w:t>:</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Scar pain</w:t>
      </w:r>
      <w:r>
        <w:rPr>
          <w:rFonts w:ascii="arial" w:eastAsia="arial" w:hAnsi="arial" w:cs="arial"/>
          <w:color w:val="000000"/>
          <w:sz w:val="20"/>
          <w:lang w:val="en-US" w:eastAsia="en-US" w:bidi="ar-SA"/>
        </w:rPr>
        <w:t xml:space="preserve"> (present from 0445);</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Non-assuring fetal heart pattern</w:t>
      </w:r>
      <w:r>
        <w:rPr>
          <w:rFonts w:ascii="arial" w:eastAsia="arial" w:hAnsi="arial" w:cs="arial"/>
          <w:color w:val="000000"/>
          <w:sz w:val="20"/>
          <w:lang w:val="en-US" w:eastAsia="en-US" w:bidi="ar-SA"/>
        </w:rPr>
        <w:t xml:space="preserve"> (present from 0500);</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Elevation of presenting part (present from 0530).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Faced with any of the above signs, an obstetrician would have moved to immediate delivery by emergency caesarean section.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note as to item 3, that on cross-examination Dr. Doersam seemed to be persuaded that the elevation was present from 6:00 a.m. However, the evidence in this area was unclear. I note that in fact by 5:30 a.m. the head was actually higher than it had previously been described, that is, by Dr. Yoshida who found it to be at station -1 to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At p. 4 of his Report, Dr. Doersam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light of the above, signs of uterine rupture that </w:t>
      </w:r>
      <w:r>
        <w:rPr>
          <w:rFonts w:ascii="arial" w:eastAsia="arial" w:hAnsi="arial" w:cs="arial"/>
          <w:color w:val="000000"/>
          <w:sz w:val="20"/>
          <w:u w:val="single"/>
          <w:lang w:val="en-US" w:eastAsia="en-US" w:bidi="ar-SA"/>
        </w:rPr>
        <w:t>indicated delivering the baby by emergency caesarean section was present at 0445. Additional evidence mandating immediate caesarean delivery appeared by 0500</w:t>
      </w:r>
      <w:r>
        <w:rPr>
          <w:rFonts w:ascii="arial" w:eastAsia="arial" w:hAnsi="arial" w:cs="arial"/>
          <w:color w:val="000000"/>
          <w:sz w:val="20"/>
          <w:lang w:val="en-US" w:eastAsia="en-US" w:bidi="ar-SA"/>
        </w:rPr>
        <w:t xml:space="preserve"> and three clear indicators for immediate delivery were present by 0530. In obstetrical parlance, 'immediate caesarean section' is commonly considered to begin within 30 minutes of the decision to perform the operation. Thus, it is a reasonable expectation that the caesarean delivery of this baby </w:t>
      </w:r>
      <w:r>
        <w:rPr>
          <w:rFonts w:ascii="arial" w:eastAsia="arial" w:hAnsi="arial" w:cs="arial"/>
          <w:color w:val="000000"/>
          <w:sz w:val="20"/>
          <w:u w:val="single"/>
          <w:lang w:val="en-US" w:eastAsia="en-US" w:bidi="ar-SA"/>
        </w:rPr>
        <w:t>should have started as early as 0515 or 0530 at the latest</w:t>
      </w:r>
      <w:r>
        <w:rPr>
          <w:rFonts w:ascii="arial" w:eastAsia="arial" w:hAnsi="arial" w:cs="arial"/>
          <w:color w:val="000000"/>
          <w:sz w:val="20"/>
          <w:lang w:val="en-US" w:eastAsia="en-US" w:bidi="ar-SA"/>
        </w:rPr>
        <w:t>.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Finally, Dr. Doersam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Vigilance, a high index of suspicion and delivery at the very first indication would have minimized and might even have prevented a significant injury in the present case</w:t>
      </w:r>
      <w:r>
        <w:rPr>
          <w:rFonts w:ascii="arial" w:eastAsia="arial" w:hAnsi="arial" w:cs="arial"/>
          <w:color w:val="000000"/>
          <w:sz w:val="20"/>
          <w:lang w:val="en-US" w:eastAsia="en-US" w:bidi="ar-SA"/>
        </w:rPr>
        <w:t>.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Dr. Doersam was asked by Mr. Smith why he said that the electronic pattern shown on the strip did not provide him with reassurance. The doctor said that one must look at the overall pattern of the tracing prior to 5:00 a.m. He said he saw a very frequent acceleration of the fetal heart, and variability of the baseline rate, that was generally 5 to 10 or more beats per second on the earlier strip. When he compared these findings to the tracings which started at 5:00 a.m., he found that the baseline variability was very short, or relatively flat, with fewer than five beats per minute of variation, and there were no accelerations recorded.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It will be seen that I was impressed with Dr. Doersam's evidence and opinions, and that I prefer them over those of the defence expert doctors where there is conflict. In this regard I specifically accept his evidence about, or his interpretations of, the strips as showing changes in the fetal heart rate pattern, which in light of the constant abdominal pain, should have caused Dr. Reynolds to move quickly to exclude a developing uterine rupture as a possible cause of the signs seen, and to initiate emergency service.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The doctor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woman undergoing a trial of labour who has </w:t>
      </w:r>
      <w:r>
        <w:rPr>
          <w:rFonts w:ascii="arial" w:eastAsia="arial" w:hAnsi="arial" w:cs="arial"/>
          <w:color w:val="000000"/>
          <w:sz w:val="20"/>
          <w:u w:val="single"/>
          <w:lang w:val="en-US" w:eastAsia="en-US" w:bidi="ar-SA"/>
        </w:rPr>
        <w:t>just developed new constant abdominal pain</w:t>
      </w:r>
      <w:r>
        <w:rPr>
          <w:rFonts w:ascii="arial" w:eastAsia="arial" w:hAnsi="arial" w:cs="arial"/>
          <w:color w:val="000000"/>
          <w:sz w:val="20"/>
          <w:lang w:val="en-US" w:eastAsia="en-US" w:bidi="ar-SA"/>
        </w:rPr>
        <w:t xml:space="preserve">, if you are </w:t>
      </w:r>
      <w:r>
        <w:rPr>
          <w:rFonts w:ascii="arial" w:eastAsia="arial" w:hAnsi="arial" w:cs="arial"/>
          <w:color w:val="000000"/>
          <w:sz w:val="20"/>
          <w:u w:val="single"/>
          <w:lang w:val="en-US" w:eastAsia="en-US" w:bidi="ar-SA"/>
        </w:rPr>
        <w:t>presented with this piece of tracing</w:t>
      </w:r>
      <w:r>
        <w:rPr>
          <w:rFonts w:ascii="arial" w:eastAsia="arial" w:hAnsi="arial" w:cs="arial"/>
          <w:color w:val="000000"/>
          <w:sz w:val="20"/>
          <w:lang w:val="en-US" w:eastAsia="en-US" w:bidi="ar-SA"/>
        </w:rPr>
        <w:t>, this 10-15 minute segment of tracing, my impression would be that I was not reassured as to the state of the fetus.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241</w:t>
      </w:r>
      <w:r>
        <w:rPr>
          <w:rFonts w:ascii="arial" w:eastAsia="arial" w:hAnsi="arial" w:cs="arial"/>
          <w:color w:val="000000"/>
          <w:sz w:val="20"/>
          <w:lang w:val="en-US" w:eastAsia="en-US" w:bidi="ar-SA"/>
        </w:rPr>
        <w:t>  He also said that in the context of a trial of labour, novel, severe, constant abdominal pain requires consultation and careful consideration for immediate delivery, "as it constitutes an obstetrical emergency". In his opinion, the complaint of pain by itself is sufficient evidence of wound dehiscence or womb separation, to make the decision. The trial of labour should have been abandoned and Dr. Reynolds should have sought consultation earlier. He noted that additionally, the cause of the pain was uncertain in the minds of the people who were caring for the patient.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Cross-Examination by Ms. Khanna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242</w:t>
      </w:r>
      <w:r>
        <w:rPr>
          <w:rFonts w:ascii="arial" w:eastAsia="arial" w:hAnsi="arial" w:cs="arial"/>
          <w:color w:val="000000"/>
          <w:sz w:val="20"/>
          <w:lang w:val="en-US" w:eastAsia="en-US" w:bidi="ar-SA"/>
        </w:rPr>
        <w:t>  It was put to Dr. Doersam by counsel that the index of suspicion for uterine rupture is higher if the pain is in the lower abdomen over the incision. He did not agree. He again said that the scar pain is non-specific in its nature and its location, that it is the constancy between contractions and its novelty during a previously normal pattern of pain is what is important. He did say that while he would be even more alarmed if the pain was over the incision, as opposed, for example, to being in the right upper part of the abdomen, he would still be alarmed at any constant pain. Clearly his definition of "scar pain" is any new complaint of constant abdominal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243</w:t>
      </w:r>
      <w:r>
        <w:rPr>
          <w:rFonts w:ascii="arial" w:eastAsia="arial" w:hAnsi="arial" w:cs="arial"/>
          <w:color w:val="000000"/>
          <w:sz w:val="20"/>
          <w:lang w:val="en-US" w:eastAsia="en-US" w:bidi="ar-SA"/>
        </w:rPr>
        <w:t>  Dr. Doersam confirmed that he read in a Report that by 5:30 or 5:35 a.m. the abdominal pains had settled. He then was asked if he agreed with Dr. Cooper, whose opinion was that it would be extremely unlikely that the fairly low dose of narcotic analgesic therapy provided would completely resolve the constant abdominal pain, if that pain was the result of uterine rupture. He said that the use of narcotics or epidural anaesthesia is not contra indicated during a trial of labour. The disappearance or appearance of pain is not consistently related to the use of analgesics. He agreed also that Demerol was not expected to take away the complete pain of contractions; that it just dulls or eases the discomfort associated with the contractions. He said that Demerol was most effective between 45 minutes and one hour after it had been given.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244</w:t>
      </w:r>
      <w:r>
        <w:rPr>
          <w:rFonts w:ascii="arial" w:eastAsia="arial" w:hAnsi="arial" w:cs="arial"/>
          <w:color w:val="000000"/>
          <w:sz w:val="20"/>
          <w:lang w:val="en-US" w:eastAsia="en-US" w:bidi="ar-SA"/>
        </w:rPr>
        <w:t>  He was then referred to his statement that the fetal heart pattern was non-reassuring from 5:00 a.m. He was asked if he agreed non-reassuring fetal heart rate patterns are common in labour. He said that while they do occur, they constitute an obstetrical emergency, and require further assessment or delivery. He defined "non-reassuring" as meaning that he requiring further information or delivery.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245</w:t>
      </w:r>
      <w:r>
        <w:rPr>
          <w:rFonts w:ascii="arial" w:eastAsia="arial" w:hAnsi="arial" w:cs="arial"/>
          <w:color w:val="000000"/>
          <w:sz w:val="20"/>
          <w:lang w:val="en-US" w:eastAsia="en-US" w:bidi="ar-SA"/>
        </w:rPr>
        <w:t>  Dr. Doersam agreed that there were a number of possible explanations for the decreased variability shown in the strip around 5:00 a.m. For example, by then the baby may have felt the Demerol, or perhaps the baby was sleeping. He said, that in the context of normal labour, he would have dismissed the pattern temporarily. However, in context of a VBAC patient, he could not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246</w:t>
      </w:r>
      <w:r>
        <w:rPr>
          <w:rFonts w:ascii="arial" w:eastAsia="arial" w:hAnsi="arial" w:cs="arial"/>
          <w:color w:val="000000"/>
          <w:sz w:val="20"/>
          <w:lang w:val="en-US" w:eastAsia="en-US" w:bidi="ar-SA"/>
        </w:rPr>
        <w:t>  He then referred to Dr. Williams' Report, and his opinion that fetal monitoring at 5:10 a.m. showed normal long-term variability "with no evidence of deceleration, which was very reassuring". Dr. Doersam did not agree with this opinion. In his view, the statement disregarded the context in which the reduced variability was exhibited, and disregarded the previous pattern "which was markedly more accelerated and with greater variability". This can be seen from the strips.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247</w:t>
      </w:r>
      <w:r>
        <w:rPr>
          <w:rFonts w:ascii="arial" w:eastAsia="arial" w:hAnsi="arial" w:cs="arial"/>
          <w:color w:val="000000"/>
          <w:sz w:val="20"/>
          <w:lang w:val="en-US" w:eastAsia="en-US" w:bidi="ar-SA"/>
        </w:rPr>
        <w:t>  Dr. Doersam was asked about the number of uterine rupture cases that he had seen in his practice, and he said none. He was asked how many VBAC patients he had, and he said that currently he was seeing approximately 50 or 60 per year; that he had seen several hundred over a 15 year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248</w:t>
      </w:r>
      <w:r>
        <w:rPr>
          <w:rFonts w:ascii="arial" w:eastAsia="arial" w:hAnsi="arial" w:cs="arial"/>
          <w:color w:val="000000"/>
          <w:sz w:val="20"/>
          <w:lang w:val="en-US" w:eastAsia="en-US" w:bidi="ar-SA"/>
        </w:rPr>
        <w:t>  He was then asked: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you are not able to comment on how a uterus would rupture from your own experience?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Thank goodness I have been able to act quickly enough to avert the disaster of uterine rupture by delivering fetuses prior to complete rupture of uterus, </w:t>
            </w:r>
            <w:r>
              <w:rPr>
                <w:rFonts w:ascii="arial" w:eastAsia="arial" w:hAnsi="arial" w:cs="arial"/>
                <w:color w:val="000000"/>
                <w:sz w:val="18"/>
                <w:u w:val="single"/>
                <w:lang w:val="en-US" w:eastAsia="en-US" w:bidi="ar-SA"/>
              </w:rPr>
              <w:t>once signs of the womb separation have appeared</w:t>
            </w:r>
            <w:r>
              <w:rPr>
                <w:rFonts w:ascii="arial" w:eastAsia="arial" w:hAnsi="arial" w:cs="arial"/>
                <w:color w:val="000000"/>
                <w:sz w:val="18"/>
                <w:lang w:val="en-US" w:eastAsia="en-US" w:bidi="ar-SA"/>
              </w:rPr>
              <w:t xml:space="preserve">. In my own practice this occurs ... currently ... I have had two in the last year where the patient complained of </w:t>
            </w:r>
            <w:r>
              <w:rPr>
                <w:rFonts w:ascii="arial" w:eastAsia="arial" w:hAnsi="arial" w:cs="arial"/>
                <w:color w:val="000000"/>
                <w:sz w:val="18"/>
                <w:u w:val="single"/>
                <w:lang w:val="en-US" w:eastAsia="en-US" w:bidi="ar-SA"/>
              </w:rPr>
              <w:t>a lower abdominal pain, or abdominal pain of some sort</w:t>
            </w:r>
            <w:r>
              <w:rPr>
                <w:rFonts w:ascii="arial" w:eastAsia="arial" w:hAnsi="arial" w:cs="arial"/>
                <w:color w:val="000000"/>
                <w:sz w:val="18"/>
                <w:lang w:val="en-US" w:eastAsia="en-US" w:bidi="ar-SA"/>
              </w:rPr>
              <w:t xml:space="preserve">, and we acted quickly to deliver the baby. Twice in the last year I have delivered children </w:t>
            </w:r>
            <w:r>
              <w:rPr>
                <w:rFonts w:ascii="arial" w:eastAsia="arial" w:hAnsi="arial" w:cs="arial"/>
                <w:color w:val="000000"/>
                <w:sz w:val="18"/>
                <w:u w:val="single"/>
                <w:lang w:val="en-US" w:eastAsia="en-US" w:bidi="ar-SA"/>
              </w:rPr>
              <w:t>from partially separated uterine incisions</w:t>
            </w:r>
            <w:r>
              <w:rPr>
                <w:rFonts w:ascii="arial" w:eastAsia="arial" w:hAnsi="arial" w:cs="arial"/>
                <w:color w:val="000000"/>
                <w:sz w:val="18"/>
                <w:lang w:val="en-US" w:eastAsia="en-US" w:bidi="ar-SA"/>
              </w:rPr>
              <w: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249</w:t>
      </w:r>
      <w:r>
        <w:rPr>
          <w:rFonts w:ascii="arial" w:eastAsia="arial" w:hAnsi="arial" w:cs="arial"/>
          <w:color w:val="000000"/>
          <w:sz w:val="20"/>
          <w:lang w:val="en-US" w:eastAsia="en-US" w:bidi="ar-SA"/>
        </w:rPr>
        <w:t>  Dr. Doersam could not recall the details of the complaints, particularly with regard to the location of the pain in the two cases referred to. When pressed with regard to his reference to "lower abdominal pain between contractions", in his Report and the two specific cases,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can't be specific about these specific cases without reviewing the records. But that is what I said. And in my thinking I don't specifically recall, I'm sorry. But yes, I did say lower abdominal pain. </w:t>
      </w:r>
      <w:r>
        <w:rPr>
          <w:rFonts w:ascii="arial" w:eastAsia="arial" w:hAnsi="arial" w:cs="arial"/>
          <w:color w:val="000000"/>
          <w:sz w:val="20"/>
          <w:u w:val="single"/>
          <w:lang w:val="en-US" w:eastAsia="en-US" w:bidi="ar-SA"/>
        </w:rPr>
        <w:t>The location of the pain is of much less importance than its timing and its novelty</w:t>
      </w:r>
      <w:r>
        <w:rPr>
          <w:rFonts w:ascii="arial" w:eastAsia="arial" w:hAnsi="arial" w:cs="arial"/>
          <w:color w:val="000000"/>
          <w:sz w:val="20"/>
          <w:lang w:val="en-US" w:eastAsia="en-US" w:bidi="ar-SA"/>
        </w:rPr>
        <w:t>.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He had noted earlier that in both cases where he did a caesarean section because of the complaint of constant abdominal pain, he found the uterus partially open.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250</w:t>
      </w:r>
      <w:r>
        <w:rPr>
          <w:rFonts w:ascii="arial" w:eastAsia="arial" w:hAnsi="arial" w:cs="arial"/>
          <w:color w:val="000000"/>
          <w:sz w:val="20"/>
          <w:lang w:val="en-US" w:eastAsia="en-US" w:bidi="ar-SA"/>
        </w:rPr>
        <w:t>  The doctor was returned to the fetal heart tracing around 5:10 a.m. and Dr. Williams' evidence that there was no evidence of deceleration "which was very reassuring". Dr. Doersam agreed that late decelerations would be ominous. However, he did not agree with Dr. Williams' opinion. He said that the absence of deceleration did not provide him with an avenue for escape from performing a caesarean section from maternal indications. In his view, the medical emergency took place at 4:45 a.m., "when the patient complained of pain and gave a maternal indication to terminate the trial of labour".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251</w:t>
      </w:r>
      <w:r>
        <w:rPr>
          <w:rFonts w:ascii="arial" w:eastAsia="arial" w:hAnsi="arial" w:cs="arial"/>
          <w:color w:val="000000"/>
          <w:sz w:val="20"/>
          <w:lang w:val="en-US" w:eastAsia="en-US" w:bidi="ar-SA"/>
        </w:rPr>
        <w:t>  Counsel then suggested to him that if on arriving at the Hospital Dr. Reynolds was advised that the continuing pain had lasted for approximately 30 minutes and then settled; that that would be a reassuring sign. He did not agree.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Unfortunately I would be pleased that the patient was no longer in pain, but the fact that the patient had had a bout of constant abdominal pain lasting </w:t>
      </w:r>
      <w:r>
        <w:rPr>
          <w:rFonts w:ascii="arial" w:eastAsia="arial" w:hAnsi="arial" w:cs="arial"/>
          <w:color w:val="000000"/>
          <w:sz w:val="20"/>
          <w:u w:val="single"/>
          <w:lang w:val="en-US" w:eastAsia="en-US" w:bidi="ar-SA"/>
        </w:rPr>
        <w:t>through fully ten contractions, 30 minutes of pain, that is still unexplained at 5:30, still demands explanation of treatment</w:t>
      </w:r>
      <w:r>
        <w:rPr>
          <w:rFonts w:ascii="arial" w:eastAsia="arial" w:hAnsi="arial" w:cs="arial"/>
          <w:color w:val="000000"/>
          <w:sz w:val="20"/>
          <w:lang w:val="en-US" w:eastAsia="en-US" w:bidi="ar-SA"/>
        </w:rPr>
        <w:t>.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252</w:t>
      </w:r>
      <w:r>
        <w:rPr>
          <w:rFonts w:ascii="arial" w:eastAsia="arial" w:hAnsi="arial" w:cs="arial"/>
          <w:color w:val="000000"/>
          <w:sz w:val="20"/>
          <w:lang w:val="en-US" w:eastAsia="en-US" w:bidi="ar-SA"/>
        </w:rPr>
        <w:t>  It was then suggested to him that at that point what needed to be done was an assessment of the maternal and fetal health, and Dr. Doersam said that should already have been done at 4:45 a.m., adding: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And in my practice in small hospitals, in fact, decisions to abandon a trial of labour can easily be made on the fly, if you wish, </w:t>
      </w:r>
      <w:r>
        <w:rPr>
          <w:rFonts w:ascii="arial" w:eastAsia="arial" w:hAnsi="arial" w:cs="arial"/>
          <w:color w:val="000000"/>
          <w:sz w:val="20"/>
          <w:u w:val="single"/>
          <w:lang w:val="en-US" w:eastAsia="en-US" w:bidi="ar-SA"/>
        </w:rPr>
        <w:t>while the general practitioner and the gynaecologist are on their way to the hospital</w:t>
      </w:r>
      <w:r>
        <w:rPr>
          <w:rFonts w:ascii="arial" w:eastAsia="arial" w:hAnsi="arial" w:cs="arial"/>
          <w:color w:val="000000"/>
          <w:sz w:val="20"/>
          <w:lang w:val="en-US" w:eastAsia="en-US" w:bidi="ar-SA"/>
        </w:rPr>
        <w:t xml:space="preserve">. Preparations can be made for the caesarean section to proceed without delay. But </w:t>
      </w:r>
      <w:r>
        <w:rPr>
          <w:rFonts w:ascii="arial" w:eastAsia="arial" w:hAnsi="arial" w:cs="arial"/>
          <w:color w:val="000000"/>
          <w:sz w:val="20"/>
          <w:u w:val="single"/>
          <w:lang w:val="en-US" w:eastAsia="en-US" w:bidi="ar-SA"/>
        </w:rPr>
        <w:t>sequential assessment by first a nurse and then a general practitioner and then a specialist was, in my view, inappropriate in this case</w:t>
      </w:r>
      <w:r>
        <w:rPr>
          <w:rFonts w:ascii="arial" w:eastAsia="arial" w:hAnsi="arial" w:cs="arial"/>
          <w:color w:val="000000"/>
          <w:sz w:val="20"/>
          <w:lang w:val="en-US" w:eastAsia="en-US" w:bidi="ar-SA"/>
        </w:rPr>
        <w:t>.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He thus emphasizes how precious time is in hospitals like the defendant Hospital, as opposed to big city hospitals where surgical crews are ever present. In my view, it follows that unless the possibility of a developing uterine rupture can be excluded in a timely fashion, the focus must be on emergency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253</w:t>
      </w:r>
      <w:r>
        <w:rPr>
          <w:rFonts w:ascii="arial" w:eastAsia="arial" w:hAnsi="arial" w:cs="arial"/>
          <w:color w:val="000000"/>
          <w:sz w:val="20"/>
          <w:lang w:val="en-US" w:eastAsia="en-US" w:bidi="ar-SA"/>
        </w:rPr>
        <w:t>  Ms. Khanna then took the doctor through the assessment required once the physician is informed that there is constant abdominal pain. While agreeing with most of the steps suggested, he would not agree that if on palpitation or touch the abdomen was soft, that would be a reassuring thing. It would not be a cause to disregard the historical information of constant abdominal pain, demanding immediate caesarean 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254</w:t>
      </w:r>
      <w:r>
        <w:rPr>
          <w:rFonts w:ascii="arial" w:eastAsia="arial" w:hAnsi="arial" w:cs="arial"/>
          <w:color w:val="000000"/>
          <w:sz w:val="20"/>
          <w:lang w:val="en-US" w:eastAsia="en-US" w:bidi="ar-SA"/>
        </w:rPr>
        <w:t>  He was then asked if he agreed that it would be appropriate in assessing the maternal health to do the vaginal examination. He said yes, it may or may not be in fact: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decision to abandon a trial of labour on the basis of a suspected wound dehiscence ... </w:t>
      </w:r>
      <w:r>
        <w:rPr>
          <w:rFonts w:ascii="arial" w:eastAsia="arial" w:hAnsi="arial" w:cs="arial"/>
          <w:color w:val="000000"/>
          <w:sz w:val="20"/>
          <w:u w:val="single"/>
          <w:lang w:val="en-US" w:eastAsia="en-US" w:bidi="ar-SA"/>
        </w:rPr>
        <w:t>there is very little in a vaginal examination that would change my mind to go ahead with a caesarean section</w:t>
      </w:r>
      <w:r>
        <w:rPr>
          <w:rFonts w:ascii="arial" w:eastAsia="arial" w:hAnsi="arial" w:cs="arial"/>
          <w:color w:val="000000"/>
          <w:sz w:val="20"/>
          <w:lang w:val="en-US" w:eastAsia="en-US" w:bidi="ar-SA"/>
        </w:rPr>
        <w:t>. And depending on the clinical state of the patient, I may or may not do a vaginal examination, in fact, in that circumstance. Commonly I would.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255</w:t>
      </w:r>
      <w:r>
        <w:rPr>
          <w:rFonts w:ascii="arial" w:eastAsia="arial" w:hAnsi="arial" w:cs="arial"/>
          <w:color w:val="000000"/>
          <w:sz w:val="20"/>
          <w:lang w:val="en-US" w:eastAsia="en-US" w:bidi="ar-SA"/>
        </w:rPr>
        <w:t>  It was then suggested to him that he would do so in a case where the pain has resolved. He agreed that if the fetus was well, and the maternal vital signs were normal, he would certainly do a thorough history and physical 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256</w:t>
      </w:r>
      <w:r>
        <w:rPr>
          <w:rFonts w:ascii="arial" w:eastAsia="arial" w:hAnsi="arial" w:cs="arial"/>
          <w:color w:val="000000"/>
          <w:sz w:val="20"/>
          <w:lang w:val="en-US" w:eastAsia="en-US" w:bidi="ar-SA"/>
        </w:rPr>
        <w:t>  It was suggested to him that in terms of fetal assessment, there were few things that he could do because one cannot actually see the baby; such as looking at the fetal heart rate pattern, and perhaps having a look at the amniotic fluid. He agreed that the latter procedure was one piece of information that helps. The question put was: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But thats the only other way. When you are doing ... this initial assessment before you reach the decision to go to c-section you can look at the amniotic fluid, and you can look at the fetal heart rate; correct?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If I am concerned about </w:t>
            </w:r>
            <w:r>
              <w:rPr>
                <w:rFonts w:ascii="arial" w:eastAsia="arial" w:hAnsi="arial" w:cs="arial"/>
                <w:color w:val="000000"/>
                <w:sz w:val="18"/>
                <w:u w:val="single"/>
                <w:lang w:val="en-US" w:eastAsia="en-US" w:bidi="ar-SA"/>
              </w:rPr>
              <w:t>assessing the fetus</w:t>
            </w:r>
            <w:r>
              <w:rPr>
                <w:rFonts w:ascii="arial" w:eastAsia="arial" w:hAnsi="arial" w:cs="arial"/>
                <w:color w:val="000000"/>
                <w:sz w:val="18"/>
                <w:lang w:val="en-US" w:eastAsia="en-US" w:bidi="ar-SA"/>
              </w:rPr>
              <w:t xml:space="preserve"> closely, that is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257</w:t>
      </w:r>
      <w:r>
        <w:rPr>
          <w:rFonts w:ascii="arial" w:eastAsia="arial" w:hAnsi="arial" w:cs="arial"/>
          <w:color w:val="000000"/>
          <w:sz w:val="20"/>
          <w:lang w:val="en-US" w:eastAsia="en-US" w:bidi="ar-SA"/>
        </w:rPr>
        <w:t>  I observe at this point that on re-direct examination the witness was asked by Mr. Smith: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My friend, Ms. Khanna, was asking you about the assessment that Dr. Reynolds did at 5:30 and suggested to you that rupture of the amniotic fluid is a reasonable assessment of the state of the health. And your answer to that was, if I am concerned about assessing the fetus closely?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Now, in the clinical situation present at 5:30 assuming that further assessment is done, what is the important ... as between the maternal and fetal situation ... </w:t>
            </w:r>
            <w:r>
              <w:rPr>
                <w:rFonts w:ascii="arial" w:eastAsia="arial" w:hAnsi="arial" w:cs="arial"/>
                <w:color w:val="000000"/>
                <w:sz w:val="18"/>
                <w:u w:val="single"/>
                <w:lang w:val="en-US" w:eastAsia="en-US" w:bidi="ar-SA"/>
              </w:rPr>
              <w:t>what is the important thing to assess</w:t>
            </w:r>
            <w:r>
              <w:rPr>
                <w:rFonts w:ascii="arial" w:eastAsia="arial" w:hAnsi="arial" w:cs="arial"/>
                <w:color w:val="000000"/>
                <w:sz w:val="18"/>
                <w:lang w:val="en-US" w:eastAsia="en-US" w:bidi="ar-SA"/>
              </w:rPr>
              <w: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In that setting I was presented with a maternal indication for a caesarean section</w:t>
            </w:r>
            <w:r>
              <w:rPr>
                <w:rFonts w:ascii="arial" w:eastAsia="arial" w:hAnsi="arial" w:cs="arial"/>
                <w:color w:val="000000"/>
                <w:sz w:val="18"/>
                <w:lang w:val="en-US" w:eastAsia="en-US" w:bidi="ar-SA"/>
              </w:rPr>
              <w:t xml:space="preserve">. The state of the fetus has no bearing but ... </w:t>
            </w:r>
            <w:r>
              <w:rPr>
                <w:rFonts w:ascii="arial" w:eastAsia="arial" w:hAnsi="arial" w:cs="arial"/>
                <w:color w:val="000000"/>
                <w:sz w:val="18"/>
                <w:u w:val="single"/>
                <w:lang w:val="en-US" w:eastAsia="en-US" w:bidi="ar-SA"/>
              </w:rPr>
              <w:t>and the state of the fetus would not deter me from performing the required surgery</w:t>
            </w:r>
            <w:r>
              <w:rPr>
                <w:rFonts w:ascii="arial" w:eastAsia="arial" w:hAnsi="arial" w:cs="arial"/>
                <w:color w:val="000000"/>
                <w:sz w:val="18"/>
                <w:lang w:val="en-US" w:eastAsia="en-US" w:bidi="ar-SA"/>
              </w:rPr>
              <w:t>. So if I were to obtain reassuring signs regarding the fetus, I still would not fail to do a caesarean section. (Emphasis added).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258</w:t>
      </w:r>
      <w:r>
        <w:rPr>
          <w:rFonts w:ascii="arial" w:eastAsia="arial" w:hAnsi="arial" w:cs="arial"/>
          <w:color w:val="000000"/>
          <w:sz w:val="20"/>
          <w:lang w:val="en-US" w:eastAsia="en-US" w:bidi="ar-SA"/>
        </w:rPr>
        <w:t>  I pause to observe that this evidence perhaps emphasizes Dr. Doersam's primary concern with maternal indication for a caesarean section, while the defendants' expert doctors seem to be more concerned with the fetus and a more concrete "sign" indicated by changes in fetal heart rate. The problem with the latter focus, as I understand it, is that in many cases the fetal heart rate will appear to be normal until shortly before the actual uterine rupture occurs and the fetus is extruded into the abdominal cavity. Thus, it seems to me to be dangerous to place too much reliance on the fetal heart rate, if it appears to be reassuring, which the defence expert doctors seem to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259</w:t>
      </w:r>
      <w:r>
        <w:rPr>
          <w:rFonts w:ascii="arial" w:eastAsia="arial" w:hAnsi="arial" w:cs="arial"/>
          <w:color w:val="000000"/>
          <w:sz w:val="20"/>
          <w:lang w:val="en-US" w:eastAsia="en-US" w:bidi="ar-SA"/>
        </w:rPr>
        <w:t>  Dr. Doersam agreed that 30 minutes is commonly considered to be appropriate from the time a decision is made to do a caesarean section to the time that the baby is delivered. It was then suggested to him that the absolute earliest that Dr. Reynolds could have arranged for a caesarean section in this case would have been probably about 5:45 a.m. When it was suggested that that was what he was saying Dr. Reynolds should have done, the following exchange took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She should have called the obstetrician and had the obstetrician call for Dr. Yoshida to meet her at the Hospital with the report that, I have a trial of labour that has gone off the rails.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they don't have to call in right then. They need to go and have an obstetrical assessment done; correct?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Generally speaking when an obstetrician is called for that sort of a problem, the report on the telephone that constant abdominal pain </w:t>
            </w:r>
            <w:r>
              <w:rPr>
                <w:rFonts w:ascii="arial" w:eastAsia="arial" w:hAnsi="arial" w:cs="arial"/>
                <w:color w:val="000000"/>
                <w:sz w:val="18"/>
                <w:u w:val="single"/>
                <w:lang w:val="en-US" w:eastAsia="en-US" w:bidi="ar-SA"/>
              </w:rPr>
              <w:t>is sufficient to get the OR crew</w:t>
            </w:r>
            <w:r>
              <w:rPr>
                <w:rFonts w:ascii="arial" w:eastAsia="arial" w:hAnsi="arial" w:cs="arial"/>
                <w:color w:val="000000"/>
                <w:sz w:val="18"/>
                <w:lang w:val="en-US" w:eastAsia="en-US" w:bidi="ar-SA"/>
              </w:rPr>
              <w:t xml:space="preserve"> and an anaesthetist in and be ready to proceed as soon as the obstetrician arrives.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observe at this point that in my opinion this is not the case of a physician's clinical judgment, or one of a judgment in line with one of two legitimate medical theories.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260</w:t>
      </w:r>
      <w:r>
        <w:rPr>
          <w:rFonts w:ascii="arial" w:eastAsia="arial" w:hAnsi="arial" w:cs="arial"/>
          <w:color w:val="000000"/>
          <w:sz w:val="20"/>
          <w:lang w:val="en-US" w:eastAsia="en-US" w:bidi="ar-SA"/>
        </w:rPr>
        <w:t>  He was asked if he agreed that it would be an exercise of a physician's clinical judgment, based on the information that they are given on the telephone, about whether or not to call a stat caesarean section without making an assessment. His answer was: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One can only act on the information ones given, so if ... if one trusts the nursing staff for reporting accurately, then I say that the </w:t>
            </w:r>
            <w:r>
              <w:rPr>
                <w:rFonts w:ascii="arial" w:eastAsia="arial" w:hAnsi="arial" w:cs="arial"/>
                <w:color w:val="000000"/>
                <w:sz w:val="18"/>
                <w:u w:val="single"/>
                <w:lang w:val="en-US" w:eastAsia="en-US" w:bidi="ar-SA"/>
              </w:rPr>
              <w:t>report of constant abdominal pain for 30 minutes is quite sufficient</w:t>
            </w:r>
            <w:r>
              <w:rPr>
                <w:rFonts w:ascii="arial" w:eastAsia="arial" w:hAnsi="arial" w:cs="arial"/>
                <w:color w:val="000000"/>
                <w:sz w:val="18"/>
                <w:lang w:val="en-US" w:eastAsia="en-US" w:bidi="ar-SA"/>
              </w:rPr>
              <w:t xml:space="preserve"> to make the decision to prepare to perform an immediate caesarean section.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261</w:t>
      </w:r>
      <w:r>
        <w:rPr>
          <w:rFonts w:ascii="arial" w:eastAsia="arial" w:hAnsi="arial" w:cs="arial"/>
          <w:color w:val="000000"/>
          <w:sz w:val="20"/>
          <w:lang w:val="en-US" w:eastAsia="en-US" w:bidi="ar-SA"/>
        </w:rPr>
        <w:t>  He was then referred to Dr. Williams' Report and his opinion, that at the time that Dr. Reynolds was informed and arrived at the Hospital at approximately 5:30 a.m. and examined Mrs. Strachan, there was no indication to either call an obstetrician or call for a caesarean section. He did not agree with Dr. Williams' opinion. He pointed out that Dr. Reynolds did not have an explanation for the history of pain. He said that its disappearance did not reassure him that all was well within the uterus; and in the absence of a clear diagnosis, consultation was unquestionably indicated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262</w:t>
      </w:r>
      <w:r>
        <w:rPr>
          <w:rFonts w:ascii="arial" w:eastAsia="arial" w:hAnsi="arial" w:cs="arial"/>
          <w:color w:val="000000"/>
          <w:sz w:val="20"/>
          <w:lang w:val="en-US" w:eastAsia="en-US" w:bidi="ar-SA"/>
        </w:rPr>
        <w:t>  Dr. Doersam was then referred to Dr. Cooper's Report and his opinion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Dr. Reynolds assessed Mrs. Strachan. That assessment was thorough. At that time the </w:t>
      </w:r>
      <w:r>
        <w:rPr>
          <w:rFonts w:ascii="arial" w:eastAsia="arial" w:hAnsi="arial" w:cs="arial"/>
          <w:color w:val="000000"/>
          <w:sz w:val="20"/>
          <w:u w:val="single"/>
          <w:lang w:val="en-US" w:eastAsia="en-US" w:bidi="ar-SA"/>
        </w:rPr>
        <w:t>initial concern</w:t>
      </w:r>
      <w:r>
        <w:rPr>
          <w:rFonts w:ascii="arial" w:eastAsia="arial" w:hAnsi="arial" w:cs="arial"/>
          <w:color w:val="000000"/>
          <w:sz w:val="20"/>
          <w:lang w:val="en-US" w:eastAsia="en-US" w:bidi="ar-SA"/>
        </w:rPr>
        <w:t xml:space="preserve"> regarding a change in the maternal labour condition </w:t>
      </w:r>
      <w:r>
        <w:rPr>
          <w:rFonts w:ascii="arial" w:eastAsia="arial" w:hAnsi="arial" w:cs="arial"/>
          <w:color w:val="000000"/>
          <w:sz w:val="20"/>
          <w:u w:val="single"/>
          <w:lang w:val="en-US" w:eastAsia="en-US" w:bidi="ar-SA"/>
        </w:rPr>
        <w:t>had resolved</w:t>
      </w:r>
      <w:r>
        <w:rPr>
          <w:rFonts w:ascii="arial" w:eastAsia="arial" w:hAnsi="arial" w:cs="arial"/>
          <w:color w:val="000000"/>
          <w:sz w:val="20"/>
          <w:lang w:val="en-US" w:eastAsia="en-US" w:bidi="ar-SA"/>
        </w:rPr>
        <w:t xml:space="preserve">. It would be extremely unlikely that the fairly low dose of narcotic analgesic therapy that was provided would completely resolve her constant abdominal pain if that pain was the result of a uterine rupture. All maternal and fetal assessments at that time were normal and reassuring. </w:t>
      </w:r>
      <w:r>
        <w:rPr>
          <w:rFonts w:ascii="arial" w:eastAsia="arial" w:hAnsi="arial" w:cs="arial"/>
          <w:color w:val="000000"/>
          <w:sz w:val="20"/>
          <w:u w:val="single"/>
          <w:lang w:val="en-US" w:eastAsia="en-US" w:bidi="ar-SA"/>
        </w:rPr>
        <w:t>Again, there was no indication to require an obstetrical special assessment</w:t>
      </w:r>
      <w:r>
        <w:rPr>
          <w:rFonts w:ascii="arial" w:eastAsia="arial" w:hAnsi="arial" w:cs="arial"/>
          <w:color w:val="000000"/>
          <w:sz w:val="20"/>
          <w:lang w:val="en-US" w:eastAsia="en-US" w:bidi="ar-SA"/>
        </w:rPr>
        <w:t>.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263</w:t>
      </w:r>
      <w:r>
        <w:rPr>
          <w:rFonts w:ascii="arial" w:eastAsia="arial" w:hAnsi="arial" w:cs="arial"/>
          <w:color w:val="000000"/>
          <w:sz w:val="20"/>
          <w:lang w:val="en-US" w:eastAsia="en-US" w:bidi="ar-SA"/>
        </w:rPr>
        <w:t>  Dr. Doersam did not agree with Dr. Cooper's opinion. He said: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believe we have a problem, again, with the use of the word "uterine rupture". Dr. Copper is using the term "uterine rupture", I believe, in the sense of a separation of the uterine scar, partially. He is not referring, I believe, to the extrusion of the fetus into the abdominal cavity.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think we can take that as a given, doctor.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Right. So the concern regarding the change in maternal labour condition had ... I believe, </w:t>
            </w:r>
            <w:r>
              <w:rPr>
                <w:rFonts w:ascii="arial" w:eastAsia="arial" w:hAnsi="arial" w:cs="arial"/>
                <w:color w:val="000000"/>
                <w:sz w:val="18"/>
                <w:u w:val="single"/>
                <w:lang w:val="en-US" w:eastAsia="en-US" w:bidi="ar-SA"/>
              </w:rPr>
              <w:t>had not resolved since the appearance of pain had not yet been explained</w:t>
            </w:r>
            <w:r>
              <w:rPr>
                <w:rFonts w:ascii="arial" w:eastAsia="arial" w:hAnsi="arial" w:cs="arial"/>
                <w:color w:val="000000"/>
                <w:sz w:val="18"/>
                <w:lang w:val="en-US" w:eastAsia="en-US" w:bidi="ar-SA"/>
              </w:rPr>
              <w: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u w:val="single"/>
          <w:lang w:val="en-US" w:eastAsia="en-US" w:bidi="ar-SA"/>
        </w:rPr>
        <w:t>The disappearance of the pain is also unexplained</w:t>
      </w:r>
      <w:r>
        <w:rPr>
          <w:rFonts w:ascii="arial" w:eastAsia="arial" w:hAnsi="arial" w:cs="arial"/>
          <w:color w:val="000000"/>
          <w:sz w:val="20"/>
          <w:lang w:val="en-US" w:eastAsia="en-US" w:bidi="ar-SA"/>
        </w:rPr>
        <w:t xml:space="preserve">, but its not reassuring. </w:t>
      </w:r>
      <w:r>
        <w:rPr>
          <w:rFonts w:ascii="arial" w:eastAsia="arial" w:hAnsi="arial" w:cs="arial"/>
          <w:color w:val="000000"/>
          <w:sz w:val="20"/>
          <w:u w:val="single"/>
          <w:lang w:val="en-US" w:eastAsia="en-US" w:bidi="ar-SA"/>
        </w:rPr>
        <w:t>She has already had severe, prolonged constant pain</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264</w:t>
      </w:r>
      <w:r>
        <w:rPr>
          <w:rFonts w:ascii="arial" w:eastAsia="arial" w:hAnsi="arial" w:cs="arial"/>
          <w:color w:val="000000"/>
          <w:sz w:val="20"/>
          <w:lang w:val="en-US" w:eastAsia="en-US" w:bidi="ar-SA"/>
        </w:rPr>
        <w:t>  He added with regard to the statement "all maternal and fetal assessments at the time were normal and reassuring" that part of the assessment for the mother is the consideration of her history, and the historical fact of a complaint of pain is still unexplained. I observe as well, that in my view, Dr. Reynolds' assessment was not as thorough as suggested by Dr. Cooper. Whatever it consisted of, it was at most a "normal" examination, not the contextual one referred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265</w:t>
      </w:r>
      <w:r>
        <w:rPr>
          <w:rFonts w:ascii="arial" w:eastAsia="arial" w:hAnsi="arial" w:cs="arial"/>
          <w:color w:val="000000"/>
          <w:sz w:val="20"/>
          <w:lang w:val="en-US" w:eastAsia="en-US" w:bidi="ar-SA"/>
        </w:rPr>
        <w:t>  He agreed with Ms. Harper that the word "severe" does not appear in the Records that he received and reviewed when preparing his Report. He also assumed that the sum of all pain that Mrs. Strachan was experiencing was severe enough to give analgesia at 4:45 a.m. He noted that the Demerol was given for contraction pain and whatever other pain she was experiencing at that time "which is recorded simultaneously with the Demerol being given". I agree with this evidence, and the inference that the pain was severe enough for the nurse to provide Mrs. Strachan with the Demerol 45 minutes after her initial complaints of pain on arrival.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266</w:t>
      </w:r>
      <w:r>
        <w:rPr>
          <w:rFonts w:ascii="arial" w:eastAsia="arial" w:hAnsi="arial" w:cs="arial"/>
          <w:color w:val="000000"/>
          <w:sz w:val="20"/>
          <w:lang w:val="en-US" w:eastAsia="en-US" w:bidi="ar-SA"/>
        </w:rPr>
        <w:t>  Ms. Harper also questioned him about the lack of the word "severe" appearing in the description of the pain in the Records. The doctor said that the presence or absence of a description of severity makes little difference. He again said that the character of the pain is quite variable. He repeated "</w:t>
      </w:r>
      <w:r>
        <w:rPr>
          <w:rFonts w:ascii="arial" w:eastAsia="arial" w:hAnsi="arial" w:cs="arial"/>
          <w:color w:val="000000"/>
          <w:sz w:val="20"/>
          <w:u w:val="single"/>
          <w:lang w:val="en-US" w:eastAsia="en-US" w:bidi="ar-SA"/>
        </w:rPr>
        <w:t>the constant features, the essential features of worrisome pain in a trial of labour is occurrence between contractions and its novelty</w:t>
      </w:r>
      <w:r>
        <w:rPr>
          <w:rFonts w:ascii="arial" w:eastAsia="arial" w:hAnsi="arial" w:cs="arial"/>
          <w:color w:val="000000"/>
          <w:sz w:val="20"/>
          <w:lang w:val="en-US" w:eastAsia="en-US" w:bidi="ar-SA"/>
        </w:rPr>
        <w:t>".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267</w:t>
      </w:r>
      <w:r>
        <w:rPr>
          <w:rFonts w:ascii="arial" w:eastAsia="arial" w:hAnsi="arial" w:cs="arial"/>
          <w:color w:val="000000"/>
          <w:sz w:val="20"/>
          <w:lang w:val="en-US" w:eastAsia="en-US" w:bidi="ar-SA"/>
        </w:rPr>
        <w:t>  Ms. Harper cross-examined the doctor on his interpretation of the timing and the occurrence of events in document 1-D-47, which is the three-page Nursing Admission Record. I accept the doctor's interpretations of the Record as being more likely than not correct; for example, that nurses generally write their notes historically, what they have done after they have already done it. For example, with regard to the 4:45 a.m. recording, he described it as a "single block of activity that concluded at 4:45". Thus, he would infer that the constant pain occurred after 4:30 a.m. but prior to 4:45 a.m. I have reached the same conclusion on the evidence, which I find to be overwhelming, that the initial complaint of constant pain was made prior to 4:45 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EVIDENCE OF DR. G. FEINSTADT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268</w:t>
      </w:r>
      <w:r>
        <w:rPr>
          <w:rFonts w:ascii="arial" w:eastAsia="arial" w:hAnsi="arial" w:cs="arial"/>
          <w:color w:val="000000"/>
          <w:sz w:val="20"/>
          <w:lang w:val="en-US" w:eastAsia="en-US" w:bidi="ar-SA"/>
        </w:rPr>
        <w:t>  Dr. Feinstadt was called on behalf of the plaintiffs. Like Dr. Reynolds, he is a family practitioner with an obstetrical practice. His direct evidence is contained in his Report dated May 6,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269</w:t>
      </w:r>
      <w:r>
        <w:rPr>
          <w:rFonts w:ascii="arial" w:eastAsia="arial" w:hAnsi="arial" w:cs="arial"/>
          <w:color w:val="000000"/>
          <w:sz w:val="20"/>
          <w:lang w:val="en-US" w:eastAsia="en-US" w:bidi="ar-SA"/>
        </w:rPr>
        <w:t>  After a thorough review of the history as recorded, Dr. Feinstadt summed up his opinion at p. 4 of his Report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 summarize, I believe Dr. Reynolds </w:t>
      </w:r>
      <w:r>
        <w:rPr>
          <w:rFonts w:ascii="arial" w:eastAsia="arial" w:hAnsi="arial" w:cs="arial"/>
          <w:color w:val="000000"/>
          <w:sz w:val="20"/>
          <w:u w:val="single"/>
          <w:lang w:val="en-US" w:eastAsia="en-US" w:bidi="ar-SA"/>
        </w:rPr>
        <w:t>failed to meet the standard of care expected of a family physician practising in British Columbia in 1999. She failed to notify the obstetrician on-call in the presence of a high risk situation</w:t>
      </w:r>
      <w:r>
        <w:rPr>
          <w:rFonts w:ascii="arial" w:eastAsia="arial" w:hAnsi="arial" w:cs="arial"/>
          <w:color w:val="000000"/>
          <w:sz w:val="20"/>
          <w:lang w:val="en-US" w:eastAsia="en-US" w:bidi="ar-SA"/>
        </w:rPr>
        <w:t xml:space="preserve">. She then failed to notify the obstetrician when she was advised that the patient </w:t>
      </w:r>
      <w:r>
        <w:rPr>
          <w:rFonts w:ascii="arial" w:eastAsia="arial" w:hAnsi="arial" w:cs="arial"/>
          <w:color w:val="000000"/>
          <w:sz w:val="20"/>
          <w:u w:val="single"/>
          <w:lang w:val="en-US" w:eastAsia="en-US" w:bidi="ar-SA"/>
        </w:rPr>
        <w:t>was experiencing constant abdominal pain, which should have alerted her to the risk of impending uterine rupture. She performed a contra-indicated procedure</w:t>
      </w:r>
      <w:r>
        <w:rPr>
          <w:rFonts w:ascii="arial" w:eastAsia="arial" w:hAnsi="arial" w:cs="arial"/>
          <w:color w:val="000000"/>
          <w:sz w:val="20"/>
          <w:lang w:val="en-US" w:eastAsia="en-US" w:bidi="ar-SA"/>
        </w:rPr>
        <w:t xml:space="preserve"> by doing an artificial rupture of the membrane in the presence of an unengaged presenting part resulting in a prolapsed uterine cord in the presence of dehiscence of the previous uterine incision. Prolapse of the uterine cord can result in almost immediate cessation of blood flow to the fetus and subsequent hypoxia.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270</w:t>
      </w:r>
      <w:r>
        <w:rPr>
          <w:rFonts w:ascii="arial" w:eastAsia="arial" w:hAnsi="arial" w:cs="arial"/>
          <w:color w:val="000000"/>
          <w:sz w:val="20"/>
          <w:lang w:val="en-US" w:eastAsia="en-US" w:bidi="ar-SA"/>
        </w:rPr>
        <w:t>  Like Dr. Doersam, and for the same reasons, I found Dr. Feinstadt's evidence and opinions to be persuasive in the context of this case. I prefer his evidence over the evidence of the defendants' expert doctors, where there is conflict.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271</w:t>
      </w:r>
      <w:r>
        <w:rPr>
          <w:rFonts w:ascii="arial" w:eastAsia="arial" w:hAnsi="arial" w:cs="arial"/>
          <w:color w:val="000000"/>
          <w:sz w:val="20"/>
          <w:lang w:val="en-US" w:eastAsia="en-US" w:bidi="ar-SA"/>
        </w:rPr>
        <w:t>  Dr. Feinstadt testified in direct examination that the fetal heart tracing commencing at 3:50 a.m. on January 23 disclosed some decrease in variability; that this decrease continued after 5:01 a.m. He said that there were stretches in which the line is relatively flat and short-term variability was not present. He referred specifically to panels 24366, 24370 and 24374.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272</w:t>
      </w:r>
      <w:r>
        <w:rPr>
          <w:rFonts w:ascii="arial" w:eastAsia="arial" w:hAnsi="arial" w:cs="arial"/>
          <w:color w:val="000000"/>
          <w:sz w:val="20"/>
          <w:lang w:val="en-US" w:eastAsia="en-US" w:bidi="ar-SA"/>
        </w:rPr>
        <w:t>  I have already expressed my opinion that the fetal heart rate strip shows sufficient variation, when considered in conjunction with the constant abdominal pain, that the view of the necessity of emergency surgery should have been bolstered. Dr. Reynolds, then, was faced with two signs indicating the possibility of a developing uterine rupture, which she did not exclude as causes, and should have moved quickly to deal with the problems eventually by emergency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273</w:t>
      </w:r>
      <w:r>
        <w:rPr>
          <w:rFonts w:ascii="arial" w:eastAsia="arial" w:hAnsi="arial" w:cs="arial"/>
          <w:color w:val="000000"/>
          <w:sz w:val="20"/>
          <w:lang w:val="en-US" w:eastAsia="en-US" w:bidi="ar-SA"/>
        </w:rPr>
        <w:t>  Dr. Feinstadt defined "impending uterine rupture" as "evolving", as the uterine scar is not as strong as the original tissue. Under certain circumstances, the scar on the wall of the uterus will thin to the point where it will actually start to tear, resulting in an actual breach in the uterine wall. In his 30 years of practice he has seen "virtually every stage in this evolution". He considers himself fortunate that he has not had a completely ruptured uterus with extrusion of the baby into the abdominal cavity.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274</w:t>
      </w:r>
      <w:r>
        <w:rPr>
          <w:rFonts w:ascii="arial" w:eastAsia="arial" w:hAnsi="arial" w:cs="arial"/>
          <w:color w:val="000000"/>
          <w:sz w:val="20"/>
          <w:lang w:val="en-US" w:eastAsia="en-US" w:bidi="ar-SA"/>
        </w:rPr>
        <w:t>  Dr. Feinstadt knew Dr. K. Williams and worked with him for years when he was in Vancouver. He does not agree with Dr. Williams' opinion that Dr. Reynolds had no reason to call an obstetrician at 5:10 a.m. when she received the telephone call from Nurse Kinash. He disagreed from the standpoint of a family doctor in this situation, taking into account the time, the location, the resources available and the entire clinical scenario.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275</w:t>
      </w:r>
      <w:r>
        <w:rPr>
          <w:rFonts w:ascii="arial" w:eastAsia="arial" w:hAnsi="arial" w:cs="arial"/>
          <w:color w:val="000000"/>
          <w:sz w:val="20"/>
          <w:lang w:val="en-US" w:eastAsia="en-US" w:bidi="ar-SA"/>
        </w:rPr>
        <w:t>  Similarly, he does not agree with Dr. McTaggart's statement that Dr. Reynolds found the situation at 5:30 a.m. routine, if not reassuring, as would most general practitioners. He noted that Dr. Reynolds had a patient, in Mrs. Strachan, with a prior caesarean section who had an episode of constant abdominal pain, and whose fetal heart rate tracing, while not ominous, was not reassuring; and the baby's head was "out of the pelvis". He said he could not see how that could be described as routine and reassuring. The fact that the pain had gone should have been cold comfort. The pain, in its initial description, was constant, which he said could not be over emphasised; that constant abdominal pain in a labouring patient must be considered ominous.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276</w:t>
      </w:r>
      <w:r>
        <w:rPr>
          <w:rFonts w:ascii="arial" w:eastAsia="arial" w:hAnsi="arial" w:cs="arial"/>
          <w:color w:val="000000"/>
          <w:sz w:val="20"/>
          <w:lang w:val="en-US" w:eastAsia="en-US" w:bidi="ar-SA"/>
        </w:rPr>
        <w:t>  Dr. Feinstadt said that there are numerous examples in medicine, and not only in obstetrics, of signs and symptoms which may have passed, but that does not reduce their significance. He gave two examples, including one of a person who woke up in the middle of the night sweating with crushing chest pains, difficulty breathing and so on. It lasted for about an hour and then settled down. That could simply not be ignored, the possibility of a heart attack still loomed large.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277</w:t>
      </w:r>
      <w:r>
        <w:rPr>
          <w:rFonts w:ascii="arial" w:eastAsia="arial" w:hAnsi="arial" w:cs="arial"/>
          <w:color w:val="000000"/>
          <w:sz w:val="20"/>
          <w:lang w:val="en-US" w:eastAsia="en-US" w:bidi="ar-SA"/>
        </w:rPr>
        <w:t>  He was asked to comment on Dr. McTaggart's opinion that the fetal heart strips, as they appeared at 5:30 a.m. "</w:t>
      </w:r>
      <w:r>
        <w:rPr>
          <w:rFonts w:ascii="arial" w:eastAsia="arial" w:hAnsi="arial" w:cs="arial"/>
          <w:color w:val="000000"/>
          <w:sz w:val="20"/>
          <w:u w:val="single"/>
          <w:lang w:val="en-US" w:eastAsia="en-US" w:bidi="ar-SA"/>
        </w:rPr>
        <w:t>were not alarming</w:t>
      </w:r>
      <w:r>
        <w:rPr>
          <w:rFonts w:ascii="arial" w:eastAsia="arial" w:hAnsi="arial" w:cs="arial"/>
          <w:color w:val="000000"/>
          <w:sz w:val="20"/>
          <w:lang w:val="en-US" w:eastAsia="en-US" w:bidi="ar-SA"/>
        </w:rPr>
        <w:t xml:space="preserve">". He said that one should </w:t>
      </w:r>
      <w:r>
        <w:rPr>
          <w:rFonts w:ascii="arial" w:eastAsia="arial" w:hAnsi="arial" w:cs="arial"/>
          <w:color w:val="000000"/>
          <w:sz w:val="20"/>
          <w:u w:val="single"/>
          <w:lang w:val="en-US" w:eastAsia="en-US" w:bidi="ar-SA"/>
        </w:rPr>
        <w:t>not wait</w:t>
      </w:r>
      <w:r>
        <w:rPr>
          <w:rFonts w:ascii="arial" w:eastAsia="arial" w:hAnsi="arial" w:cs="arial"/>
          <w:color w:val="000000"/>
          <w:sz w:val="20"/>
          <w:lang w:val="en-US" w:eastAsia="en-US" w:bidi="ar-SA"/>
        </w:rPr>
        <w:t xml:space="preserve"> until the heart strips are alarming. Non-reassuring, in context, should be ample reason to get help. He said that it was akin to being on thin ice. You should not ignore the first crack of the ice, and you should not have to fall through the ice before you realize it is getting thin. I found Dr. Feinstadt's analogies to be apposite.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278</w:t>
      </w:r>
      <w:r>
        <w:rPr>
          <w:rFonts w:ascii="arial" w:eastAsia="arial" w:hAnsi="arial" w:cs="arial"/>
          <w:color w:val="000000"/>
          <w:sz w:val="20"/>
          <w:lang w:val="en-US" w:eastAsia="en-US" w:bidi="ar-SA"/>
        </w:rPr>
        <w:t>  Dr. Feinstadt also noted that there was nothing in the Record indicating that the baby's head was fixed, or, synonymously, engaged in the pelvis either before or after the membrane was ruptured. He therefore did not agree with Dr. McTaggart's assumption that the head was well applied to the cervix. It is seen that I am satisfied that when conducting her examination, Dr. Reynolds did not record a finding that the head was well applied to the cervix, but only that the head was still at station -2. On a consideration of the evidence, I am unable to conclude, on a balance of probabilities, that the head was well applied to the cervix.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279</w:t>
      </w:r>
      <w:r>
        <w:rPr>
          <w:rFonts w:ascii="arial" w:eastAsia="arial" w:hAnsi="arial" w:cs="arial"/>
          <w:color w:val="000000"/>
          <w:sz w:val="20"/>
          <w:lang w:val="en-US" w:eastAsia="en-US" w:bidi="ar-SA"/>
        </w:rPr>
        <w:t>  When asked whether he agreed with Dr. McTaggart's opinion that after the rupture of the membrane it was acceptable practice to allow Mrs. Strachan to get up and go to the bathroom, he answered: "unequivocally no". There was nothing then which was going to prevent the baby from "floating up and out of the way", leaving the cord to descend past the baby's head and through the cervix.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280</w:t>
      </w:r>
      <w:r>
        <w:rPr>
          <w:rFonts w:ascii="arial" w:eastAsia="arial" w:hAnsi="arial" w:cs="arial"/>
          <w:color w:val="000000"/>
          <w:sz w:val="20"/>
          <w:lang w:val="en-US" w:eastAsia="en-US" w:bidi="ar-SA"/>
        </w:rPr>
        <w:t>  Again, he did not agree with Dr. McTaggart's statement that there was no evidence to suggest an "untoward event" prior to about 6:00 a.m. He said that there was plenty of time, and plenty of warning, that the catastrophe was in the making.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281</w:t>
      </w:r>
      <w:r>
        <w:rPr>
          <w:rFonts w:ascii="arial" w:eastAsia="arial" w:hAnsi="arial" w:cs="arial"/>
          <w:color w:val="000000"/>
          <w:sz w:val="20"/>
          <w:lang w:val="en-US" w:eastAsia="en-US" w:bidi="ar-SA"/>
        </w:rPr>
        <w:t>  He also did not agree with the opinion of Dr. E. Fritz, that it was highly unlikely that the Demerol given to Mrs. Strachan would have completely excluded the pain if a complete uterine rupture was present at 5:30 a.m. He then declined to give an opinion, not being qualified to do so, noting that the literature on the subject matter was controversial. He added that Mrs. Strachan had constant abdominal pain and the possibility that it was caused by one or more ominous reasons, right then and there, had to be considered. At the top of the list would have to be the question: "Is this uterine scar giving way?" and the fact that a narcotic was administered could only cloud the situation, "but not assist in ruling out that possibility".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282</w:t>
      </w:r>
      <w:r>
        <w:rPr>
          <w:rFonts w:ascii="arial" w:eastAsia="arial" w:hAnsi="arial" w:cs="arial"/>
          <w:color w:val="000000"/>
          <w:sz w:val="20"/>
          <w:lang w:val="en-US" w:eastAsia="en-US" w:bidi="ar-SA"/>
        </w:rPr>
        <w:t>  Apparently, Dr. Fritz, like Dr. Feinstadt, is a family doctor. Dr. Feinstadt was asked whether he agreed with Dr. Fritz that the cord prolapse was not a result of the artificial rupture of the membrane. He said that he could not answer the question definitely because the uterine scar was giving way and the baby was being extruded into the abdomen through the breach. However, he is of the opinion that if the membrane had not been ruptured, the cord would not have prolapsed. If the cord had not prolapsed, it could well have kept providing oxygen to the baby, and bought precious time, while resources were being mobilized.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283</w:t>
      </w:r>
      <w:r>
        <w:rPr>
          <w:rFonts w:ascii="arial" w:eastAsia="arial" w:hAnsi="arial" w:cs="arial"/>
          <w:color w:val="000000"/>
          <w:sz w:val="20"/>
          <w:lang w:val="en-US" w:eastAsia="en-US" w:bidi="ar-SA"/>
        </w:rPr>
        <w:t>  Neither did he agree with Dr. Fritz's opinion that the rupture occurred at 6:00 a.m. He said that that was the final catastrophic event; the situation was evolving for quite some time before that. I am inclined to agree with this evidence, that is, that Dr. Reynolds should not have ruptured the membrane in the circumstances, and that in doing so she probably "sped up" the uterine rupture process, and that it took away precious time which should have been available if and when the situation was handled in a proper manner.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Cross-Examination By Mr. Samtani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284</w:t>
      </w:r>
      <w:r>
        <w:rPr>
          <w:rFonts w:ascii="arial" w:eastAsia="arial" w:hAnsi="arial" w:cs="arial"/>
          <w:color w:val="000000"/>
          <w:sz w:val="20"/>
          <w:lang w:val="en-US" w:eastAsia="en-US" w:bidi="ar-SA"/>
        </w:rPr>
        <w:t>  Dr. Feinstadt said that those who practice obstetrics in British Columbia are called upon to exercise clinical judgment from time-to-time. This involves coming up with a differential diagnosis, and making a judgment based on that differential diagnosis. He agreed that different physicians will often exercise their judgment in different ways depending on a number of factors, which include the circumstances that present, the individual training of the clinician and the individual experience of the clinician.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285</w:t>
      </w:r>
      <w:r>
        <w:rPr>
          <w:rFonts w:ascii="arial" w:eastAsia="arial" w:hAnsi="arial" w:cs="arial"/>
          <w:color w:val="000000"/>
          <w:sz w:val="20"/>
          <w:lang w:val="en-US" w:eastAsia="en-US" w:bidi="ar-SA"/>
        </w:rPr>
        <w:t>  He agreed that one must look at the totality of the situation. This included the locale, the time of day or night, the season, the resources available and how soon they can be available, a list of differential diagnosis, and so on. The physician must ask him or her self, what is my worst case scenario? Could this be a developing uterine rupture? He said: "And of necessity, the bad things need to be considered first".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286</w:t>
      </w:r>
      <w:r>
        <w:rPr>
          <w:rFonts w:ascii="arial" w:eastAsia="arial" w:hAnsi="arial" w:cs="arial"/>
          <w:color w:val="000000"/>
          <w:sz w:val="20"/>
          <w:lang w:val="en-US" w:eastAsia="en-US" w:bidi="ar-SA"/>
        </w:rPr>
        <w:t>  He agreed it was fair to say that on occasion physicians do not necessarily agree on medical issues; that you can have reasonable disagreements among reasonable physicians, including the interpretation of fetal heart monitoring strips. However, he said there are standard rules for reviewing, or interpreting, fetal heart rate strip tracings, thus minimizing the chances for subjectivity; that when looking at a fetal heart rate strip you should look at the totality of the situation and make conclusions based on the complete picture. In particular, what one looks for is patterns.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287</w:t>
      </w:r>
      <w:r>
        <w:rPr>
          <w:rFonts w:ascii="arial" w:eastAsia="arial" w:hAnsi="arial" w:cs="arial"/>
          <w:color w:val="000000"/>
          <w:sz w:val="20"/>
          <w:lang w:val="en-US" w:eastAsia="en-US" w:bidi="ar-SA"/>
        </w:rPr>
        <w:t>  He agreed that variability on a strip can be affected by a variety of factors, including fetal sleep patterns and the use of narcotics like Demerol which can reduce variability. Variability can be both benign, like a sleep pattern, or quite significant.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288</w:t>
      </w:r>
      <w:r>
        <w:rPr>
          <w:rFonts w:ascii="arial" w:eastAsia="arial" w:hAnsi="arial" w:cs="arial"/>
          <w:color w:val="000000"/>
          <w:sz w:val="20"/>
          <w:lang w:val="en-US" w:eastAsia="en-US" w:bidi="ar-SA"/>
        </w:rPr>
        <w:t>  It was put to Dr. Feinstadt that with the more significant causes, loss of variability is usually accompanied by deceleration. He said that this was not always the case. He had said that usually if the cause is significant, it will be accompanied by deceleration. He said that "usually" was probably correct, but added "that does not mean that loss of variability in the absence of deceleration can be ignored". It still has to be considered "as possibly ominous". He did not see any difference between the answers he was then giving and those which he had given in the earlier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289</w:t>
      </w:r>
      <w:r>
        <w:rPr>
          <w:rFonts w:ascii="arial" w:eastAsia="arial" w:hAnsi="arial" w:cs="arial"/>
          <w:color w:val="000000"/>
          <w:sz w:val="20"/>
          <w:lang w:val="en-US" w:eastAsia="en-US" w:bidi="ar-SA"/>
        </w:rPr>
        <w:t>  It was suggested to the doctor that in sorting out these aspects of variability, one applies clinical judgment; it is part of the mix. The doctor said that clinical judgment is not open-ended. There is a standard to which all doctors are held.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290</w:t>
      </w:r>
      <w:r>
        <w:rPr>
          <w:rFonts w:ascii="arial" w:eastAsia="arial" w:hAnsi="arial" w:cs="arial"/>
          <w:color w:val="000000"/>
          <w:sz w:val="20"/>
          <w:lang w:val="en-US" w:eastAsia="en-US" w:bidi="ar-SA"/>
        </w:rPr>
        <w:t>  It was then pointed out that Dr. Williams had expressed the opinion that the strip from 3:50 to 4:15 a.m. showed normal long-term variability, and that in his opinion, that portion of the strip was reassuring. On looking at the strip, Dr. Feinstadt observed that there was a pattern that, in his opinion, had some reduced variability. When asked whether he disagreed with Dr. Williams, he said that as a family practitioner in the hospital, in the context of a situation of a VBAC patient, he would wish to consult someone. He would, in fact, find it non-reassuring and therefore ask for some assistance.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291</w:t>
      </w:r>
      <w:r>
        <w:rPr>
          <w:rFonts w:ascii="arial" w:eastAsia="arial" w:hAnsi="arial" w:cs="arial"/>
          <w:color w:val="000000"/>
          <w:sz w:val="20"/>
          <w:lang w:val="en-US" w:eastAsia="en-US" w:bidi="ar-SA"/>
        </w:rPr>
        <w:t>  Dr. Williams is the kind of person that he would consult. Thus he does not disagree with Dr. Williams' conclusion that from 3:50 to 4:15 a.m. the fetal heart rate tracing shows normal, long-term variability. He agreed that it is a difference in interpretation. If Dr. Williams came in and told him that it was okay, then that would be fine with him. They were, of course, referring to the top graph, the fetal heart monitoring strip.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292</w:t>
      </w:r>
      <w:r>
        <w:rPr>
          <w:rFonts w:ascii="arial" w:eastAsia="arial" w:hAnsi="arial" w:cs="arial"/>
          <w:color w:val="000000"/>
          <w:sz w:val="20"/>
          <w:lang w:val="en-US" w:eastAsia="en-US" w:bidi="ar-SA"/>
        </w:rPr>
        <w:t>  Dr. Feinstadt was then asked whether he agreed with Dr. Fritz's opinion that the fetal heart monitoring strips are within normal limits until 6:00 a.m., referring largely to the entire strip. Dr. Feinstadt said that he was not sure what Dr. Fritz meant by "normal"; that it was important to be somewhat more specific than that. A strip has to be interpreted in some detail, and again, in the context in which it is taking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293</w:t>
      </w:r>
      <w:r>
        <w:rPr>
          <w:rFonts w:ascii="arial" w:eastAsia="arial" w:hAnsi="arial" w:cs="arial"/>
          <w:color w:val="000000"/>
          <w:sz w:val="20"/>
          <w:lang w:val="en-US" w:eastAsia="en-US" w:bidi="ar-SA"/>
        </w:rPr>
        <w:t>  Dr. Feinstadt said that, with respect, he disagreed with some of Dr. Fritz's assessment; that it was not that easy a strip to interpret because it is an external monitor, so it is monitoring the fetal heart rate through the maternal abdomen.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And again, it is important interpreting a strip to not simply say its normal. It has to be interpreted in some detail, and again </w:t>
      </w:r>
      <w:r>
        <w:rPr>
          <w:rFonts w:ascii="arial" w:eastAsia="arial" w:hAnsi="arial" w:cs="arial"/>
          <w:color w:val="000000"/>
          <w:sz w:val="20"/>
          <w:u w:val="single"/>
          <w:lang w:val="en-US" w:eastAsia="en-US" w:bidi="ar-SA"/>
        </w:rPr>
        <w:t>in the context in which it is taking place</w:t>
      </w:r>
      <w:r>
        <w:rPr>
          <w:rFonts w:ascii="arial" w:eastAsia="arial" w:hAnsi="arial" w:cs="arial"/>
          <w:color w:val="000000"/>
          <w:sz w:val="20"/>
          <w:lang w:val="en-US" w:eastAsia="en-US" w:bidi="ar-SA"/>
        </w:rPr>
        <w:t>.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294</w:t>
      </w:r>
      <w:r>
        <w:rPr>
          <w:rFonts w:ascii="arial" w:eastAsia="arial" w:hAnsi="arial" w:cs="arial"/>
          <w:color w:val="000000"/>
          <w:sz w:val="20"/>
          <w:lang w:val="en-US" w:eastAsia="en-US" w:bidi="ar-SA"/>
        </w:rPr>
        <w:t>  He then noted that after 5:30 a.m., when the ARM was performed, there was a marked loss of variability. There was a change in the baseline, "in other words, a background frequency of the fetal heart rate and the variability". There was a change in the pattern after the ARM. He then noted that the monitoring was discontinued, and Mrs. Strachan was allowed to go to the bathroom. On her return from the bathroom, the only thing that could be found was the maternal pulse and heart rate. There is no record of what happened in that 20 minute span.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295</w:t>
      </w:r>
      <w:r>
        <w:rPr>
          <w:rFonts w:ascii="arial" w:eastAsia="arial" w:hAnsi="arial" w:cs="arial"/>
          <w:color w:val="000000"/>
          <w:sz w:val="20"/>
          <w:lang w:val="en-US" w:eastAsia="en-US" w:bidi="ar-SA"/>
        </w:rPr>
        <w:t>  Dr. Feinstadt was asked to assume that Dr. Fritz meant "no non-reassuring signs", when he said "within the normal limits". He then was asked whether Dr. Fritz's interpretation was a reasonable interpretation, that up to 6:00 a.m. there were no non-reassuring aspects to the strip. He did not agree. In his opinion, it was non-reassuring. He was not saying that it was ominous or alarming, but that "</w:t>
      </w:r>
      <w:r>
        <w:rPr>
          <w:rFonts w:ascii="arial" w:eastAsia="arial" w:hAnsi="arial" w:cs="arial"/>
          <w:color w:val="000000"/>
          <w:sz w:val="20"/>
          <w:u w:val="single"/>
          <w:lang w:val="en-US" w:eastAsia="en-US" w:bidi="ar-SA"/>
        </w:rPr>
        <w:t>there is an absence of anything reassuring</w:t>
      </w:r>
      <w:r>
        <w:rPr>
          <w:rFonts w:ascii="arial" w:eastAsia="arial" w:hAnsi="arial" w:cs="arial"/>
          <w:color w:val="000000"/>
          <w:sz w:val="20"/>
          <w:lang w:val="en-US" w:eastAsia="en-US" w:bidi="ar-SA"/>
        </w:rPr>
        <w:t>."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296</w:t>
      </w:r>
      <w:r>
        <w:rPr>
          <w:rFonts w:ascii="arial" w:eastAsia="arial" w:hAnsi="arial" w:cs="arial"/>
          <w:color w:val="000000"/>
          <w:sz w:val="20"/>
          <w:lang w:val="en-US" w:eastAsia="en-US" w:bidi="ar-SA"/>
        </w:rPr>
        <w:t>  He was asked again if Dr. Fritz's interpretation of the strip, that there is an absence of non-reassuring signs, is a reasonable one, and he said: "no". When asked why not he said that the stretch of the strip up until Mrs. Strachan went to the bathroom is a non-reassuring pattern. That is the portion of the strip after the ARM and prior to 6:00 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297</w:t>
      </w:r>
      <w:r>
        <w:rPr>
          <w:rFonts w:ascii="arial" w:eastAsia="arial" w:hAnsi="arial" w:cs="arial"/>
          <w:color w:val="000000"/>
          <w:sz w:val="20"/>
          <w:lang w:val="en-US" w:eastAsia="en-US" w:bidi="ar-SA"/>
        </w:rPr>
        <w:t>  Dr. Feinstadt was then referred to the opinion of another defence doctor, Dr. Hudson, in which he states that it is quite common to have transitory changes in fetal heart rate after an ARM, and that he did not believe the change observed was cause for alarm. Dr. Feinstadt said that he would agree that it was a reasonable statement as far as it goes. However, he noted that the statement "does not comment on the marked reduction in variability".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298</w:t>
      </w:r>
      <w:r>
        <w:rPr>
          <w:rFonts w:ascii="arial" w:eastAsia="arial" w:hAnsi="arial" w:cs="arial"/>
          <w:color w:val="000000"/>
          <w:sz w:val="20"/>
          <w:lang w:val="en-US" w:eastAsia="en-US" w:bidi="ar-SA"/>
        </w:rPr>
        <w:t>  Dr. Feinstadt was then referred to the Report of Dr. Doersam, which he had not seen. He was told that it was Dr. Doersam's view that the strip was reassuring at 3:50 a.m., where the strip starts. The witness observed that at 3:50 a.m. there was an acceleration and that "just in this stretch there is some reasonable variability".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299</w:t>
      </w:r>
      <w:r>
        <w:rPr>
          <w:rFonts w:ascii="arial" w:eastAsia="arial" w:hAnsi="arial" w:cs="arial"/>
          <w:color w:val="000000"/>
          <w:sz w:val="20"/>
          <w:lang w:val="en-US" w:eastAsia="en-US" w:bidi="ar-SA"/>
        </w:rPr>
        <w:t>  Dr. Feinstadt was then questioned with regard to the purpose of carrying out an ARM. He said that it can be used to assess fetal health by checking the amniotic fluid or liquor. Clear liquor is a reassuring sign of fetal well being, and in this case it was clear.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300</w:t>
      </w:r>
      <w:r>
        <w:rPr>
          <w:rFonts w:ascii="arial" w:eastAsia="arial" w:hAnsi="arial" w:cs="arial"/>
          <w:color w:val="000000"/>
          <w:sz w:val="20"/>
          <w:lang w:val="en-US" w:eastAsia="en-US" w:bidi="ar-SA"/>
        </w:rPr>
        <w:t>  The difficulty with an ARM is the risk of cord prolapse which may result in compression of the cord by the fetus causing hypoxia, or the interruption of oxygen flow to the fetal brain. Dr. Feinstadt agreed that if hypoxia continued for more than a few minutes, it would manifest itself upon the fetal heart strip. He was then referred to Dr. Cooper's opinion that the cord prolapse occurred some time after the ARM. He agreed that it was a reasonable interpretation, adding that he did not know when it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301</w:t>
      </w:r>
      <w:r>
        <w:rPr>
          <w:rFonts w:ascii="arial" w:eastAsia="arial" w:hAnsi="arial" w:cs="arial"/>
          <w:color w:val="000000"/>
          <w:sz w:val="20"/>
          <w:lang w:val="en-US" w:eastAsia="en-US" w:bidi="ar-SA"/>
        </w:rPr>
        <w:t>  Dr. Feinstadt agreed that one must apply one's clinical judgment in determining whether to carry out an ARM. He was then referred to Dr. Williams' Report at p. 12 where Dr. Williams opined that it was appropriate to proceed with an artificial rupture of the membrane under the circumstances stated. The witness observed that Dr. Williams was speaking as an obstetrician who would be able to perform an immediate caesarean section if there was an adverse outcome. He then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a family doctor again, </w:t>
      </w:r>
      <w:r>
        <w:rPr>
          <w:rFonts w:ascii="arial" w:eastAsia="arial" w:hAnsi="arial" w:cs="arial"/>
          <w:color w:val="000000"/>
          <w:sz w:val="20"/>
          <w:u w:val="single"/>
          <w:lang w:val="en-US" w:eastAsia="en-US" w:bidi="ar-SA"/>
        </w:rPr>
        <w:t>in the context of this case</w:t>
      </w:r>
      <w:r>
        <w:rPr>
          <w:rFonts w:ascii="arial" w:eastAsia="arial" w:hAnsi="arial" w:cs="arial"/>
          <w:color w:val="000000"/>
          <w:sz w:val="20"/>
          <w:lang w:val="en-US" w:eastAsia="en-US" w:bidi="ar-SA"/>
        </w:rPr>
        <w:t xml:space="preserve">, to perform -- in order to -- if a decision is being made to do an ARM, </w:t>
      </w:r>
      <w:r>
        <w:rPr>
          <w:rFonts w:ascii="arial" w:eastAsia="arial" w:hAnsi="arial" w:cs="arial"/>
          <w:color w:val="000000"/>
          <w:sz w:val="20"/>
          <w:u w:val="single"/>
          <w:lang w:val="en-US" w:eastAsia="en-US" w:bidi="ar-SA"/>
        </w:rPr>
        <w:t>there has to be good reason for it</w:t>
      </w:r>
      <w:r>
        <w:rPr>
          <w:rFonts w:ascii="arial" w:eastAsia="arial" w:hAnsi="arial" w:cs="arial"/>
          <w:color w:val="000000"/>
          <w:sz w:val="20"/>
          <w:lang w:val="en-US" w:eastAsia="en-US" w:bidi="ar-SA"/>
        </w:rPr>
        <w:t xml:space="preserve">. There has to be concern, there has to be some preceding evidence </w:t>
      </w:r>
      <w:r>
        <w:rPr>
          <w:rFonts w:ascii="arial" w:eastAsia="arial" w:hAnsi="arial" w:cs="arial"/>
          <w:color w:val="000000"/>
          <w:sz w:val="20"/>
          <w:u w:val="single"/>
          <w:lang w:val="en-US" w:eastAsia="en-US" w:bidi="ar-SA"/>
        </w:rPr>
        <w:t>for events that would raise a physician's level of concern</w:t>
      </w:r>
      <w:r>
        <w:rPr>
          <w:rFonts w:ascii="arial" w:eastAsia="arial" w:hAnsi="arial" w:cs="arial"/>
          <w:color w:val="000000"/>
          <w:sz w:val="20"/>
          <w:lang w:val="en-US" w:eastAsia="en-US" w:bidi="ar-SA"/>
        </w:rPr>
        <w:t xml:space="preserve"> in order to perform an </w:t>
      </w:r>
      <w:r>
        <w:rPr>
          <w:rFonts w:ascii="arial" w:eastAsia="arial" w:hAnsi="arial" w:cs="arial"/>
          <w:color w:val="000000"/>
          <w:sz w:val="20"/>
          <w:u w:val="single"/>
          <w:lang w:val="en-US" w:eastAsia="en-US" w:bidi="ar-SA"/>
        </w:rPr>
        <w:t>evasive procedure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And especially given that the head is not fixed or engaged in the pelvis an ARM in that situation carries with it a risk of cord prolapse, especially again given that the cervix is now 5 centimetres or 2 inches dilated. There is certainly more than enough room for the cord to come through that cervix. So the decision to perform an evasive procedure which carries with it its own risk has </w:t>
      </w:r>
      <w:r>
        <w:rPr>
          <w:rFonts w:ascii="arial" w:eastAsia="arial" w:hAnsi="arial" w:cs="arial"/>
          <w:color w:val="000000"/>
          <w:sz w:val="20"/>
          <w:u w:val="single"/>
          <w:lang w:val="en-US" w:eastAsia="en-US" w:bidi="ar-SA"/>
        </w:rPr>
        <w:t>to be balanced by what are the indications for doing this, why is it necessary to see if the amniotic fluid -- what has alarmed me</w:t>
      </w:r>
      <w:r>
        <w:rPr>
          <w:rFonts w:ascii="arial" w:eastAsia="arial" w:hAnsi="arial" w:cs="arial"/>
          <w:color w:val="000000"/>
          <w:sz w:val="20"/>
          <w:lang w:val="en-US" w:eastAsia="en-US" w:bidi="ar-SA"/>
        </w:rPr>
        <w:t xml:space="preserve"> up to this point that makes me want to carry out a risky procedure which is, in fact, if one consults the standard tests, contra indicated in the presence of an unengaged head. Again, I'm speaking as a family physician. Dr. Williams speaks for himself as an obstetrician who could, as I said previously, perform an immediate caesarean section if necessary.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302</w:t>
      </w:r>
      <w:r>
        <w:rPr>
          <w:rFonts w:ascii="arial" w:eastAsia="arial" w:hAnsi="arial" w:cs="arial"/>
          <w:color w:val="000000"/>
          <w:sz w:val="20"/>
          <w:lang w:val="en-US" w:eastAsia="en-US" w:bidi="ar-SA"/>
        </w:rPr>
        <w:t>  It was then suggested to Dr. Feinstadt that in talking about balancing factors and needing good reasons to do the ARM, that is where the application of clinical judgment comes in. His response was: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I answered yesterday, </w:t>
      </w:r>
      <w:r>
        <w:rPr>
          <w:rFonts w:ascii="arial" w:eastAsia="arial" w:hAnsi="arial" w:cs="arial"/>
          <w:color w:val="000000"/>
          <w:sz w:val="20"/>
          <w:u w:val="single"/>
          <w:lang w:val="en-US" w:eastAsia="en-US" w:bidi="ar-SA"/>
        </w:rPr>
        <w:t>clinical judgment is not open-ended</w:t>
      </w:r>
      <w:r>
        <w:rPr>
          <w:rFonts w:ascii="arial" w:eastAsia="arial" w:hAnsi="arial" w:cs="arial"/>
          <w:color w:val="000000"/>
          <w:sz w:val="20"/>
          <w:lang w:val="en-US" w:eastAsia="en-US" w:bidi="ar-SA"/>
        </w:rPr>
        <w:t xml:space="preserve">. Our clinical judgment is always held to a standard. In my opinion the decision to do an ARM at this point, in the absence of appropriate back-up, </w:t>
      </w:r>
      <w:r>
        <w:rPr>
          <w:rFonts w:ascii="arial" w:eastAsia="arial" w:hAnsi="arial" w:cs="arial"/>
          <w:color w:val="000000"/>
          <w:sz w:val="20"/>
          <w:u w:val="single"/>
          <w:lang w:val="en-US" w:eastAsia="en-US" w:bidi="ar-SA"/>
        </w:rPr>
        <w:t>was a bad decision</w:t>
      </w:r>
      <w:r>
        <w:rPr>
          <w:rFonts w:ascii="arial" w:eastAsia="arial" w:hAnsi="arial" w:cs="arial"/>
          <w:color w:val="000000"/>
          <w:sz w:val="20"/>
          <w:lang w:val="en-US" w:eastAsia="en-US" w:bidi="ar-SA"/>
        </w:rPr>
        <w:t>. It would not have been appropriate for a family doctor to perform this procedure in these circumstances.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303</w:t>
      </w:r>
      <w:r>
        <w:rPr>
          <w:rFonts w:ascii="arial" w:eastAsia="arial" w:hAnsi="arial" w:cs="arial"/>
          <w:color w:val="000000"/>
          <w:sz w:val="20"/>
          <w:lang w:val="en-US" w:eastAsia="en-US" w:bidi="ar-SA"/>
        </w:rPr>
        <w:t>  He does not agree with Dr. Fritz's opinion that the decision to artificially rupture the membrane was a prudent course of action. He does not agree with Dr. Cooper's opinion that the ARM was indicated in the circumstances. Specifically, he does not agree with Dr. Cooper's statement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Although the fetus was not engaged within the maternal pelvis (station above maternal spines) the fetal head was well applied to the maternal cervix, making the procedure safer. I believe that the procedure was indicated and performed in a safe manner.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Dr. Feinstadt agreed that his concern, at least in part, was that the presenting part, that is the fetal head, was not well applied to the cervix.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304</w:t>
      </w:r>
      <w:r>
        <w:rPr>
          <w:rFonts w:ascii="arial" w:eastAsia="arial" w:hAnsi="arial" w:cs="arial"/>
          <w:color w:val="000000"/>
          <w:sz w:val="20"/>
          <w:lang w:val="en-US" w:eastAsia="en-US" w:bidi="ar-SA"/>
        </w:rPr>
        <w:t>  The witness noted that there was nothing in the medical records that documented that the head was well applied to the cervix. The only thing documented was that the station was -2, indicating that the head was not engaged. In coming to his conclusion he did not consider that the head was well applied to the cervix.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305</w:t>
      </w:r>
      <w:r>
        <w:rPr>
          <w:rFonts w:ascii="arial" w:eastAsia="arial" w:hAnsi="arial" w:cs="arial"/>
          <w:color w:val="000000"/>
          <w:sz w:val="20"/>
          <w:lang w:val="en-US" w:eastAsia="en-US" w:bidi="ar-SA"/>
        </w:rPr>
        <w:t>  He was again referred to Dr. Williams' Report at p. 12 and asked if he agreed with Dr. Williams' last statement that "there was no clinical evidence of uterine rupture. At this point in time there was no indication to either call an obstetrician or call for a caesarean 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306</w:t>
      </w:r>
      <w:r>
        <w:rPr>
          <w:rFonts w:ascii="arial" w:eastAsia="arial" w:hAnsi="arial" w:cs="arial"/>
          <w:color w:val="000000"/>
          <w:sz w:val="20"/>
          <w:lang w:val="en-US" w:eastAsia="en-US" w:bidi="ar-SA"/>
        </w:rPr>
        <w:t xml:space="preserve">  Dr. Feinstadt said again that he had to give his answer from the standpoint of a family doctor who was called sometime around 5:00 a.m. by a concerned member of the team, a case room nurse, who expresses concern over constant abdominal pain. </w:t>
      </w:r>
      <w:r>
        <w:rPr>
          <w:rFonts w:ascii="arial" w:eastAsia="arial" w:hAnsi="arial" w:cs="arial"/>
          <w:color w:val="000000"/>
          <w:sz w:val="20"/>
          <w:u w:val="single"/>
          <w:lang w:val="en-US" w:eastAsia="en-US" w:bidi="ar-SA"/>
        </w:rPr>
        <w:t>He said that the two hallmarks of the trial of labour are a very high index of suspicion and a very low threshold for getting help</w:t>
      </w:r>
      <w:r>
        <w:rPr>
          <w:rFonts w:ascii="arial" w:eastAsia="arial" w:hAnsi="arial" w:cs="arial"/>
          <w:color w:val="000000"/>
          <w:sz w:val="20"/>
          <w:lang w:val="en-US" w:eastAsia="en-US" w:bidi="ar-SA"/>
        </w:rPr>
        <w:t>. He continued: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an experienced -- and I will assume that the nurse who called Dr. Reynolds was an experienced case room nurse -- was concerned enough to call the attending physician in the middle of the night because of constant abdominal pain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Then that should set off some alarm bells, and speaking as a family physician, I would have to disagree, respectfully, with Dr. Williams' statement that there is no need to call an obstetrician. I have great respect for Dr. Williams, but I'm afraid he can't tell me when I </w:t>
      </w:r>
      <w:r>
        <w:rPr>
          <w:rFonts w:ascii="arial" w:eastAsia="arial" w:hAnsi="arial" w:cs="arial"/>
          <w:color w:val="000000"/>
          <w:sz w:val="20"/>
          <w:u w:val="single"/>
          <w:lang w:val="en-US" w:eastAsia="en-US" w:bidi="ar-SA"/>
        </w:rPr>
        <w:t>should ask for help or advice</w:t>
      </w:r>
      <w:r>
        <w:rPr>
          <w:rFonts w:ascii="arial" w:eastAsia="arial" w:hAnsi="arial" w:cs="arial"/>
          <w:color w:val="000000"/>
          <w:sz w:val="20"/>
          <w:lang w:val="en-US" w:eastAsia="en-US" w:bidi="ar-SA"/>
        </w:rPr>
        <w:t>.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307</w:t>
      </w:r>
      <w:r>
        <w:rPr>
          <w:rFonts w:ascii="arial" w:eastAsia="arial" w:hAnsi="arial" w:cs="arial"/>
          <w:color w:val="000000"/>
          <w:sz w:val="20"/>
          <w:lang w:val="en-US" w:eastAsia="en-US" w:bidi="ar-SA"/>
        </w:rPr>
        <w:t>  He was asked again if he disagreed with Dr. Williams' statement that there is no evidence of a developing uterine rupture. His response was: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At the point in time there was no evidence that the uterus had ruptured. As we discussed yesterday, uterine rupture </w:t>
      </w:r>
      <w:r>
        <w:rPr>
          <w:rFonts w:ascii="arial" w:eastAsia="arial" w:hAnsi="arial" w:cs="arial"/>
          <w:color w:val="000000"/>
          <w:sz w:val="20"/>
          <w:u w:val="single"/>
          <w:lang w:val="en-US" w:eastAsia="en-US" w:bidi="ar-SA"/>
        </w:rPr>
        <w:t>evolves. The presence of a constant abdominal pain, in my opinion, was enough to</w:t>
      </w:r>
      <w:r>
        <w:rPr>
          <w:rFonts w:ascii="arial" w:eastAsia="arial" w:hAnsi="arial" w:cs="arial"/>
          <w:color w:val="000000"/>
          <w:sz w:val="20"/>
          <w:lang w:val="en-US" w:eastAsia="en-US" w:bidi="ar-SA"/>
        </w:rPr>
        <w:t xml:space="preserve"> initiate consultation.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308</w:t>
      </w:r>
      <w:r>
        <w:rPr>
          <w:rFonts w:ascii="arial" w:eastAsia="arial" w:hAnsi="arial" w:cs="arial"/>
          <w:color w:val="000000"/>
          <w:sz w:val="20"/>
          <w:lang w:val="en-US" w:eastAsia="en-US" w:bidi="ar-SA"/>
        </w:rPr>
        <w:t>  Dr. Feinstadt then had read to him a portion of Dr. Fritz's Report pertaining to Dr. Reynolds' duty to immediately attend the patient and assess the clinical situation at the bedside. Dr. Fritz expresses the opinion that based on the information available to her, it was reasonable for Dr. Reynolds to conclude, in his opinion, that there was no evidence of a developing uterine rupture present at 5:30 a.m. He concludes his statement: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that time it was appropriate for her to remain and continue to assess the situation, but in my opinion it was not necessary for her to ask for an obstetrical consult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Dr. Feinstadt respectfully disagreed with Dr. Fritz's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309</w:t>
      </w:r>
      <w:r>
        <w:rPr>
          <w:rFonts w:ascii="arial" w:eastAsia="arial" w:hAnsi="arial" w:cs="arial"/>
          <w:color w:val="000000"/>
          <w:sz w:val="20"/>
          <w:lang w:val="en-US" w:eastAsia="en-US" w:bidi="ar-SA"/>
        </w:rPr>
        <w:t>  I observe that, as in the case of some of the other defence experts, Dr. Fritz seemed to assume that Dr. Reynolds considered the question of whether or not a developing uterine rupture was a possibility, assessed the situation and concluded that there was no evidence of a developing uterine rupture. This is simply not the case. Developing uterine rupture, or uterine rupture, never entered Dr. Reynolds' mind.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310</w:t>
      </w:r>
      <w:r>
        <w:rPr>
          <w:rFonts w:ascii="arial" w:eastAsia="arial" w:hAnsi="arial" w:cs="arial"/>
          <w:color w:val="000000"/>
          <w:sz w:val="20"/>
          <w:lang w:val="en-US" w:eastAsia="en-US" w:bidi="ar-SA"/>
        </w:rPr>
        <w:t>  The witness was then questioned about a similar statement made by Dr. Cooper in his Report, that although Dr. Reynolds was notified by the nursing personnel about a change in the maternal labour condition (constant abdominal pain), there were no other maternal or fetal health concerns to immediately require an obstetrical specialist assessment; that a physician assessment was required. I note the distinction between the physician assessment and the specialist assessment, and I again point out that Dr. Reynolds did not conduct a physician assessment to see if it was possible that she was dealing with a developing uterine rupture.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311</w:t>
      </w:r>
      <w:r>
        <w:rPr>
          <w:rFonts w:ascii="arial" w:eastAsia="arial" w:hAnsi="arial" w:cs="arial"/>
          <w:color w:val="000000"/>
          <w:sz w:val="20"/>
          <w:lang w:val="en-US" w:eastAsia="en-US" w:bidi="ar-SA"/>
        </w:rPr>
        <w:t>  In any event, the witness said that Dr. Cooper was speaking as an obstetrician and that he could only speak as a family physician. In his opinion, if he was in that situation, he would obtain consultation.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312</w:t>
      </w:r>
      <w:r>
        <w:rPr>
          <w:rFonts w:ascii="arial" w:eastAsia="arial" w:hAnsi="arial" w:cs="arial"/>
          <w:color w:val="000000"/>
          <w:sz w:val="20"/>
          <w:lang w:val="en-US" w:eastAsia="en-US" w:bidi="ar-SA"/>
        </w:rPr>
        <w:t>  On re-examination the witness reiterated that while the strip under discussion was not alarming, it was still non-reassuring; also that the strip was to be viewed in the context of the clinical situation of a patient with a prior caesarean section undergoing a trial of labour with complaints of constant abdominal pain and with a high head, in the physical context of a hospital which does not have an in-house system of obstetrical, anaesthetic and paediatric back-up; that there was an increased onus on the attending physician to anticipate the possible need for assistance and the time factor involved in mobilizing that assistance.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313</w:t>
      </w:r>
      <w:r>
        <w:rPr>
          <w:rFonts w:ascii="arial" w:eastAsia="arial" w:hAnsi="arial" w:cs="arial"/>
          <w:color w:val="000000"/>
          <w:sz w:val="20"/>
          <w:lang w:val="en-US" w:eastAsia="en-US" w:bidi="ar-SA"/>
        </w:rPr>
        <w:t>  He was then asked in the context of a concern, or a potential concern, about a uterine rupture or a developing uterine rupture, what additional information does artificial rupture of membrane provide that is helpful on that specific issue? He said that if there is already suspicion that the scar is giving way, then it would be a very poor idea to add another risk factor to this. Even if the fluid is clear that does not really affect the concerns that one had prior to doing the ARM, and in either case we now have the additional risk of cord prolapse.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314</w:t>
      </w:r>
      <w:r>
        <w:rPr>
          <w:rFonts w:ascii="arial" w:eastAsia="arial" w:hAnsi="arial" w:cs="arial"/>
          <w:color w:val="000000"/>
          <w:sz w:val="20"/>
          <w:lang w:val="en-US" w:eastAsia="en-US" w:bidi="ar-SA"/>
        </w:rPr>
        <w:t>  Dr. Feinstadt was then referred to his earlier evidence that poor progress in labour is something associated with a possible uterine rupture. He was asked if reasonable progress in labour, from three centimetres to five centimetres, was something which would rule out concern about uterine rupture and he said that it was not. Finally, in giving his evidence, he was not intending to draw any distinction between his personal practice and what he considered to be the standard for a family physician. In his opinion, the standard of care would have involved obtaining an obstetrical consultation with a history of constant abdominal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EVIDENCE OF NURSE MARY RADMANOVIC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315</w:t>
      </w:r>
      <w:r>
        <w:rPr>
          <w:rFonts w:ascii="arial" w:eastAsia="arial" w:hAnsi="arial" w:cs="arial"/>
          <w:color w:val="000000"/>
          <w:sz w:val="20"/>
          <w:lang w:val="en-US" w:eastAsia="en-US" w:bidi="ar-SA"/>
        </w:rPr>
        <w:t>  Nurse Radmanovic was called on behalf of the plaintiffs. She is an obstetrical nurse at St. Paul's Hospital since 1989. Prior to that time she had nursed in South Africa and other countries. She has worked in the labour and delivery unit as well as the post-partum unit. At present she is responsible for monitoring at-risk out-patients, interpreting the monitoring strips, and taking appropriate actions for non-reassuring strips.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316</w:t>
      </w:r>
      <w:r>
        <w:rPr>
          <w:rFonts w:ascii="arial" w:eastAsia="arial" w:hAnsi="arial" w:cs="arial"/>
          <w:color w:val="000000"/>
          <w:sz w:val="20"/>
          <w:lang w:val="en-US" w:eastAsia="en-US" w:bidi="ar-SA"/>
        </w:rPr>
        <w:t>  Her Report dated September 21, 2001, is stated to be in response to the question of the appropriateness of the nursing action in this case, and is based on a detailed analysis of the Hospital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317</w:t>
      </w:r>
      <w:r>
        <w:rPr>
          <w:rFonts w:ascii="arial" w:eastAsia="arial" w:hAnsi="arial" w:cs="arial"/>
          <w:color w:val="000000"/>
          <w:sz w:val="20"/>
          <w:lang w:val="en-US" w:eastAsia="en-US" w:bidi="ar-SA"/>
        </w:rPr>
        <w:t>  At p. 3 Nurse Radmanovic seems critical of the monitoring practices from 4:00 a.m. on, during the crucial approximately two-hour period; noting inconsistencies, lack of contact or poor contact, lack of important information and evidence of non-reassuring situations.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318</w:t>
      </w:r>
      <w:r>
        <w:rPr>
          <w:rFonts w:ascii="arial" w:eastAsia="arial" w:hAnsi="arial" w:cs="arial"/>
          <w:color w:val="000000"/>
          <w:sz w:val="20"/>
          <w:lang w:val="en-US" w:eastAsia="en-US" w:bidi="ar-SA"/>
        </w:rPr>
        <w:t>  After noting that Demerol and Gravol was administered at 4:45 a.m. she says: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patient was also noted to have complained of 'constant pain' at this time. In view of the patient being a VBAC and the associated risks involved with VBAC, </w:t>
      </w:r>
      <w:r>
        <w:rPr>
          <w:rFonts w:ascii="arial" w:eastAsia="arial" w:hAnsi="arial" w:cs="arial"/>
          <w:color w:val="000000"/>
          <w:sz w:val="20"/>
          <w:u w:val="single"/>
          <w:lang w:val="en-US" w:eastAsia="en-US" w:bidi="ar-SA"/>
        </w:rPr>
        <w:t>the attending physician should have been notified immediately of any such pain and electric fetal monitoring should have been commenced. Unusual abdominal or uterine pain may occur with a complete or partial rupture</w:t>
      </w:r>
      <w:r>
        <w:rPr>
          <w:rFonts w:ascii="arial" w:eastAsia="arial" w:hAnsi="arial" w:cs="arial"/>
          <w:color w:val="000000"/>
          <w:sz w:val="20"/>
          <w:lang w:val="en-US" w:eastAsia="en-US" w:bidi="ar-SA"/>
        </w:rPr>
        <w:t>.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319</w:t>
      </w:r>
      <w:r>
        <w:rPr>
          <w:rFonts w:ascii="arial" w:eastAsia="arial" w:hAnsi="arial" w:cs="arial"/>
          <w:color w:val="000000"/>
          <w:sz w:val="20"/>
          <w:lang w:val="en-US" w:eastAsia="en-US" w:bidi="ar-SA"/>
        </w:rPr>
        <w:t>  At p. 4 Nurse Radmanovic said that at the time that Dr. Reynolds was notified about the pain, an obstetrical consult should have been considered; although it is not the duty of the nurse to organize the consult, it is acceptable for her to suggest it in view of the possibility of an emergency situation which may necessitate a stat or emergency caesarean 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320</w:t>
      </w:r>
      <w:r>
        <w:rPr>
          <w:rFonts w:ascii="arial" w:eastAsia="arial" w:hAnsi="arial" w:cs="arial"/>
          <w:color w:val="000000"/>
          <w:sz w:val="20"/>
          <w:lang w:val="en-US" w:eastAsia="en-US" w:bidi="ar-SA"/>
        </w:rPr>
        <w:t>  She also observed that at 5:35 a.m., when Dr. Reynolds performed her vaginal examination, no mention was made of the station of the presenting part at that time; that rupturing the membrane with a high presenting part increases the risk of cord prolapse. She also noted that at the time of the artificial rupture of the membrane, the fetal heart was documented at 150-165 with decreased variability; that despite the decreased variability, the fetal monitoring was discontinued. She notes also that it would have been prudent in the circumstances to continue with the fetal monitoring while encouraging Mrs. Strachan to empty her bladder.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321</w:t>
      </w:r>
      <w:r>
        <w:rPr>
          <w:rFonts w:ascii="arial" w:eastAsia="arial" w:hAnsi="arial" w:cs="arial"/>
          <w:color w:val="000000"/>
          <w:sz w:val="20"/>
          <w:lang w:val="en-US" w:eastAsia="en-US" w:bidi="ar-SA"/>
        </w:rPr>
        <w:t>  Nurse Radmanovic concludes on p. 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R.N.'s performing "EFM" (External Fetal Monitoring) are </w:t>
      </w:r>
      <w:r>
        <w:rPr>
          <w:rFonts w:ascii="arial" w:eastAsia="arial" w:hAnsi="arial" w:cs="arial"/>
          <w:color w:val="000000"/>
          <w:sz w:val="20"/>
          <w:u w:val="single"/>
          <w:lang w:val="en-US" w:eastAsia="en-US" w:bidi="ar-SA"/>
        </w:rPr>
        <w:t>responsible for obtaining interpretable tracings, interpretation of the EFM and appropriate communication to the physician</w:t>
      </w:r>
      <w:r>
        <w:rPr>
          <w:rFonts w:ascii="arial" w:eastAsia="arial" w:hAnsi="arial" w:cs="arial"/>
          <w:color w:val="000000"/>
          <w:sz w:val="20"/>
          <w:lang w:val="en-US" w:eastAsia="en-US" w:bidi="ar-SA"/>
        </w:rPr>
        <w:t xml:space="preserve">. It is my opinion the nurse failed to recognize the non-reassuring pattern of the "FHM" (Fetal Heart Monitor) and presumably discontinued the EFM (see 24367 on the monitoring strip). EFM should have been commenced if fetal bradycardia was suspected on auscultation. (See 24367-24368). A </w:t>
      </w:r>
      <w:r>
        <w:rPr>
          <w:rFonts w:ascii="arial" w:eastAsia="arial" w:hAnsi="arial" w:cs="arial"/>
          <w:color w:val="000000"/>
          <w:sz w:val="20"/>
          <w:u w:val="single"/>
          <w:lang w:val="en-US" w:eastAsia="en-US" w:bidi="ar-SA"/>
        </w:rPr>
        <w:t>complaint of 'constant pain'</w:t>
      </w:r>
      <w:r>
        <w:rPr>
          <w:rFonts w:ascii="arial" w:eastAsia="arial" w:hAnsi="arial" w:cs="arial"/>
          <w:color w:val="000000"/>
          <w:sz w:val="20"/>
          <w:lang w:val="en-US" w:eastAsia="en-US" w:bidi="ar-SA"/>
        </w:rPr>
        <w:t xml:space="preserve"> in a VBAC should have been </w:t>
      </w:r>
      <w:r>
        <w:rPr>
          <w:rFonts w:ascii="arial" w:eastAsia="arial" w:hAnsi="arial" w:cs="arial"/>
          <w:color w:val="000000"/>
          <w:sz w:val="20"/>
          <w:u w:val="single"/>
          <w:lang w:val="en-US" w:eastAsia="en-US" w:bidi="ar-SA"/>
        </w:rPr>
        <w:t>communicated to the attending physician immediately and an obstetrical consult suggested</w:t>
      </w:r>
      <w:r>
        <w:rPr>
          <w:rFonts w:ascii="arial" w:eastAsia="arial" w:hAnsi="arial" w:cs="arial"/>
          <w:color w:val="000000"/>
          <w:sz w:val="20"/>
          <w:lang w:val="en-US" w:eastAsia="en-US" w:bidi="ar-SA"/>
        </w:rPr>
        <w:t>. The toco pick-up of contractions shows an incoordinate pattern from commencement at 5:01 a.m. that should be a possible sign of complete or partial rupture. There is no toco pick-up following the ARM at 0535 hours and no mention is made of the contraction pattern, cessation of contractions is a further sign that may occur with a complete or partial rupture.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322</w:t>
      </w:r>
      <w:r>
        <w:rPr>
          <w:rFonts w:ascii="arial" w:eastAsia="arial" w:hAnsi="arial" w:cs="arial"/>
          <w:color w:val="000000"/>
          <w:sz w:val="20"/>
          <w:lang w:val="en-US" w:eastAsia="en-US" w:bidi="ar-SA"/>
        </w:rPr>
        <w:t>  I turn to Nurse Radmonovic's evidence at trial.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Cross-examination by Ms. Harper.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323</w:t>
      </w:r>
      <w:r>
        <w:rPr>
          <w:rFonts w:ascii="arial" w:eastAsia="arial" w:hAnsi="arial" w:cs="arial"/>
          <w:color w:val="000000"/>
          <w:sz w:val="20"/>
          <w:lang w:val="en-US" w:eastAsia="en-US" w:bidi="ar-SA"/>
        </w:rPr>
        <w:t>  Nurse Radmanovic agreed that the management of patient problems ultimately is up to the physician. However, nurses can make suggestion. She agreed also that nurses refer things that are of concern to the general practitioner managing the patient. She added that ultimately the physician is not there, so he is relying on the nurse's interpretation of the strip to make a decision as to the care of the patient thereafter. When it was suggested to her that there would be occasions when the physician would come in and review the strip, she said that it depended on what the physician was told about the strip by the nurse: "if you don't identify there is a big problem, he's not going to come 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324</w:t>
      </w:r>
      <w:r>
        <w:rPr>
          <w:rFonts w:ascii="arial" w:eastAsia="arial" w:hAnsi="arial" w:cs="arial"/>
          <w:color w:val="000000"/>
          <w:sz w:val="20"/>
          <w:lang w:val="en-US" w:eastAsia="en-US" w:bidi="ar-SA"/>
        </w:rPr>
        <w:t>  The nurse was also questioned, in effect, about charting, noting and monitoring strips. Her evidence in this regard was basically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 dealing with nursing in general, although nurses would like to be, they can't always chart perfectly, can they?</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When you chart, we have to think of consequences of that charting</w:t>
            </w:r>
            <w:r>
              <w:rPr>
                <w:rFonts w:ascii="arial" w:eastAsia="arial" w:hAnsi="arial" w:cs="arial"/>
                <w:color w:val="000000"/>
                <w:sz w:val="18"/>
                <w:lang w:val="en-US" w:eastAsia="en-US" w:bidi="ar-SA"/>
              </w:rPr>
              <w: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My question was, although nurses would like to try to chart as well as they can, they can't always chart perfectly, can they?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They should.</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They should be perfect?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They should make every attempt to be perfect in their charting</w:t>
            </w:r>
            <w:r>
              <w:rPr>
                <w:rFonts w:ascii="arial" w:eastAsia="arial" w:hAnsi="arial" w:cs="arial"/>
                <w:color w:val="000000"/>
                <w:sz w:val="18"/>
                <w:lang w:val="en-US" w:eastAsia="en-US" w:bidi="ar-SA"/>
              </w:rPr>
              <w: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Have you ever seen a perfect chart?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I have.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have seen a lot of imperfect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have seen a lot of charting. I have seen a lot of perfect charting, and a lot of imperfect charting.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 depends on the circumstances, doesn't it?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Not necessarily. If you have good habits, those habits will persist.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 nurse -- a nurse's priority is care of the patient, not creating a perfect record; isn't that right?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priority is care of the patient but at the same time you can -- and I have seen it done -- accurate and perfect charting.</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Nurses certainly cannot chart everything they do exactly as they do it, can they?</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There is a strip. You are supposed to write on the strip. If you don't write on the notes right away, you write everything on the strip. You write it somewhere so that you can transfer it back to your notes. The strip should be able to be read independently of the chart.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If there isn't a strip, the nurse can't chart everything she does exactly as she does it?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do.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She went on to say again that while: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decision of what to do is the managing physician's decision, it is up to the nurse to </w:t>
      </w:r>
      <w:r>
        <w:rPr>
          <w:rFonts w:ascii="arial" w:eastAsia="arial" w:hAnsi="arial" w:cs="arial"/>
          <w:color w:val="000000"/>
          <w:sz w:val="20"/>
          <w:u w:val="single"/>
          <w:lang w:val="en-US" w:eastAsia="en-US" w:bidi="ar-SA"/>
        </w:rPr>
        <w:t>convey the correct information</w:t>
      </w:r>
      <w:r>
        <w:rPr>
          <w:rFonts w:ascii="arial" w:eastAsia="arial" w:hAnsi="arial" w:cs="arial"/>
          <w:color w:val="000000"/>
          <w:sz w:val="20"/>
          <w:lang w:val="en-US" w:eastAsia="en-US" w:bidi="ar-SA"/>
        </w:rPr>
        <w:t xml:space="preserve"> to the attending physician, and to </w:t>
      </w:r>
      <w:r>
        <w:rPr>
          <w:rFonts w:ascii="arial" w:eastAsia="arial" w:hAnsi="arial" w:cs="arial"/>
          <w:color w:val="000000"/>
          <w:sz w:val="20"/>
          <w:u w:val="single"/>
          <w:lang w:val="en-US" w:eastAsia="en-US" w:bidi="ar-SA"/>
        </w:rPr>
        <w:t>even make suggestions. That is because the nurse is present</w:t>
      </w:r>
      <w:r>
        <w:rPr>
          <w:rFonts w:ascii="arial" w:eastAsia="arial" w:hAnsi="arial" w:cs="arial"/>
          <w:color w:val="000000"/>
          <w:sz w:val="20"/>
          <w:lang w:val="en-US" w:eastAsia="en-US" w:bidi="ar-SA"/>
        </w:rPr>
        <w:t>. If a physician is not in the hospital and not present, they have to rely on the accurate information of the nurse.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325</w:t>
      </w:r>
      <w:r>
        <w:rPr>
          <w:rFonts w:ascii="arial" w:eastAsia="arial" w:hAnsi="arial" w:cs="arial"/>
          <w:color w:val="000000"/>
          <w:sz w:val="20"/>
          <w:lang w:val="en-US" w:eastAsia="en-US" w:bidi="ar-SA"/>
        </w:rPr>
        <w:t>  Nurse Radmanovic was cross-examined in some detail about her reference to Mrs. Strachan being up in the chair and taken off the monitor around 4:15 a.m. She noted that sometimes patients are moved to chairs and the transducer and the toco are kept on, and she is not sure whether that happened in this case. "... because of the type of pickup on the monitoring strip". For example, she referred to the "little chicken scratches" on the strip prior to station 24368. She said that if Mrs. Strachan had been put in the chair with the monitor still attached, that means that there was loss of contact. The transducer should have been repositioned and better pickup should have been obtained. She said: "</w:t>
      </w:r>
      <w:r>
        <w:rPr>
          <w:rFonts w:ascii="arial" w:eastAsia="arial" w:hAnsi="arial" w:cs="arial"/>
          <w:color w:val="000000"/>
          <w:sz w:val="20"/>
          <w:u w:val="single"/>
          <w:lang w:val="en-US" w:eastAsia="en-US" w:bidi="ar-SA"/>
        </w:rPr>
        <w:t>What we see here would be unacceptable</w:t>
      </w:r>
      <w:r>
        <w:rPr>
          <w:rFonts w:ascii="arial" w:eastAsia="arial" w:hAnsi="arial" w:cs="arial"/>
          <w:color w:val="000000"/>
          <w:sz w:val="20"/>
          <w:lang w:val="en-US" w:eastAsia="en-US" w:bidi="ar-SA"/>
        </w:rPr>
        <w:t xml:space="preserve">". She added that there was something on that strip that told her that the fetal heart was listened to by some means, and that </w:t>
      </w:r>
      <w:r>
        <w:rPr>
          <w:rFonts w:ascii="arial" w:eastAsia="arial" w:hAnsi="arial" w:cs="arial"/>
          <w:color w:val="000000"/>
          <w:sz w:val="20"/>
          <w:u w:val="single"/>
          <w:lang w:val="en-US" w:eastAsia="en-US" w:bidi="ar-SA"/>
        </w:rPr>
        <w:t>is not satisfactory</w:t>
      </w:r>
      <w:r>
        <w:rPr>
          <w:rFonts w:ascii="arial" w:eastAsia="arial" w:hAnsi="arial" w:cs="arial"/>
          <w:color w:val="000000"/>
          <w:sz w:val="20"/>
          <w:lang w:val="en-US" w:eastAsia="en-US" w:bidi="ar-SA"/>
        </w:rPr>
        <w:t>.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326</w:t>
      </w:r>
      <w:r>
        <w:rPr>
          <w:rFonts w:ascii="arial" w:eastAsia="arial" w:hAnsi="arial" w:cs="arial"/>
          <w:color w:val="000000"/>
          <w:sz w:val="20"/>
          <w:lang w:val="en-US" w:eastAsia="en-US" w:bidi="ar-SA"/>
        </w:rPr>
        <w:t>  It is clear that Nurse Radmanovic was concerned about the quality and use of the monitoring strips. Her detailed cross-examination did not sway her. Her evidence appears to be best summed up by the following: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Ms. Radmanovic, it is certainly possible that what is shown on the portion of the strip that you have just been talking about is a loss of contact and a recording of the maternal pulse; correct?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It's possible, but it's not ruled out, so I have to assume that it was not the maternal pulse.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858"/>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COURT:</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One moment, please. I am sorry, you say you assume it's the maternal pulse?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WITNESS:</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I'm saying that the maternal pulse should have been taken to rule it out. If you have ruled it out that it's maternal, that's one thing. But if you don't, then you assume that this is fetal heart. And if that is the case, if it's fetal heart, it's non-reassuring and external fetal monitoring should have been reconnected at that time.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327</w:t>
      </w:r>
      <w:r>
        <w:rPr>
          <w:rFonts w:ascii="arial" w:eastAsia="arial" w:hAnsi="arial" w:cs="arial"/>
          <w:color w:val="000000"/>
          <w:sz w:val="20"/>
          <w:lang w:val="en-US" w:eastAsia="en-US" w:bidi="ar-SA"/>
        </w:rPr>
        <w:t>  The witness was also questioned about the fact that nurses, as well as doctors, have to exercise clinical judgment. She agreed that it was based on a large number of factors, including education and experience, and being present and looking at and talking to the patient. One factor is whether the doctor is present in the hospital and how he is responding to the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328</w:t>
      </w:r>
      <w:r>
        <w:rPr>
          <w:rFonts w:ascii="arial" w:eastAsia="arial" w:hAnsi="arial" w:cs="arial"/>
          <w:color w:val="000000"/>
          <w:sz w:val="20"/>
          <w:lang w:val="en-US" w:eastAsia="en-US" w:bidi="ar-SA"/>
        </w:rPr>
        <w:t>  She was then referred to p. 4 of her Report where she notes with regard to Dr. Reynolds' performing a vaginal examination, that no mention was made of the situation of the presenting part at that time. She agreed that it was her assumption that there was no indication of the station of the presenting part when Dr. Reynolds ruptured the membrane. She added that one has to bear in mind that when you rupture the membrane, the presenting part had to be well applied to the cervix.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329</w:t>
      </w:r>
      <w:r>
        <w:rPr>
          <w:rFonts w:ascii="arial" w:eastAsia="arial" w:hAnsi="arial" w:cs="arial"/>
          <w:color w:val="000000"/>
          <w:sz w:val="20"/>
          <w:lang w:val="en-US" w:eastAsia="en-US" w:bidi="ar-SA"/>
        </w:rPr>
        <w:t>  She also said that that is why she would question the findings of the vaginal examination of the person planning to do the artificial rupture. She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Plus at all times I would be aware of the fact that this patient is a VBAC and the risks associated with VBACs. And uterine rupture is one major risk factor.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w:t>
      </w:r>
      <w:r>
        <w:rPr>
          <w:rFonts w:ascii="arial" w:eastAsia="arial" w:hAnsi="arial" w:cs="arial"/>
          <w:color w:val="000000"/>
          <w:sz w:val="20"/>
          <w:u w:val="single"/>
          <w:lang w:val="en-US" w:eastAsia="en-US" w:bidi="ar-SA"/>
        </w:rPr>
        <w:t>would want to know that I also have a reassuring monitoring strip prior to any invasive procedure, and I would make sure that the patient is aware to advise me</w:t>
      </w:r>
      <w:r>
        <w:rPr>
          <w:rFonts w:ascii="arial" w:eastAsia="arial" w:hAnsi="arial" w:cs="arial"/>
          <w:color w:val="000000"/>
          <w:sz w:val="20"/>
          <w:lang w:val="en-US" w:eastAsia="en-US" w:bidi="ar-SA"/>
        </w:rPr>
        <w:t xml:space="preserve">, at any time, of </w:t>
      </w:r>
      <w:r>
        <w:rPr>
          <w:rFonts w:ascii="arial" w:eastAsia="arial" w:hAnsi="arial" w:cs="arial"/>
          <w:color w:val="000000"/>
          <w:sz w:val="20"/>
          <w:u w:val="single"/>
          <w:lang w:val="en-US" w:eastAsia="en-US" w:bidi="ar-SA"/>
        </w:rPr>
        <w:t>any unusual pain</w:t>
      </w:r>
      <w:r>
        <w:rPr>
          <w:rFonts w:ascii="arial" w:eastAsia="arial" w:hAnsi="arial" w:cs="arial"/>
          <w:color w:val="000000"/>
          <w:sz w:val="20"/>
          <w:lang w:val="en-US" w:eastAsia="en-US" w:bidi="ar-SA"/>
        </w:rPr>
        <w:t xml:space="preserve">, bleeding, change in the fetal movements, </w:t>
      </w:r>
      <w:r>
        <w:rPr>
          <w:rFonts w:ascii="arial" w:eastAsia="arial" w:hAnsi="arial" w:cs="arial"/>
          <w:color w:val="000000"/>
          <w:sz w:val="20"/>
          <w:u w:val="single"/>
          <w:lang w:val="en-US" w:eastAsia="en-US" w:bidi="ar-SA"/>
        </w:rPr>
        <w:t>and if there was a change</w:t>
      </w:r>
      <w:r>
        <w:rPr>
          <w:rFonts w:ascii="arial" w:eastAsia="arial" w:hAnsi="arial" w:cs="arial"/>
          <w:color w:val="000000"/>
          <w:sz w:val="20"/>
          <w:lang w:val="en-US" w:eastAsia="en-US" w:bidi="ar-SA"/>
        </w:rPr>
        <w:t>, I would notify the physician immediately and suggest an obstetrical consult. The GP cannot perform a C-section.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If it is not, you run a great risk of having cord prolapse. And she agreed also that she had no personal knowledge as to what Dr. Reynolds did to reassure herself that it was safe to carry out the procedure.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330</w:t>
      </w:r>
      <w:r>
        <w:rPr>
          <w:rFonts w:ascii="arial" w:eastAsia="arial" w:hAnsi="arial" w:cs="arial"/>
          <w:color w:val="000000"/>
          <w:sz w:val="20"/>
          <w:lang w:val="en-US" w:eastAsia="en-US" w:bidi="ar-SA"/>
        </w:rPr>
        <w:t xml:space="preserve">  Nurse Radmanovic also agreed that general practitioners, nurses and obstetricians do not always agree about the significance of a particular fetal heart pattern, adding "but there is </w:t>
      </w:r>
      <w:r>
        <w:rPr>
          <w:rFonts w:ascii="arial" w:eastAsia="arial" w:hAnsi="arial" w:cs="arial"/>
          <w:color w:val="000000"/>
          <w:sz w:val="20"/>
          <w:u w:val="single"/>
          <w:lang w:val="en-US" w:eastAsia="en-US" w:bidi="ar-SA"/>
        </w:rPr>
        <w:t>still criteria that have to be met for it to be reassuring</w:t>
      </w:r>
      <w:r>
        <w:rPr>
          <w:rFonts w:ascii="arial" w:eastAsia="arial" w:hAnsi="arial" w:cs="arial"/>
          <w:color w:val="000000"/>
          <w:sz w:val="20"/>
          <w:lang w:val="en-US" w:eastAsia="en-US" w:bidi="ar-SA"/>
        </w:rPr>
        <w:t>".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331</w:t>
      </w:r>
      <w:r>
        <w:rPr>
          <w:rFonts w:ascii="arial" w:eastAsia="arial" w:hAnsi="arial" w:cs="arial"/>
          <w:color w:val="000000"/>
          <w:sz w:val="20"/>
          <w:lang w:val="en-US" w:eastAsia="en-US" w:bidi="ar-SA"/>
        </w:rPr>
        <w:t>  On re-direct the witness reiterated that in order to rupture the membrane artificially, the station of the fetal head must be at -1 or lower. She also reiterated, in a round-about way, the presenting part, the head, must be down in the pelvis and fixed to the cervix. She also acknowledged that in testifying what she would do, she was not intending to make any distinction between what her practice was and what she considered to be the standard practice for any reasonable nurse.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EVIDENCE OF DR. D.W.R. MCTAGGART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332</w:t>
      </w:r>
      <w:r>
        <w:rPr>
          <w:rFonts w:ascii="arial" w:eastAsia="arial" w:hAnsi="arial" w:cs="arial"/>
          <w:color w:val="000000"/>
          <w:sz w:val="20"/>
          <w:lang w:val="en-US" w:eastAsia="en-US" w:bidi="ar-SA"/>
        </w:rPr>
        <w:t>  Dr. McTaggart is a family practitioner who has been practising out of Lions Gate Hospital since 1979. Over the years he has had occasion to provide obstetrical care to his patients. He estimates that he has delivered 800 to 1,000 babies during that period of time. He estimates that during the same time he has treated 10 to 15 VBAC patients. He was qualified as an expert in family practice obstetrics. He was called on behalf of Dr. Reynolds.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333</w:t>
      </w:r>
      <w:r>
        <w:rPr>
          <w:rFonts w:ascii="arial" w:eastAsia="arial" w:hAnsi="arial" w:cs="arial"/>
          <w:color w:val="000000"/>
          <w:sz w:val="20"/>
          <w:lang w:val="en-US" w:eastAsia="en-US" w:bidi="ar-SA"/>
        </w:rPr>
        <w:t>  Dr. McTaggart's direct evidence is contained in his Report dated July 14, 2003. According to the Report, for his purposes, he reviewed the pleadings, the Medical Records, the Hospital Records and the transcripts of the examinations for discovery of Mrs. Strachan, Dr. Reynolds, Dr. Yoshida and Nurse Kinash.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334</w:t>
      </w:r>
      <w:r>
        <w:rPr>
          <w:rFonts w:ascii="arial" w:eastAsia="arial" w:hAnsi="arial" w:cs="arial"/>
          <w:color w:val="000000"/>
          <w:sz w:val="20"/>
          <w:lang w:val="en-US" w:eastAsia="en-US" w:bidi="ar-SA"/>
        </w:rPr>
        <w:t>  With respect to Dr. McTaggart, whom I am sure is a well-meaning and well qualified physician, I found him to be perhaps more of an advocate than an independent expert brought forth to assist the Court. This is not infrequently experienced by the Court in these cases, and may be simply the nature of the beast, (more the format than the person) if I may put it that way. Having read all of the transcripts of the evidence given at discovery, he accepts all of the evidence in favour of the defendants, particularly Dr. Reynolds, and perhaps takes some licence in that regard. An example is his reference to Dr. Reynolds' hand-written Progress Note containing, inter alia, her Note that the head was "extremely well applied to the cervix". There is no Hospital Record or note made by Dr. Reynolds recording the facts she now asserts, that the head was well applied to the cervix. The only source of this information, that I can recall at the moment, is Dr. Reynolds' discovery evidence, which was taken some four years after the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335</w:t>
      </w:r>
      <w:r>
        <w:rPr>
          <w:rFonts w:ascii="arial" w:eastAsia="arial" w:hAnsi="arial" w:cs="arial"/>
          <w:color w:val="000000"/>
          <w:sz w:val="20"/>
          <w:lang w:val="en-US" w:eastAsia="en-US" w:bidi="ar-SA"/>
        </w:rPr>
        <w:t>  Dr. McTaggart's report is divided into nine questions, which he apparently was asked by counsel. It would appear that I only need to deal with the last six, save for the assertion in para. 4 that the trial of labour of a VBAC patient is "very routine". In this regard, Dr. McTaggart commences his point #6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The requirements for conducting an apparently normally progressing VBAC are not significantly different that those for any other similar labour. As a consequence, in most VBAC labour</w:t>
      </w:r>
      <w:r>
        <w:rPr>
          <w:rFonts w:ascii="arial" w:eastAsia="arial" w:hAnsi="arial" w:cs="arial"/>
          <w:color w:val="000000"/>
          <w:sz w:val="20"/>
          <w:lang w:val="en-US" w:eastAsia="en-US" w:bidi="ar-SA"/>
        </w:rPr>
        <w:t>, there is little need for investigations or consultations beyond those expected in any other labour. Intermittent fetal monitoring, clinical examination, and consideration of the clinical course of labour are the main expected requirements, with additional investigations or monitoring indicated for the usual reasons of apparent fetal or maternal distress.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336</w:t>
      </w:r>
      <w:r>
        <w:rPr>
          <w:rFonts w:ascii="arial" w:eastAsia="arial" w:hAnsi="arial" w:cs="arial"/>
          <w:color w:val="000000"/>
          <w:sz w:val="20"/>
          <w:lang w:val="en-US" w:eastAsia="en-US" w:bidi="ar-SA"/>
        </w:rPr>
        <w:t>  Down the page Dr. McTaggart continues: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When first advised that Mrs. Strachan was having abdominal pains, Dr. Reynolds responded in a timely fashion, coming essentially immediately upon request, and arriving within 20 minutes of being called. </w:t>
      </w:r>
      <w:r>
        <w:rPr>
          <w:rFonts w:ascii="arial" w:eastAsia="arial" w:hAnsi="arial" w:cs="arial"/>
          <w:color w:val="000000"/>
          <w:sz w:val="20"/>
          <w:u w:val="single"/>
          <w:lang w:val="en-US" w:eastAsia="en-US" w:bidi="ar-SA"/>
        </w:rPr>
        <w:t>On arrival Dr. Reynolds found a situation that in my opinion most practitioners would find routine, if not reassuring. Other than having a common place call for medical assessment, the nursing staff did not convey to Dr. Reynolds any additional or unusual concern or observations. Mrs. Strachan was no longer experiencing the subject pain. Abdominal examination was apparently normal. Fetal monitoring strip was not alarming. Vaginal examination was found to be routine in the circumstances</w:t>
      </w:r>
      <w:r>
        <w:rPr>
          <w:rFonts w:ascii="arial" w:eastAsia="arial" w:hAnsi="arial" w:cs="arial"/>
          <w:color w:val="000000"/>
          <w:sz w:val="20"/>
          <w:lang w:val="en-US" w:eastAsia="en-US" w:bidi="ar-SA"/>
        </w:rPr>
        <w:t>.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He then goes on to stamp his approval on the ARM procedure.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337</w:t>
      </w:r>
      <w:r>
        <w:rPr>
          <w:rFonts w:ascii="arial" w:eastAsia="arial" w:hAnsi="arial" w:cs="arial"/>
          <w:color w:val="000000"/>
          <w:sz w:val="20"/>
          <w:lang w:val="en-US" w:eastAsia="en-US" w:bidi="ar-SA"/>
        </w:rPr>
        <w:t>  It is seen that I do not accept the illogical and unreasonable proposition that a trial of labour of a VBAC patient, for all intents and purposes, has the same risks as a "normal" birth and requires nothing more by way of observation, investigation or concern, than those expected in a case of normal labour. A leading textbook authority, Williams Obstetrics, 19th and 20th eds. sets out succinctly the true situation. I also have difficulty with Dr. McTaggart's description of the situation as "routine, if not reassuring" based, apparently, on the fact that Mrs. Strachan was "no longer experiencing the subject pain", pain which she had very recently experienced for some 40 minutes.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338</w:t>
      </w:r>
      <w:r>
        <w:rPr>
          <w:rFonts w:ascii="arial" w:eastAsia="arial" w:hAnsi="arial" w:cs="arial"/>
          <w:color w:val="000000"/>
          <w:sz w:val="20"/>
          <w:lang w:val="en-US" w:eastAsia="en-US" w:bidi="ar-SA"/>
        </w:rPr>
        <w:t>  I pause to observe that like most of the other defence experts, Dr. McTaggart's evidence and opinion must be considered in light of his above views with regard to VBAC patients. He seems to simply ignore the realities of the case at Bar; that is, that Mrs. Strachan was a VBAC patient, in late labour, undergoing a "trial of labour", who had experienced, for a fairly lengthy period of time, constant pain in her abdomen, a sign or symptom known to be caused by a developing uterine rupture, the worst case scenario for a VBAC patient; and seems to condone Dr. Reynolds' failure to exclude a developing uterine rupture as a cause of that pain. And while it is clear that neither Dr. Reynolds, nor Nurse Kinash, ever directed their mind to the possibility that the pain complained of might be caused by a developing uterine rupture, the doctors proceeded on the basis as if they did in fact consider the possibility and conducted themselves with that possibility in mind, which is simply not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339</w:t>
      </w:r>
      <w:r>
        <w:rPr>
          <w:rFonts w:ascii="arial" w:eastAsia="arial" w:hAnsi="arial" w:cs="arial"/>
          <w:color w:val="000000"/>
          <w:sz w:val="20"/>
          <w:lang w:val="en-US" w:eastAsia="en-US" w:bidi="ar-SA"/>
        </w:rPr>
        <w:t>  Under point #7 - Did Dr. Reynolds respond appropriately to the patient's complaints? - Dr. McTaggart referred to the telephone call at 5:10 a.m.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Dr. Reynolds' evidence, and that of Nurse Kinash, was that this concern was </w:t>
      </w:r>
      <w:r>
        <w:rPr>
          <w:rFonts w:ascii="arial" w:eastAsia="arial" w:hAnsi="arial" w:cs="arial"/>
          <w:color w:val="000000"/>
          <w:sz w:val="20"/>
          <w:u w:val="single"/>
          <w:lang w:val="en-US" w:eastAsia="en-US" w:bidi="ar-SA"/>
        </w:rPr>
        <w:t>fairly routinely</w:t>
      </w:r>
      <w:r>
        <w:rPr>
          <w:rFonts w:ascii="arial" w:eastAsia="arial" w:hAnsi="arial" w:cs="arial"/>
          <w:color w:val="000000"/>
          <w:sz w:val="20"/>
          <w:lang w:val="en-US" w:eastAsia="en-US" w:bidi="ar-SA"/>
        </w:rPr>
        <w:t xml:space="preserve"> conveyed, in a manner typical of the </w:t>
      </w:r>
      <w:r>
        <w:rPr>
          <w:rFonts w:ascii="arial" w:eastAsia="arial" w:hAnsi="arial" w:cs="arial"/>
          <w:color w:val="000000"/>
          <w:sz w:val="20"/>
          <w:u w:val="single"/>
          <w:lang w:val="en-US" w:eastAsia="en-US" w:bidi="ar-SA"/>
        </w:rPr>
        <w:t>calls commonly placed</w:t>
      </w:r>
      <w:r>
        <w:rPr>
          <w:rFonts w:ascii="arial" w:eastAsia="arial" w:hAnsi="arial" w:cs="arial"/>
          <w:color w:val="000000"/>
          <w:sz w:val="20"/>
          <w:lang w:val="en-US" w:eastAsia="en-US" w:bidi="ar-SA"/>
        </w:rPr>
        <w:t xml:space="preserve"> by delivery room nurses to attending physicians. </w:t>
      </w:r>
      <w:r>
        <w:rPr>
          <w:rFonts w:ascii="arial" w:eastAsia="arial" w:hAnsi="arial" w:cs="arial"/>
          <w:color w:val="000000"/>
          <w:sz w:val="20"/>
          <w:u w:val="single"/>
          <w:lang w:val="en-US" w:eastAsia="en-US" w:bidi="ar-SA"/>
        </w:rPr>
        <w:t>Nurse Kinash had not apprehended any concerns beyond those of typical labour</w:t>
      </w:r>
      <w:r>
        <w:rPr>
          <w:rFonts w:ascii="arial" w:eastAsia="arial" w:hAnsi="arial" w:cs="arial"/>
          <w:color w:val="000000"/>
          <w:sz w:val="20"/>
          <w:lang w:val="en-US" w:eastAsia="en-US" w:bidi="ar-SA"/>
        </w:rPr>
        <w:t xml:space="preserve">, and in particular </w:t>
      </w:r>
      <w:r>
        <w:rPr>
          <w:rFonts w:ascii="arial" w:eastAsia="arial" w:hAnsi="arial" w:cs="arial"/>
          <w:color w:val="000000"/>
          <w:sz w:val="20"/>
          <w:u w:val="single"/>
          <w:lang w:val="en-US" w:eastAsia="en-US" w:bidi="ar-SA"/>
        </w:rPr>
        <w:t>had not apprehended problems specific to attempted VBAC. Dr. Reynolds responded in appropriate fashion</w:t>
      </w:r>
      <w:r>
        <w:rPr>
          <w:rFonts w:ascii="arial" w:eastAsia="arial" w:hAnsi="arial" w:cs="arial"/>
          <w:color w:val="000000"/>
          <w:sz w:val="20"/>
          <w:lang w:val="en-US" w:eastAsia="en-US" w:bidi="ar-SA"/>
        </w:rPr>
        <w:t xml:space="preserve">, by promptly attending personally to evaluate the situation. She interviewed the patient </w:t>
      </w:r>
      <w:r>
        <w:rPr>
          <w:rFonts w:ascii="arial" w:eastAsia="arial" w:hAnsi="arial" w:cs="arial"/>
          <w:color w:val="000000"/>
          <w:sz w:val="20"/>
          <w:u w:val="single"/>
          <w:lang w:val="en-US" w:eastAsia="en-US" w:bidi="ar-SA"/>
        </w:rPr>
        <w:t>who by this time was not complaining</w:t>
      </w:r>
      <w:r>
        <w:rPr>
          <w:rFonts w:ascii="arial" w:eastAsia="arial" w:hAnsi="arial" w:cs="arial"/>
          <w:color w:val="000000"/>
          <w:sz w:val="20"/>
          <w:lang w:val="en-US" w:eastAsia="en-US" w:bidi="ar-SA"/>
        </w:rPr>
        <w:t>. She conducted an abdominal examination and found the signs to be normal. She conducted a vaginal examination and found the signs to be typical.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340</w:t>
      </w:r>
      <w:r>
        <w:rPr>
          <w:rFonts w:ascii="arial" w:eastAsia="arial" w:hAnsi="arial" w:cs="arial"/>
          <w:color w:val="000000"/>
          <w:sz w:val="20"/>
          <w:lang w:val="en-US" w:eastAsia="en-US" w:bidi="ar-SA"/>
        </w:rPr>
        <w:t>  This "submission", which is not factually accurate, overlooks or plays down, the importance of the fact that Mrs. Strachan had undergone fairly severe constant pain for over 40 minutes, even after she had been given the Demerol, and, more importantly, the fact that neither Nurse Kinash, nor Dr. Reynolds ever directed their mind for one second to the possibility that the pain complained of might be a warning that uterine rupture was developing or in progress. And with great respect, neither Nurse Kinash, nor Dr. Reynolds, the head monitors of the VBAC trial of labour, ever investigated or evaluated Mrs. Strachan's circumstances. In this regard, it is difficult to truly assess the possibility that a particular pain in the abdomen might be evidence of a developing uterine rupture, when one does not even think about the possibility. It is equally difficult to make the case that one's conduct, having given no thought to the risk at all, was reasonable in the circumstances, and discharged any duty owed by the practitioner to the VBAC mother and baby.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341</w:t>
      </w:r>
      <w:r>
        <w:rPr>
          <w:rFonts w:ascii="arial" w:eastAsia="arial" w:hAnsi="arial" w:cs="arial"/>
          <w:color w:val="000000"/>
          <w:sz w:val="20"/>
          <w:lang w:val="en-US" w:eastAsia="en-US" w:bidi="ar-SA"/>
        </w:rPr>
        <w:t>  Further, I do not accept the doctor's description as to the evidence of Dr. Reynolds and of Nurse Kinash. I have grave concerns with his use of the terminology "fairly routinely", "calls commonly placed", that Nurse Kinash "had not apprehended any concerns beyond those of typical labour" and had not apprehended problems specific to the attempted VBAC. At best Dr. McTaggart's words clearly mis-describe the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342</w:t>
      </w:r>
      <w:r>
        <w:rPr>
          <w:rFonts w:ascii="arial" w:eastAsia="arial" w:hAnsi="arial" w:cs="arial"/>
          <w:color w:val="000000"/>
          <w:sz w:val="20"/>
          <w:lang w:val="en-US" w:eastAsia="en-US" w:bidi="ar-SA"/>
        </w:rPr>
        <w:t>  Finally, I reject the submission that Dr. Reynolds responded appropriately to Mrs. Strachan's complaints, given that "the nurses apparently conveyed no special concerns regarding the nature of the pains, given that it had settled by the time she attended, and given that she had then conducted a complete clinical examination with reassuring findings". I observe that Dr. Reynolds did not conduct a complete clinical examination to see if a developing uterine rupture could be excluded as a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343</w:t>
      </w:r>
      <w:r>
        <w:rPr>
          <w:rFonts w:ascii="arial" w:eastAsia="arial" w:hAnsi="arial" w:cs="arial"/>
          <w:color w:val="000000"/>
          <w:sz w:val="20"/>
          <w:lang w:val="en-US" w:eastAsia="en-US" w:bidi="ar-SA"/>
        </w:rPr>
        <w:t>  I have already expressed my opinion that it makes no difference whether or not the pain had totally subsided at the time that Dr. Reynolds decided to do the ARM. In my view, in the circumstances, Dr. Reynolds was obligated to exclude the possibility that the cause of the pain, whether ended or not, was a developing uterine rupture.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344</w:t>
      </w:r>
      <w:r>
        <w:rPr>
          <w:rFonts w:ascii="arial" w:eastAsia="arial" w:hAnsi="arial" w:cs="arial"/>
          <w:color w:val="000000"/>
          <w:sz w:val="20"/>
          <w:lang w:val="en-US" w:eastAsia="en-US" w:bidi="ar-SA"/>
        </w:rPr>
        <w:t>  Under point #8 Dr. McTaggart argues that Mrs. Strachan's presentation did not mandate intervention in the form of a caesarean section at any point prior to 6:05 a.m. I do not propose to repeat myself, other than to say, that a substantial known risk of a developing uterine rupture was in existence for over 40 minutes, and nothing was done about it. It was not questioned, it was not tested, it was not even considered to be a threat to Mrs. Strachan and the baby.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345</w:t>
      </w:r>
      <w:r>
        <w:rPr>
          <w:rFonts w:ascii="arial" w:eastAsia="arial" w:hAnsi="arial" w:cs="arial"/>
          <w:color w:val="000000"/>
          <w:sz w:val="20"/>
          <w:lang w:val="en-US" w:eastAsia="en-US" w:bidi="ar-SA"/>
        </w:rPr>
        <w:t>  The monitoring system which might have been of some help was poorly operated, when in fact it was operated. They were treated routinely throughout. And I accept the evidence that, when considered in context, the strips reveal other possible signs of a developing uterine rupture which Dr. Reynolds misinterpreted and which apparently Nurse Kinash recognized, if her evidence in that regard is to be accepted. In my view, Dr. Reynolds was bound, in the circumstances, to exclude the continuous pain as a possible cause of a developing uterine rupture, by bringing in the expert, the obstetrician. I have no doubt that the obstetrician then would have gone to the emergency caesarean section since the threat could not be excluded. The steps which she did take, even if they were as asserted by Dr. McTaggart, "in response to the history of pain" were not guaranteed to reveal scar distress or dehiscence, or to exclude the possibility of uterine rupture. I refer, of course, to routine abdominal and vaginal examination and clear amniotic fluid.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346</w:t>
      </w:r>
      <w:r>
        <w:rPr>
          <w:rFonts w:ascii="arial" w:eastAsia="arial" w:hAnsi="arial" w:cs="arial"/>
          <w:color w:val="000000"/>
          <w:sz w:val="20"/>
          <w:lang w:val="en-US" w:eastAsia="en-US" w:bidi="ar-SA"/>
        </w:rPr>
        <w:t>  Dr. McTaggart's final point addresses whether Dr. Reynolds met the standard of care of a reasonable and competent medical practitioner, with respect to the care and treatment of Mrs. Strachan? He again emphasized: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course of labour, she knew Mrs. Strachan to be in the care of experienced obstetrical nurses in a hospital with modern monitoring equipment. When asked by the nurses to attend to assess the patient for pain, she did so, essentially immediately. Beyond asking her to attend, no special concerns were raised by the nurses or otherwise brought to Dr. Reynolds' attention. She performed a clinical assessment on arrival that revealed an undistressed patient, with physical findings that she interpreted as routine. She performed a vaginal examination with routine findings regarding station, presentation and progressive dilation, and she undertook routine rupture of membrane.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347</w:t>
      </w:r>
      <w:r>
        <w:rPr>
          <w:rFonts w:ascii="arial" w:eastAsia="arial" w:hAnsi="arial" w:cs="arial"/>
          <w:color w:val="000000"/>
          <w:sz w:val="20"/>
          <w:lang w:val="en-US" w:eastAsia="en-US" w:bidi="ar-SA"/>
        </w:rPr>
        <w:t>  I observe that one of Dr. Reynolds' problems was that she did treat Mrs. Strachan, and everything about her, as routine. But she was not routine. She had initially been told that if there was a problem they would do a second caesarean section. Well there was a problem, a known risk or sign of a developing uterine rupture which, absent any explanation reasonably excluding it as a possible cause of rupture, mandated immediate caesarean 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348</w:t>
      </w:r>
      <w:r>
        <w:rPr>
          <w:rFonts w:ascii="arial" w:eastAsia="arial" w:hAnsi="arial" w:cs="arial"/>
          <w:color w:val="000000"/>
          <w:sz w:val="20"/>
          <w:lang w:val="en-US" w:eastAsia="en-US" w:bidi="ar-SA"/>
        </w:rPr>
        <w:t>  Actually there were two signs, the second one being the state of the strips to be observed, including the lack of a strip during an important period of time; although they only may be relevant if it is found that in going to the Hospital by herself, and without consulting an expert obstetrician, Dr. Reynolds was not in breach of her standard of care owed to the plaintiff. In this regard it is my opinion that on receiving the telephone call from Nurse Kinash, Dr. Reynolds should have immediately communicated with the obstetrician and left the further care of the plaintiffs to him, in consultation.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349</w:t>
      </w:r>
      <w:r>
        <w:rPr>
          <w:rFonts w:ascii="arial" w:eastAsia="arial" w:hAnsi="arial" w:cs="arial"/>
          <w:color w:val="000000"/>
          <w:sz w:val="20"/>
          <w:lang w:val="en-US" w:eastAsia="en-US" w:bidi="ar-SA"/>
        </w:rPr>
        <w:t>  Dr. McTaggart's final point should fare no better. Dr. Reynolds should not have been reassured by the clear amniotic fluid. She did not continue to assess the application of the presenting part and the absence of signs of cord prolapse. And if she was, it was simply too late to deal with the real and ever present risk as a result of the earlier constant abdominal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350</w:t>
      </w:r>
      <w:r>
        <w:rPr>
          <w:rFonts w:ascii="arial" w:eastAsia="arial" w:hAnsi="arial" w:cs="arial"/>
          <w:color w:val="000000"/>
          <w:sz w:val="20"/>
          <w:lang w:val="en-US" w:eastAsia="en-US" w:bidi="ar-SA"/>
        </w:rPr>
        <w:t>  Further, both Nurse Kinash and Dr. Reynolds then left Mrs. Strachan alone in her room for at least 15 minutes while they attended at the nurses' station; more evidence, in my view, that neither of them ever realized what they were dealing with, the risk to Mrs. Strachan and Travis, or what they should be doing about it. That is, eliminating the risk in a timely fashion by calling for the immediate attendance of an obstetrician which, in my opinion, would have resulted in surgery. They both then attempted to obtain a fetal heart beat and seemingly were not concerned when doing so, until the concerning evidence was there, and of course, it was too late.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351</w:t>
      </w:r>
      <w:r>
        <w:rPr>
          <w:rFonts w:ascii="arial" w:eastAsia="arial" w:hAnsi="arial" w:cs="arial"/>
          <w:color w:val="000000"/>
          <w:sz w:val="20"/>
          <w:lang w:val="en-US" w:eastAsia="en-US" w:bidi="ar-SA"/>
        </w:rPr>
        <w:t>  I repeat that in my opinion Dr. Reynolds did not conduct herself as a reasonably competent practitioner. With regard to the examination (it was not an assessment of the constant abdominal pain, nor of the possibility that its cause was a developing uterine rupture) it may be questioned just how thorough and extensive it was, given the fact that neither Nurse Kinash, nor Dr. Reynolds ever considered whether the pain might have been caused by a developing uterine rupture, and perhaps even more importantly, the limited time available to Dr. Reynolds to have conducted the examination prior to her rupturing the membrane. In this regard she said that she talked to Nurse Kinash, talked to Mrs. Strachan, examined her stomach, examined her vagina and then reviewed the strips. The evidence is that she arrived at the hospital at 5:25 or 5:30 a.m., and that the amniotic membranes were ruptured at 5:33 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352</w:t>
      </w:r>
      <w:r>
        <w:rPr>
          <w:rFonts w:ascii="arial" w:eastAsia="arial" w:hAnsi="arial" w:cs="arial"/>
          <w:color w:val="000000"/>
          <w:sz w:val="20"/>
          <w:lang w:val="en-US" w:eastAsia="en-US" w:bidi="ar-SA"/>
        </w:rPr>
        <w:t>  At trial on direct examination, Dr. McTaggart was asked what he meant by the word "alarming" in his statement that "fetal monitoring strips were not alarming" in relation to the usual tests of "reassuring or non-reassuring". He said that it was a concept that he applied to his own judgment when using strips. He feels that the usual categories, reassuring and non-reassuring, do not reflect to him the nature of the decision which he has to make.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For instance, some strips, while one might grant that they were non-reassuring, taken in context with other factors, they would not have necessarily called for immediate changed treatment. And at other times strips are so distinctly and arguably abnormal that they -- they call for an immediate change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It is his personal way of interpreting the strips.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353</w:t>
      </w:r>
      <w:r>
        <w:rPr>
          <w:rFonts w:ascii="arial" w:eastAsia="arial" w:hAnsi="arial" w:cs="arial"/>
          <w:color w:val="000000"/>
          <w:sz w:val="20"/>
          <w:lang w:val="en-US" w:eastAsia="en-US" w:bidi="ar-SA"/>
        </w:rPr>
        <w:t>  He then used an example to illustrate the point.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I was seeing a child that I was trying to assess who had no fever at all, I would describe the temperature as reassuring. If the child had a fever of 100 or 101, that would be non-reassuring. And if a child had a fever of 105, that would be alarming.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It is a question of degree in the way he applies the finding. I have concluded from his evidence, particularly his illustration, that when he uses the word, "alarming", he is referring to a situation which is more than non-reassuring, but nevertheless is non-reassuring. It is a test which seems to me to be unsafe to apply in the circumstances of this case, in a situation where symptoms are non-reassuring and the issue is whether the symptoms might possibly be evidence of a developing uterine rupture. The lesser test, apparently of the profession, would surely be suffice to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354</w:t>
      </w:r>
      <w:r>
        <w:rPr>
          <w:rFonts w:ascii="arial" w:eastAsia="arial" w:hAnsi="arial" w:cs="arial"/>
          <w:color w:val="000000"/>
          <w:sz w:val="20"/>
          <w:lang w:val="en-US" w:eastAsia="en-US" w:bidi="ar-SA"/>
        </w:rPr>
        <w:t>  Dr. McTaggart was next asked by Mr. Samtani whether he agreed with Dr. Feinstadt that Dr. Reynolds should have been concerned about the possibility of dehiscence and the risk of developing uterine rupture when notified by Nurse Kinash of the continuous pain. He seemed to say that everything depended upon the opinion of the telephoning nurse, and the degree of concern which she indicated to the doctor.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My </w:t>
      </w:r>
      <w:r>
        <w:rPr>
          <w:rFonts w:ascii="arial" w:eastAsia="arial" w:hAnsi="arial" w:cs="arial"/>
          <w:color w:val="000000"/>
          <w:sz w:val="20"/>
          <w:u w:val="single"/>
          <w:lang w:val="en-US" w:eastAsia="en-US" w:bidi="ar-SA"/>
        </w:rPr>
        <w:t>answer</w:t>
      </w:r>
      <w:r>
        <w:rPr>
          <w:rFonts w:ascii="arial" w:eastAsia="arial" w:hAnsi="arial" w:cs="arial"/>
          <w:color w:val="000000"/>
          <w:sz w:val="20"/>
          <w:lang w:val="en-US" w:eastAsia="en-US" w:bidi="ar-SA"/>
        </w:rPr>
        <w:t xml:space="preserve"> really in a sense </w:t>
      </w:r>
      <w:r>
        <w:rPr>
          <w:rFonts w:ascii="arial" w:eastAsia="arial" w:hAnsi="arial" w:cs="arial"/>
          <w:color w:val="000000"/>
          <w:sz w:val="20"/>
          <w:u w:val="single"/>
          <w:lang w:val="en-US" w:eastAsia="en-US" w:bidi="ar-SA"/>
        </w:rPr>
        <w:t>depends on the level of concern</w:t>
      </w:r>
      <w:r>
        <w:rPr>
          <w:rFonts w:ascii="arial" w:eastAsia="arial" w:hAnsi="arial" w:cs="arial"/>
          <w:color w:val="000000"/>
          <w:sz w:val="20"/>
          <w:lang w:val="en-US" w:eastAsia="en-US" w:bidi="ar-SA"/>
        </w:rPr>
        <w:t xml:space="preserve"> that was advanced to Dr. Reynolds when the call was made. She made ... she was dealing with experienced delivery room nurses with whom I believe she was familiar and I have no indication that they conveyed to her any </w:t>
      </w:r>
      <w:r>
        <w:rPr>
          <w:rFonts w:ascii="arial" w:eastAsia="arial" w:hAnsi="arial" w:cs="arial"/>
          <w:color w:val="000000"/>
          <w:sz w:val="20"/>
          <w:u w:val="single"/>
          <w:lang w:val="en-US" w:eastAsia="en-US" w:bidi="ar-SA"/>
        </w:rPr>
        <w:t>particular alarm</w:t>
      </w:r>
      <w:r>
        <w:rPr>
          <w:rFonts w:ascii="arial" w:eastAsia="arial" w:hAnsi="arial" w:cs="arial"/>
          <w:color w:val="000000"/>
          <w:sz w:val="20"/>
          <w:lang w:val="en-US" w:eastAsia="en-US" w:bidi="ar-SA"/>
        </w:rPr>
        <w:t xml:space="preserve"> beyond a desire to have her come to assess the situation. And absent any </w:t>
      </w:r>
      <w:r>
        <w:rPr>
          <w:rFonts w:ascii="arial" w:eastAsia="arial" w:hAnsi="arial" w:cs="arial"/>
          <w:color w:val="000000"/>
          <w:sz w:val="20"/>
          <w:u w:val="single"/>
          <w:lang w:val="en-US" w:eastAsia="en-US" w:bidi="ar-SA"/>
        </w:rPr>
        <w:t>particular alarm</w:t>
      </w:r>
      <w:r>
        <w:rPr>
          <w:rFonts w:ascii="arial" w:eastAsia="arial" w:hAnsi="arial" w:cs="arial"/>
          <w:color w:val="000000"/>
          <w:sz w:val="20"/>
          <w:lang w:val="en-US" w:eastAsia="en-US" w:bidi="ar-SA"/>
        </w:rPr>
        <w:t xml:space="preserve"> conveyed to her, I believe her response to go promptly to the hospital and assess the situation for herself ... was an appropriate response.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He would not agree that the fact that the pain had subsided should not have been reassuring to Dr. Reynolds. Nor would he agree with the opinion that the ARM was contra indicated in the circumstances. I would observe that in context, the information of constant pain for a fairly lengthy period of time should have been alarming enough; also that Dr. Reynolds cannot discharge her duty to Mrs. Strachan and Travis by saying that she mistakenly relied on the nurse. Finally, I observe, that it seems to me that Dr. Reynolds simply could not rely on the "level of concern" indicated by Nurse Kinash. There would be an obligation on her to make enquires to satisfy herself as to the nature and extent of the abdominal pain, and why the experienced nurse was calling her to tell her about it.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Cross-Examination by Mr. Smith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355</w:t>
      </w:r>
      <w:r>
        <w:rPr>
          <w:rFonts w:ascii="arial" w:eastAsia="arial" w:hAnsi="arial" w:cs="arial"/>
          <w:color w:val="000000"/>
          <w:sz w:val="20"/>
          <w:lang w:val="en-US" w:eastAsia="en-US" w:bidi="ar-SA"/>
        </w:rPr>
        <w:t>  It was suggested to Dr. McTaggart that if Dr. Reynolds had conducted herself in the way Dr. Feinstadt suggested, the tragedy would not have occurred. Dr. McTaggart said that the question was rhetorical and that in effect he could not assume anything, that the response would have to come from an obstetrician. The questioning resumed and he was given two assumptions to assume as facts for the purposes of his answer. In effect he would not assume them, and he did not answer the question. I cite this small point only as an illustration of how much of an advocate Dr. McTaggart had become.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356</w:t>
      </w:r>
      <w:r>
        <w:rPr>
          <w:rFonts w:ascii="arial" w:eastAsia="arial" w:hAnsi="arial" w:cs="arial"/>
          <w:color w:val="000000"/>
          <w:sz w:val="20"/>
          <w:lang w:val="en-US" w:eastAsia="en-US" w:bidi="ar-SA"/>
        </w:rPr>
        <w:t>  After acknowledging that he had read the discoveries in this case, Dr. McTaggart was asked: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from those sources, that is, from medical record and from the discovery, you stated you distilled and stated -- stated the most important facts on which your opinion is based?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did.</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those facts are stated in your Report?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They are.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where there was uncertainty in any one source of information or there was differences between those sources of information, did you assume -- did you select and assume those facts most favourable to Dr. Reynolds?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think I -- facts are the facts, so I -- I don't think -- they're there. I'm not sure what you mean by "choosing the facts".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you had to say in your Report what facts were important to your opinion.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in some cases did you -- well, were you aware that in some cases there may have been differences between, say, what the Record shows and what the discovery showed?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don't recall those.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357</w:t>
      </w:r>
      <w:r>
        <w:rPr>
          <w:rFonts w:ascii="arial" w:eastAsia="arial" w:hAnsi="arial" w:cs="arial"/>
          <w:color w:val="000000"/>
          <w:sz w:val="20"/>
          <w:lang w:val="en-US" w:eastAsia="en-US" w:bidi="ar-SA"/>
        </w:rPr>
        <w:t>  The cross-examination continued and again demonstrated advocacy on the part of Dr. McTaggart, and much reluctance to admit that in gathering the facts he favoured Dr. Reynolds, or that he might have been mistaken. A good example is his statement pertaining to Nurse Kinash's telephone conversation with Dr. Reynolds that "concern was fairly routinely conveyed" and "Nurse Kinash had not apprehended any concerns beyond those of a typical labour". He acknowledged reading in Nurse Kinash's transcript where she wondered whether the pain was related to a possible placental abruption, and it was suggested to him that that was hardly routine. His answers were lengthy and included that it was routine in almost all labours for the nurses to call and convey a routine concern to a physician with a request that they now come in and perform an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358</w:t>
      </w:r>
      <w:r>
        <w:rPr>
          <w:rFonts w:ascii="arial" w:eastAsia="arial" w:hAnsi="arial" w:cs="arial"/>
          <w:color w:val="000000"/>
          <w:sz w:val="20"/>
          <w:lang w:val="en-US" w:eastAsia="en-US" w:bidi="ar-SA"/>
        </w:rPr>
        <w:t>  After agreeing that a placental abruption is an obstetrical emergency, and life threatening, he was asked: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I'd like you to assume that a nurse is concerned about a placental abruption, and I take it you would expect the nurse to convey that opinion to the doctor?</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There are different ways in which a nurse could convey that concern to the doctor</w:t>
            </w:r>
            <w:r>
              <w:rPr>
                <w:rFonts w:ascii="arial" w:eastAsia="arial" w:hAnsi="arial" w:cs="arial"/>
                <w:color w:val="000000"/>
                <w:sz w:val="18"/>
                <w:lang w:val="en-US" w:eastAsia="en-US" w:bidi="ar-SA"/>
              </w:rPr>
              <w:t>. Obstetrical nurses are very experienced. They are in attendance when there are major bad events, and they have their own levels of conveying alarm. If -- if a nurse is uncertain about the source of the pain and she is not certain that it is this pain that has got her attention is clearly pretending [sic] a disaster.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Clearly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858"/>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Witness:</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Pretending [sic] -- portending, predicting. then she may say -- may ask the doctor to come in, to say, I would like your -- I would like your assessment of this pain; I have some concern that I may be seeing a placental abruption. But I would characterize that as routine in obstetrical care. That is the way information gets conveyed from one level to another.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359</w:t>
      </w:r>
      <w:r>
        <w:rPr>
          <w:rFonts w:ascii="arial" w:eastAsia="arial" w:hAnsi="arial" w:cs="arial"/>
          <w:color w:val="000000"/>
          <w:sz w:val="20"/>
          <w:lang w:val="en-US" w:eastAsia="en-US" w:bidi="ar-SA"/>
        </w:rPr>
        <w:t>  The same result was achieved when the witness was referred to Nurse Kinash's discovery evidence where she said that at the time she was concerned about a possible very serious complication of labour. He did not recall reading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360</w:t>
      </w:r>
      <w:r>
        <w:rPr>
          <w:rFonts w:ascii="arial" w:eastAsia="arial" w:hAnsi="arial" w:cs="arial"/>
          <w:color w:val="000000"/>
          <w:sz w:val="20"/>
          <w:lang w:val="en-US" w:eastAsia="en-US" w:bidi="ar-SA"/>
        </w:rPr>
        <w:t>  Nurse Kinash's answers were read to him and he was then asked: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if Nurse Kinash was concerned about a serious complication of labour, that does not fit the statement in your Report that Nurse Kinash had not apprehended any concerns beyond those of a typical labour, does it?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see no merit in setting out Dr. McTaggart's response to the question. I will simply say that he never did answer it, other than to say that it was typical or routine for a nurse who develops a concern to call the family doctor. His final answer that day was: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did not take it that Nurse Kinash felt necessarily that an abruption was occurring. She was conveying that a pain was occurring that in her mind might be an abruption but might not and she wished the evaluation of the doctor. And that type of communication is typical in nurse/GP obstetrical care.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the following day Dr. McTaggart's cross-examination continued, and with respect, his answers were no more responsive. The above examples illustrate how well he had become an advocate.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361</w:t>
      </w:r>
      <w:r>
        <w:rPr>
          <w:rFonts w:ascii="arial" w:eastAsia="arial" w:hAnsi="arial" w:cs="arial"/>
          <w:color w:val="000000"/>
          <w:sz w:val="20"/>
          <w:lang w:val="en-US" w:eastAsia="en-US" w:bidi="ar-SA"/>
        </w:rPr>
        <w:t>  Dr. McTaggart agreed that the usual practice, when a nurse or physician performs a vaginal examination, is to document the finding. When it was suggested that it would include both the dilation of the cervix and the position of the presenting part, he said that that was correct. He then added that it depended on the circumstances. For example, if the physician was in a situation of rapidly evolving labour. He agreed that the common practice was to record it, adding again that it was not always reported when "events are in flow".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362</w:t>
      </w:r>
      <w:r>
        <w:rPr>
          <w:rFonts w:ascii="arial" w:eastAsia="arial" w:hAnsi="arial" w:cs="arial"/>
          <w:color w:val="000000"/>
          <w:sz w:val="20"/>
          <w:lang w:val="en-US" w:eastAsia="en-US" w:bidi="ar-SA"/>
        </w:rPr>
        <w:t>  He was then referred to his statement in his Report that Dr. Reynolds found that the head was extremely well applied to the cervix. While agreeing that the Hospital Records do not disclose that Dr. Reynolds documented that the head was well applied to the cervix, he said that his Opinion said that she noted it and that the quotation suggested to him that he obtained that information from a note. He believed that he was quoting from the Record before him. He then reviewed the Records and found no notation.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363</w:t>
      </w:r>
      <w:r>
        <w:rPr>
          <w:rFonts w:ascii="arial" w:eastAsia="arial" w:hAnsi="arial" w:cs="arial"/>
          <w:color w:val="000000"/>
          <w:sz w:val="20"/>
          <w:lang w:val="en-US" w:eastAsia="en-US" w:bidi="ar-SA"/>
        </w:rPr>
        <w:t>  When it was pointed out to Dr. McTaggart that Dr. Reynolds does not note this fact in her Report written at 8:00 a.m., he said: "She doesn't say it here, but a confident physician will not be doing a rupture of the membrane without making that kind of an assessment". He also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read the Record in its entirety, and I read her portion of the Record which said that when she performed the rupture that the head was well -- was well applied. Because that would be the standard of a competent physician, and she described that, and I took that as an assumption.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364</w:t>
      </w:r>
      <w:r>
        <w:rPr>
          <w:rFonts w:ascii="arial" w:eastAsia="arial" w:hAnsi="arial" w:cs="arial"/>
          <w:color w:val="000000"/>
          <w:sz w:val="20"/>
          <w:lang w:val="en-US" w:eastAsia="en-US" w:bidi="ar-SA"/>
        </w:rPr>
        <w:t>  It was then pointed out to the witness that he obtained the information from Question 379 of Dr. Reynolds' examination for discovery. He agreed that that was the "indication of how Dr. Reynolds conducted herself that night that I put stock in". And he repeated that he would "not necessarily expect that kind of detail to be recorded in a Progress Note". I have serious concerns with the doctor's evidence in this, and other, areas. While he may be well-meaning, in my view, his perhaps bias in favour of Dr. Reynolds was demonstrated at trial on more than one occasion.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365</w:t>
      </w:r>
      <w:r>
        <w:rPr>
          <w:rFonts w:ascii="arial" w:eastAsia="arial" w:hAnsi="arial" w:cs="arial"/>
          <w:color w:val="000000"/>
          <w:sz w:val="20"/>
          <w:lang w:val="en-US" w:eastAsia="en-US" w:bidi="ar-SA"/>
        </w:rPr>
        <w:t>  Dr. McTaggart was then pressed to agree that without relying on the discovery evidence almost four years after the fact, he could not possibly have defended Dr. Reynolds' decision to rupture the membrane when the head was still at -2 station. His answer was: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could have defended the decision of a doctor to rupture membrane based upon her establishing that she had assessed the situation. I would not expect the details which become, unfortunately, relevant later on to be reported in every Progress Note. I would expect her if she had ruptured the membranes to have done an assessment and found an appropriate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He did agree that it would be dangerous to rupture the membrane with the head at -2 station.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366</w:t>
      </w:r>
      <w:r>
        <w:rPr>
          <w:rFonts w:ascii="arial" w:eastAsia="arial" w:hAnsi="arial" w:cs="arial"/>
          <w:color w:val="000000"/>
          <w:sz w:val="20"/>
          <w:lang w:val="en-US" w:eastAsia="en-US" w:bidi="ar-SA"/>
        </w:rPr>
        <w:t>  Dr. McTaggart was asked whether he was aware that the falling off, or a cessation of contractions, is a sign that may occur with a uterine rupture, and he said that he was. He was then referred to Nurse Kinash's evidence at discovery that her interpretation of the monitor strip between 5:00 and 5:17 a.m. was that contractions had fallen off and become less frequent. He agreed that while he would have seen this evidence, he does not refer to it in his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367</w:t>
      </w:r>
      <w:r>
        <w:rPr>
          <w:rFonts w:ascii="arial" w:eastAsia="arial" w:hAnsi="arial" w:cs="arial"/>
          <w:color w:val="000000"/>
          <w:sz w:val="20"/>
          <w:lang w:val="en-US" w:eastAsia="en-US" w:bidi="ar-SA"/>
        </w:rPr>
        <w:t>  Dr. McTaggart was then questioned with regard to his statement on p. 8 that the requirements for conducting an apparently normal VBAC "are not significantly different from those for any other similar labour". He agreed that while the risk of a developing uterine rupture was small, it had not been excluded. When it was suggested to him that VBAC patients "are neither normal nor low risk" he said: "they are a routine risk". He then had the statement put to him, contained in the 20th edition of Williams Obstetrics, that safety is relative and that VBAC patients are neither normal nor low risk; and he agreed with the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368</w:t>
      </w:r>
      <w:r>
        <w:rPr>
          <w:rFonts w:ascii="arial" w:eastAsia="arial" w:hAnsi="arial" w:cs="arial"/>
          <w:color w:val="000000"/>
          <w:sz w:val="20"/>
          <w:lang w:val="en-US" w:eastAsia="en-US" w:bidi="ar-SA"/>
        </w:rPr>
        <w:t>  He was then asked to agree that because of the risk present in VBAC labour, the situation required a high degree of vigilance. His answer was: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Some risk is present in all labours and </w:t>
      </w:r>
      <w:r>
        <w:rPr>
          <w:rFonts w:ascii="arial" w:eastAsia="arial" w:hAnsi="arial" w:cs="arial"/>
          <w:color w:val="000000"/>
          <w:sz w:val="20"/>
          <w:u w:val="single"/>
          <w:lang w:val="en-US" w:eastAsia="en-US" w:bidi="ar-SA"/>
        </w:rPr>
        <w:t>all labours require high vigilance</w:t>
      </w:r>
      <w:r>
        <w:rPr>
          <w:rFonts w:ascii="arial" w:eastAsia="arial" w:hAnsi="arial" w:cs="arial"/>
          <w:color w:val="000000"/>
          <w:sz w:val="20"/>
          <w:lang w:val="en-US" w:eastAsia="en-US" w:bidi="ar-SA"/>
        </w:rPr>
        <w:t xml:space="preserve">. A VBAC requires the -- at the outset the same level of vigilance going in as another labour, and that is -- that is what we were taught, was to </w:t>
      </w:r>
      <w:r>
        <w:rPr>
          <w:rFonts w:ascii="arial" w:eastAsia="arial" w:hAnsi="arial" w:cs="arial"/>
          <w:color w:val="000000"/>
          <w:sz w:val="20"/>
          <w:u w:val="single"/>
          <w:lang w:val="en-US" w:eastAsia="en-US" w:bidi="ar-SA"/>
        </w:rPr>
        <w:t>start with the presumption that it will proceed well and to react to problems if they develop</w:t>
      </w:r>
      <w:r>
        <w:rPr>
          <w:rFonts w:ascii="arial" w:eastAsia="arial" w:hAnsi="arial" w:cs="arial"/>
          <w:color w:val="000000"/>
          <w:sz w:val="20"/>
          <w:lang w:val="en-US" w:eastAsia="en-US" w:bidi="ar-SA"/>
        </w:rPr>
        <w:t>.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He did agree that there would need to be an index of suspicion for untoward events; that the attending physician must then be aware of the signs and symptoms that may accompany a uterine rupture or a developing uterine rupture.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369</w:t>
      </w:r>
      <w:r>
        <w:rPr>
          <w:rFonts w:ascii="arial" w:eastAsia="arial" w:hAnsi="arial" w:cs="arial"/>
          <w:color w:val="000000"/>
          <w:sz w:val="20"/>
          <w:lang w:val="en-US" w:eastAsia="en-US" w:bidi="ar-SA"/>
        </w:rPr>
        <w:t>  Dr. McTaggart was asked whether he was not troubled by the fact that according to what he considered to be an appropriate standard of medical care, a known complication with known catastrophic effects was not recognized, or even considered, until it was too late.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 I am not troubled, because in my review of the case I saw a general practitioner respond when asked to attend.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He then went on to review Dr. Reynolds' conduct with apparent approval.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370</w:t>
      </w:r>
      <w:r>
        <w:rPr>
          <w:rFonts w:ascii="arial" w:eastAsia="arial" w:hAnsi="arial" w:cs="arial"/>
          <w:color w:val="000000"/>
          <w:sz w:val="20"/>
          <w:lang w:val="en-US" w:eastAsia="en-US" w:bidi="ar-SA"/>
        </w:rPr>
        <w:t>  He was asked the question again, did he not find it disturbing or troubling that his standard, "what you consider to be a proper standard of medical care" allowed a major tragic complication that had not been recognized, or even considered, until it was too late. Dr. McTaggart said that he regarded that question as "the hindsight of the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371</w:t>
      </w:r>
      <w:r>
        <w:rPr>
          <w:rFonts w:ascii="arial" w:eastAsia="arial" w:hAnsi="arial" w:cs="arial"/>
          <w:color w:val="000000"/>
          <w:sz w:val="20"/>
          <w:lang w:val="en-US" w:eastAsia="en-US" w:bidi="ar-SA"/>
        </w:rPr>
        <w:t>  Dr. McTaggart was questioned as to what the response should be to a potential sign of danger. He was asked whether he was saying that when a potential sign of danger occurs, because the procedure is a generally safe one, one does not have to be concerned about the dangerous sign, however subtle it arises? He said "no", that was not what he was saying: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I'm saying that, </w:t>
            </w:r>
            <w:r>
              <w:rPr>
                <w:rFonts w:ascii="arial" w:eastAsia="arial" w:hAnsi="arial" w:cs="arial"/>
                <w:color w:val="000000"/>
                <w:sz w:val="18"/>
                <w:u w:val="single"/>
                <w:lang w:val="en-US" w:eastAsia="en-US" w:bidi="ar-SA"/>
              </w:rPr>
              <w:t>like any other labour</w:t>
            </w:r>
            <w:r>
              <w:rPr>
                <w:rFonts w:ascii="arial" w:eastAsia="arial" w:hAnsi="arial" w:cs="arial"/>
                <w:color w:val="000000"/>
                <w:sz w:val="18"/>
                <w:lang w:val="en-US" w:eastAsia="en-US" w:bidi="ar-SA"/>
              </w:rPr>
              <w:t xml:space="preserve">, if a sign arises, </w:t>
            </w:r>
            <w:r>
              <w:rPr>
                <w:rFonts w:ascii="arial" w:eastAsia="arial" w:hAnsi="arial" w:cs="arial"/>
                <w:color w:val="000000"/>
                <w:sz w:val="18"/>
                <w:u w:val="single"/>
                <w:lang w:val="en-US" w:eastAsia="en-US" w:bidi="ar-SA"/>
              </w:rPr>
              <w:t>it requires attention</w:t>
            </w:r>
            <w:r>
              <w:rPr>
                <w:rFonts w:ascii="arial" w:eastAsia="arial" w:hAnsi="arial" w:cs="arial"/>
                <w:color w:val="000000"/>
                <w:sz w:val="18"/>
                <w:lang w:val="en-US" w:eastAsia="en-US" w:bidi="ar-SA"/>
              </w:rPr>
              <w:t>, it requires assessment, and it requires interpretation to establish whether or not that sign leads on to a conclusion that there is a serious problem. (Emphasis added).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372</w:t>
      </w:r>
      <w:r>
        <w:rPr>
          <w:rFonts w:ascii="arial" w:eastAsia="arial" w:hAnsi="arial" w:cs="arial"/>
          <w:color w:val="000000"/>
          <w:sz w:val="20"/>
          <w:lang w:val="en-US" w:eastAsia="en-US" w:bidi="ar-SA"/>
        </w:rPr>
        <w:t>  He was also questioned about the urgency to recognize and deal with potential problems because of the fact that the people necessary to do the caesarean section are not in the hospital. He said that the scenario that was painted "exists every night in a community hospital where the staff are not on site". He added that it was absolutely routine for a general practitioner to spend time dealing with a case that has some level of apprehension, establishing either that things look fine and can be monitored, or calling for intervention when it becomes necessary. He did agree that all of that depended on the signs or symptoms that were found, and what complication it might portend "because that consideration dictates the time which may be available to address the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373</w:t>
      </w:r>
      <w:r>
        <w:rPr>
          <w:rFonts w:ascii="arial" w:eastAsia="arial" w:hAnsi="arial" w:cs="arial"/>
          <w:color w:val="000000"/>
          <w:sz w:val="20"/>
          <w:lang w:val="en-US" w:eastAsia="en-US" w:bidi="ar-SA"/>
        </w:rPr>
        <w:t xml:space="preserve">  Finally, Dr. McTaggart was asked to assume that on the morning in question Dr. Reynolds turned her mind to the question of whether the symptoms reported might possibly be related to a uterine rupture or a developing uterine rupture, and he then agreed to the following suppositions: the physician would have to consider the fact that a developing uterine rupture is indeed a known risk in VBAC patients. The physician would know that uterine rupture would be the worst thing that could happen in the circumstances. She would know that if it was a uterine rupture or a developing uterine rupture, the risk was of catastrophic injury or death, depending in part on the speed with which the matter was addressed. </w:t>
      </w:r>
      <w:r>
        <w:rPr>
          <w:rFonts w:ascii="arial" w:eastAsia="arial" w:hAnsi="arial" w:cs="arial"/>
          <w:color w:val="000000"/>
          <w:sz w:val="20"/>
          <w:u w:val="single"/>
          <w:lang w:val="en-US" w:eastAsia="en-US" w:bidi="ar-SA"/>
        </w:rPr>
        <w:t>The physician would know that if a rupture or impending rupture could not be ruled out "there would be a need for a caesarean section</w:t>
      </w:r>
      <w:r>
        <w:rPr>
          <w:rFonts w:ascii="arial" w:eastAsia="arial" w:hAnsi="arial" w:cs="arial"/>
          <w:color w:val="000000"/>
          <w:sz w:val="20"/>
          <w:lang w:val="en-US" w:eastAsia="en-US" w:bidi="ar-SA"/>
        </w:rPr>
        <w:t>". She would know that the obstetrician might have to move very quickly to perform the caesarean section. The physician would also have to consider whether a caesarean section could be done fast enough to prevent injury if the hospital staff were not in the hospital.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374</w:t>
      </w:r>
      <w:r>
        <w:rPr>
          <w:rFonts w:ascii="arial" w:eastAsia="arial" w:hAnsi="arial" w:cs="arial"/>
          <w:color w:val="000000"/>
          <w:sz w:val="20"/>
          <w:lang w:val="en-US" w:eastAsia="en-US" w:bidi="ar-SA"/>
        </w:rPr>
        <w:t>  I pause to note that in my opinion, Dr. McTaggart's evidence in the preceding paragraph does not answer or rebut the plaintiffs' case against Dr. Reynolds, or the case against the Hospital. In fact, in many ways the evidence supports the plaintiffs' case. I refer in particular to his opinion, that if a developing uterine rupture could not be ruled out, emergency caesarean section should be performed.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EVIDENCE OF DR. J. COOPER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375</w:t>
      </w:r>
      <w:r>
        <w:rPr>
          <w:rFonts w:ascii="arial" w:eastAsia="arial" w:hAnsi="arial" w:cs="arial"/>
          <w:color w:val="000000"/>
          <w:sz w:val="20"/>
          <w:lang w:val="en-US" w:eastAsia="en-US" w:bidi="ar-SA"/>
        </w:rPr>
        <w:t>  Dr. Cooper is an obstetrician and gynaecologist, like Dr. Doersam, and was called on behalf of Dr. Reynolds. His direct evidence is contained in his Report dated June 28, 2003. His opinion is based solely upon his review of the medical documents provided to him and of the transcripts of the evidence given at discovery by all four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376</w:t>
      </w:r>
      <w:r>
        <w:rPr>
          <w:rFonts w:ascii="arial" w:eastAsia="arial" w:hAnsi="arial" w:cs="arial"/>
          <w:color w:val="000000"/>
          <w:sz w:val="20"/>
          <w:lang w:val="en-US" w:eastAsia="en-US" w:bidi="ar-SA"/>
        </w:rPr>
        <w:t>  In his Report Dr. Cooper reviews in much detail the evidence and position of Dr. Reynolds, perhaps taking some liberties with regard to his interpretation of the facts. He observed that during a trial of vaginal delivery, following previous caesarean section, labour is managed no differently than a normal labour.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377</w:t>
      </w:r>
      <w:r>
        <w:rPr>
          <w:rFonts w:ascii="arial" w:eastAsia="arial" w:hAnsi="arial" w:cs="arial"/>
          <w:color w:val="000000"/>
          <w:sz w:val="20"/>
          <w:lang w:val="en-US" w:eastAsia="en-US" w:bidi="ar-SA"/>
        </w:rPr>
        <w:t>  He also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One of the most consistent early signs of scar dehiscence and/or rupture is an abnormal fetal heart rate pattern. Other findings are more variable and include </w:t>
      </w:r>
      <w:r>
        <w:rPr>
          <w:rFonts w:ascii="arial" w:eastAsia="arial" w:hAnsi="arial" w:cs="arial"/>
          <w:color w:val="000000"/>
          <w:sz w:val="20"/>
          <w:u w:val="single"/>
          <w:lang w:val="en-US" w:eastAsia="en-US" w:bidi="ar-SA"/>
        </w:rPr>
        <w:t>uterine or abdominal pain and</w:t>
      </w:r>
      <w:r>
        <w:rPr>
          <w:rFonts w:ascii="arial" w:eastAsia="arial" w:hAnsi="arial" w:cs="arial"/>
          <w:color w:val="000000"/>
          <w:sz w:val="20"/>
          <w:lang w:val="en-US" w:eastAsia="en-US" w:bidi="ar-SA"/>
        </w:rPr>
        <w:t xml:space="preserve"> ...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378</w:t>
      </w:r>
      <w:r>
        <w:rPr>
          <w:rFonts w:ascii="arial" w:eastAsia="arial" w:hAnsi="arial" w:cs="arial"/>
          <w:color w:val="000000"/>
          <w:sz w:val="20"/>
          <w:lang w:val="en-US" w:eastAsia="en-US" w:bidi="ar-SA"/>
        </w:rPr>
        <w:t>  Dr. Cooper states at p. 10: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my opinion that Dr. Reynolds met the standard of care of a reasonably competent family physician in her treatment and care of Mrs. Strachan during her admissions to Kelowna General Hospital on January 22 and 23,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379</w:t>
      </w:r>
      <w:r>
        <w:rPr>
          <w:rFonts w:ascii="arial" w:eastAsia="arial" w:hAnsi="arial" w:cs="arial"/>
          <w:color w:val="000000"/>
          <w:sz w:val="20"/>
          <w:lang w:val="en-US" w:eastAsia="en-US" w:bidi="ar-SA"/>
        </w:rPr>
        <w:t>  After setting out Dr. Reynolds' conduct early on, Dr. Cooper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Dr. Reynolds was appropriately notified by nursing personnel </w:t>
      </w:r>
      <w:r>
        <w:rPr>
          <w:rFonts w:ascii="arial" w:eastAsia="arial" w:hAnsi="arial" w:cs="arial"/>
          <w:color w:val="000000"/>
          <w:sz w:val="20"/>
          <w:u w:val="single"/>
          <w:lang w:val="en-US" w:eastAsia="en-US" w:bidi="ar-SA"/>
        </w:rPr>
        <w:t>about a change in the material labour condition (constant abdominal pain)</w:t>
      </w:r>
      <w:r>
        <w:rPr>
          <w:rFonts w:ascii="arial" w:eastAsia="arial" w:hAnsi="arial" w:cs="arial"/>
          <w:color w:val="000000"/>
          <w:sz w:val="20"/>
          <w:lang w:val="en-US" w:eastAsia="en-US" w:bidi="ar-SA"/>
        </w:rPr>
        <w:t xml:space="preserve">. At that time there were no other material or fetal health concerns to immediately require an obstetrical specialist assessment. </w:t>
      </w:r>
      <w:r>
        <w:rPr>
          <w:rFonts w:ascii="arial" w:eastAsia="arial" w:hAnsi="arial" w:cs="arial"/>
          <w:color w:val="000000"/>
          <w:sz w:val="20"/>
          <w:u w:val="single"/>
          <w:lang w:val="en-US" w:eastAsia="en-US" w:bidi="ar-SA"/>
        </w:rPr>
        <w:t>A physician assessment was what was required</w:t>
      </w:r>
      <w:r>
        <w:rPr>
          <w:rFonts w:ascii="arial" w:eastAsia="arial" w:hAnsi="arial" w:cs="arial"/>
          <w:color w:val="000000"/>
          <w:sz w:val="20"/>
          <w:lang w:val="en-US" w:eastAsia="en-US" w:bidi="ar-SA"/>
        </w:rPr>
        <w:t>. Dr. Reynolds appropriately attended the hospital to assess Mrs. Strachan. Her attendance was within a reasonable and appropriate time frame.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380</w:t>
      </w:r>
      <w:r>
        <w:rPr>
          <w:rFonts w:ascii="arial" w:eastAsia="arial" w:hAnsi="arial" w:cs="arial"/>
          <w:color w:val="000000"/>
          <w:sz w:val="20"/>
          <w:lang w:val="en-US" w:eastAsia="en-US" w:bidi="ar-SA"/>
        </w:rPr>
        <w:t>  I observe that all of the defence expert doctors said that the constant abdominal pain required immediate assessment. Dr. Cooper said that Dr. Reynolds' assessment was thorough. I have some difficulty with this bald statement, in that the examination was not conducted in the context of attempting to exclude the possibility of uterine rupture, and there was little time for it; also it cannot be said to have been thorough because it did not persist in finding the reason for the constant abdominal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381</w:t>
      </w:r>
      <w:r>
        <w:rPr>
          <w:rFonts w:ascii="arial" w:eastAsia="arial" w:hAnsi="arial" w:cs="arial"/>
          <w:color w:val="000000"/>
          <w:sz w:val="20"/>
          <w:lang w:val="en-US" w:eastAsia="en-US" w:bidi="ar-SA"/>
        </w:rPr>
        <w:t>  According to Dr. Cooper, everything that Dr. Reynolds did was appropriate. It is seen that I am unable to agree with his judgment or conclusion. With respect, they ignore the fact that Mrs. Strachan was in late labour and had experienced constant abdominal pain for a period of at least 40 minutes, that Dr. Reynolds never even considered the possibility of a uterine rupture developing, that she did not exclude that possibility and, more importantly, in the context of his Report, the strips were, in my view, sufficiently abnormal as to support a call for a caesarean section in light of the previous period of constant abdominal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382</w:t>
      </w:r>
      <w:r>
        <w:rPr>
          <w:rFonts w:ascii="arial" w:eastAsia="arial" w:hAnsi="arial" w:cs="arial"/>
          <w:color w:val="000000"/>
          <w:sz w:val="20"/>
          <w:lang w:val="en-US" w:eastAsia="en-US" w:bidi="ar-SA"/>
        </w:rPr>
        <w:t>  I turn now to Dr. Cooper's evidence at trial. I observe that he said on direct examination that most of the obstetricians and gynaecologists in the Province, including himself, do not really provide primary obstetrical care to VBAC patients. It is my understanding from Dr. Doersam's evidence that he does in fact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383</w:t>
      </w:r>
      <w:r>
        <w:rPr>
          <w:rFonts w:ascii="arial" w:eastAsia="arial" w:hAnsi="arial" w:cs="arial"/>
          <w:color w:val="000000"/>
          <w:sz w:val="20"/>
          <w:lang w:val="en-US" w:eastAsia="en-US" w:bidi="ar-SA"/>
        </w:rPr>
        <w:t>  Dr. Cooper practiced as an obstetrician from 1994 to 1999 with privileges at the Cowichan District Hospital, which is a community hospital. There the obstetricians, anaesthetist and staff are present 24 hours a day. Since January 2000 he has practiced in Victoria. He practices with a group of obstetricians, each of whom are on call every fifth day. He has had two cases of uterine rupture since commencing practice.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384</w:t>
      </w:r>
      <w:r>
        <w:rPr>
          <w:rFonts w:ascii="arial" w:eastAsia="arial" w:hAnsi="arial" w:cs="arial"/>
          <w:color w:val="000000"/>
          <w:sz w:val="20"/>
          <w:lang w:val="en-US" w:eastAsia="en-US" w:bidi="ar-SA"/>
        </w:rPr>
        <w:t>  Dr. Cooper was asked to explain what he meant by "abnormal fetal heart rate pattern". He said that one looks for three features. First, a sustained fetal heart rate tachycardia, where the baby's heart rate is beating too quickly or too fast. Anything more than 160 would be abnormal. Second, the opposite situation, a fetal heart rate bradycardia, when the heart rate slows abnormally. Anything less than 100 beats per minute would be abnormal. The third worrisome abnormal fetal heart pattern would be a feature called deceleration. This occurs when the fetal heart rate drops below an average or baseline which would be considered normal, and then returns back to normal.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385</w:t>
      </w:r>
      <w:r>
        <w:rPr>
          <w:rFonts w:ascii="arial" w:eastAsia="arial" w:hAnsi="arial" w:cs="arial"/>
          <w:color w:val="000000"/>
          <w:sz w:val="20"/>
          <w:lang w:val="en-US" w:eastAsia="en-US" w:bidi="ar-SA"/>
        </w:rPr>
        <w:t>  It is not clear to me whether these issues are problems which appear late in the day, or that the suggestion is they are the only ones to be seen. It would seem to me that any "changes" seen on the strip would have to be looked at in light of the constant abdominal pain, and the risk of a developing uterine rupture.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386</w:t>
      </w:r>
      <w:r>
        <w:rPr>
          <w:rFonts w:ascii="arial" w:eastAsia="arial" w:hAnsi="arial" w:cs="arial"/>
          <w:color w:val="000000"/>
          <w:sz w:val="20"/>
          <w:lang w:val="en-US" w:eastAsia="en-US" w:bidi="ar-SA"/>
        </w:rPr>
        <w:t>  Dr. Cooper did not agree with Dr. Doersam's evidence that generally when an obstetrician is called and told of constant abdominal pain, that is sufficient to immediately arrange for a caesarean section. He said the reason was that in pregnancy and in labour there are many causes for abdominal pain, and not every one of them is because of a uterine rupture. He did agree that the patient had to be medically assessed. He would not consider it inappropriate unless there were other worrisome features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387</w:t>
      </w:r>
      <w:r>
        <w:rPr>
          <w:rFonts w:ascii="arial" w:eastAsia="arial" w:hAnsi="arial" w:cs="arial"/>
          <w:color w:val="000000"/>
          <w:sz w:val="20"/>
          <w:lang w:val="en-US" w:eastAsia="en-US" w:bidi="ar-SA"/>
        </w:rPr>
        <w:t>  He did not agree with Dr. Doersam's evidence that the complaint of abdominal pain by itself in a VBAC patient is an obstetrical emergency. He gave the same reason he gave in response to the first question, and added that in fact the majority of the causes for completely unexplained abdominal pain will never be explained.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388</w:t>
      </w:r>
      <w:r>
        <w:rPr>
          <w:rFonts w:ascii="arial" w:eastAsia="arial" w:hAnsi="arial" w:cs="arial"/>
          <w:color w:val="000000"/>
          <w:sz w:val="20"/>
          <w:lang w:val="en-US" w:eastAsia="en-US" w:bidi="ar-SA"/>
        </w:rPr>
        <w:t>  I pause at this point to observe that Dr. Cooper's position concerns me, in that it is not those other causes with which the doctor must be concerned, and which consideration of them could be fatal time wise. The doctor's only concern should be about the possibility that the abdominal pain is caused by a developing uterine rupture, because of its catastrophic results and the speed with which it occurs. And I am satisfied on the evidence that if the risk could not have been excluded for any reason, including lack of time, an emergency caesarean section should have been performed. Apparently the doctor would have no way of telling how much time she had before the rupture might occur. In this regard I note that at the time Mrs. Strachan was in late labour.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389</w:t>
      </w:r>
      <w:r>
        <w:rPr>
          <w:rFonts w:ascii="arial" w:eastAsia="arial" w:hAnsi="arial" w:cs="arial"/>
          <w:color w:val="000000"/>
          <w:sz w:val="20"/>
          <w:lang w:val="en-US" w:eastAsia="en-US" w:bidi="ar-SA"/>
        </w:rPr>
        <w:t>  In his direct evidence Dr. Cooper went on, in effect, to disagree with every statement or opinion of Dr. Doersam put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390</w:t>
      </w:r>
      <w:r>
        <w:rPr>
          <w:rFonts w:ascii="arial" w:eastAsia="arial" w:hAnsi="arial" w:cs="arial"/>
          <w:color w:val="000000"/>
          <w:sz w:val="20"/>
          <w:lang w:val="en-US" w:eastAsia="en-US" w:bidi="ar-SA"/>
        </w:rPr>
        <w:t>  Finally, he would not agree that in the context of a trial of labour, novel, severe, constant abdominal pain constitutes an obstetrical emergency. He did agree, however, that "it certainly indicates a change in the labouring condition that requires medical assessment". And finally, with regard to Dr. Doersam's statement that one could not disregard the historical information of constant abdominal pain,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her assessment found both the mother's health and the fetal health to be fine. No cause was identified to account for the pain that she had complained of, but by the time she got there the pain was no longer present, and I couldn't justify doing an emergency caesarean section for a condition which no longer exists.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Again, repeating myself, I observe that Dr. Reynolds did not perform the "medical assessment" which he was obviously referring to, and it is not clear to me how Dr. Cooper can say that the condition no longer existed. In this regard, Dr. Feinstadt's heart attack analogy comes to mind. I am unable to agree with Dr. Cooper's opinions in place of those of Dr. Doersam, which I find to be objective, contextual and very persuasive.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Cross-Examination By Ms. Harper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391</w:t>
      </w:r>
      <w:r>
        <w:rPr>
          <w:rFonts w:ascii="arial" w:eastAsia="arial" w:hAnsi="arial" w:cs="arial"/>
          <w:color w:val="000000"/>
          <w:sz w:val="20"/>
          <w:lang w:val="en-US" w:eastAsia="en-US" w:bidi="ar-SA"/>
        </w:rPr>
        <w:t>  Dr. Cooper was referred to the Guidelines pertaining to the induction of labour. He said that they may not completely apply in the present case; that in any event that when doing an amniotomy it is not how high or how low the presenting part is. The most important concern is how well the fetal head is applied to the cervix. He also seemed to agree with counsel's suggestion that in 1999 the induction of labour Guidelines were changed so that the only criteria to be considered was that the presenting part was well applied to the cervix.</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Cross-Examination By Mr. Smith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392</w:t>
      </w:r>
      <w:r>
        <w:rPr>
          <w:rFonts w:ascii="arial" w:eastAsia="arial" w:hAnsi="arial" w:cs="arial"/>
          <w:color w:val="000000"/>
          <w:sz w:val="20"/>
          <w:lang w:val="en-US" w:eastAsia="en-US" w:bidi="ar-SA"/>
        </w:rPr>
        <w:t>  Dr. Cooper was questioned in some detail with regard to his conclusion that when Dr. Reynolds arrived at the hospital the pain had gone. The exchange boiled down to counsel maintaining that the Records show that the abdominal pain was still present at 5:25 a.m., which was counsel's position, and the witness not budging from his position that it was five or ten minutes later, at 5:35 a.m. when the amniotomy was performed. Counsel pointed out that the note for 5:35 a.m. referred to a number of things which had happened; Dr. Reynolds had performed her examinations and the amniotomy had been performed as well. Counsel suggested to the witness that he did not know whether 5:35 a.m. was the end of the process or the beginning of the process. The witness, who by then had become somewhat adversarial, replied back "nor do you", and that he agreed. I am satisfied that the amniotomy probably was performed at 5:33 a.m., and that the 5:35 a.m. time records events which had already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393</w:t>
      </w:r>
      <w:r>
        <w:rPr>
          <w:rFonts w:ascii="arial" w:eastAsia="arial" w:hAnsi="arial" w:cs="arial"/>
          <w:color w:val="000000"/>
          <w:sz w:val="20"/>
          <w:lang w:val="en-US" w:eastAsia="en-US" w:bidi="ar-SA"/>
        </w:rPr>
        <w:t>  I pause to observe at this point that I am not satisfied the constant abdominal pain was entirely gone, given Mrs. Strachan's circumstances at the time the ARM was performed. This is particularly so since the pain was still recorded as present, although not as severe, at 5:25 a.m. I have therefore concluded that for the purposes of Dr. Reynolds' assessment, some of the pain was still present at that time. However, I do not think that it makes any difference.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394</w:t>
      </w:r>
      <w:r>
        <w:rPr>
          <w:rFonts w:ascii="arial" w:eastAsia="arial" w:hAnsi="arial" w:cs="arial"/>
          <w:color w:val="000000"/>
          <w:sz w:val="20"/>
          <w:lang w:val="en-US" w:eastAsia="en-US" w:bidi="ar-SA"/>
        </w:rPr>
        <w:t>  In my view it verges on the ridiculous to suggest that for the purposes of Dr. Reynolds' assessment there is a substantial difference between the situation where the pain was still present when she made her assessment, which I find to be the case, and the situation where the pain had suddenly disappeared in the space of a minute or two. In this regard, Dr. Feinstadt's analogy to the person with the subsiding symptoms of heart attack is persuasive again.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395</w:t>
      </w:r>
      <w:r>
        <w:rPr>
          <w:rFonts w:ascii="arial" w:eastAsia="arial" w:hAnsi="arial" w:cs="arial"/>
          <w:color w:val="000000"/>
          <w:sz w:val="20"/>
          <w:lang w:val="en-US" w:eastAsia="en-US" w:bidi="ar-SA"/>
        </w:rPr>
        <w:t>  Further, in my view, whether it was still there or just gone, the fact that Mrs. Strachan had undergone an unexplained constant abdominal pain for at least 40 minutes should have been a worrisome feature, to use Dr. Cooper's words, giving rise to an informed and critical decision to order an immediate caesarean section; as opposed to an almost casual examination or investigation of Mrs. Strachan in the sense that neither the doctor, nor the nurse, ever considered for one second that they might be dealing with a developing or potential uterine rupture.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396</w:t>
      </w:r>
      <w:r>
        <w:rPr>
          <w:rFonts w:ascii="arial" w:eastAsia="arial" w:hAnsi="arial" w:cs="arial"/>
          <w:color w:val="000000"/>
          <w:sz w:val="20"/>
          <w:lang w:val="en-US" w:eastAsia="en-US" w:bidi="ar-SA"/>
        </w:rPr>
        <w:t>  I return to Mr. Smith's cross-examination. He referred the witness to his evidence on direct, that in the Victoria General Hospital, a VBAC patient is delivered approximately every second day. He estimated that 30 to 40% of these patients wound up with a repeat caesarean section. He also said that currently about 70% of the women eligible to have a trial of vaginal delivery, chose not to do so. 30% chose to proceed with a vaginal delivery, and of those, somewhere around one-third of them, for one reason for another, wound up not being successful and having a caesarean 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397</w:t>
      </w:r>
      <w:r>
        <w:rPr>
          <w:rFonts w:ascii="arial" w:eastAsia="arial" w:hAnsi="arial" w:cs="arial"/>
          <w:color w:val="000000"/>
          <w:sz w:val="20"/>
          <w:lang w:val="en-US" w:eastAsia="en-US" w:bidi="ar-SA"/>
        </w:rPr>
        <w:t>  Dr. Cooper acknowledged that there has been a big change in the patterns of practice since the time and date that we are referring to back in 1998. I took him to mean that the medical profession has changed its view of the appropriateness of the VBAC trial of labour and its risks, given the catastrophic result of those that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398</w:t>
      </w:r>
      <w:r>
        <w:rPr>
          <w:rFonts w:ascii="arial" w:eastAsia="arial" w:hAnsi="arial" w:cs="arial"/>
          <w:color w:val="000000"/>
          <w:sz w:val="20"/>
          <w:lang w:val="en-US" w:eastAsia="en-US" w:bidi="ar-SA"/>
        </w:rPr>
        <w:t>  Dr. Cooper agreed with more recent articles on the subject matter, including a September 1996 article in the New England Journal of Medicine which in part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Among pregnant women who have had a caesarean section, major maternal complications are almost twice as likely among those whose deliveries are managed with a trial of labour as among those who undergo an elective caesarean 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399</w:t>
      </w:r>
      <w:r>
        <w:rPr>
          <w:rFonts w:ascii="arial" w:eastAsia="arial" w:hAnsi="arial" w:cs="arial"/>
          <w:color w:val="000000"/>
          <w:sz w:val="20"/>
          <w:lang w:val="en-US" w:eastAsia="en-US" w:bidi="ar-SA"/>
        </w:rPr>
        <w:t>  Dr. Cooper also agreed that recent medical literature suggests that the risk is higher than .1% as suggested in his Report; that the present figure suggests .4 or .5%. His evidence was: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I'd say the newer articles coming out are saying there may be a slightly higher risk than .1%, but mainly because of the change I think in both physician and patient attitudes towards it.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And what's -- what's brought that change about?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There's an environment out there where safety for the baby has now become paramount, and people, both physicians and patients, aren't willing to put any risk upon the fetus</w:t>
            </w:r>
            <w:r>
              <w:rPr>
                <w:rFonts w:ascii="arial" w:eastAsia="arial" w:hAnsi="arial" w:cs="arial"/>
                <w:color w:val="000000"/>
                <w:sz w:val="18"/>
                <w:lang w:val="en-US" w:eastAsia="en-US" w:bidi="ar-SA"/>
              </w:rPr>
              <w: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400</w:t>
      </w:r>
      <w:r>
        <w:rPr>
          <w:rFonts w:ascii="arial" w:eastAsia="arial" w:hAnsi="arial" w:cs="arial"/>
          <w:color w:val="000000"/>
          <w:sz w:val="20"/>
          <w:lang w:val="en-US" w:eastAsia="en-US" w:bidi="ar-SA"/>
        </w:rPr>
        <w:t>  Dr. Cooper also agreed that in modern obstetrics, and during the time that he practiced, before Travis' birth, safety for the baby has always been of paramount consideration. He also agreed with statements contained in an article in the 1999 Journal of the SOGC, entitled "Rupture Of The Pregnancy Uterus: The Evidence From This Decade On Risk Factors, Predictability and Prognosis" wherein the following statements or conclusions are contained: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Uterine rupture could be one of the most gut-wrenching and challenging experiences an obstetrician may face.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While its occurrence in the unscarred uterus is impossible to predict, such occurrences in the scarred -- such occurrences in the scarred uterus needs to be anticipated.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 finally: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Selecting the appropriate patient for trial of labour is an art, but exercising extreme diligence, caution in the management, a heightened sense of suspicion and efficient intervention is a must</w:t>
      </w:r>
      <w:r>
        <w:rPr>
          <w:rFonts w:ascii="arial" w:eastAsia="arial" w:hAnsi="arial" w:cs="arial"/>
          <w:color w:val="000000"/>
          <w:sz w:val="20"/>
          <w:lang w:val="en-US" w:eastAsia="en-US" w:bidi="ar-SA"/>
        </w:rPr>
        <w:t>.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It seems to me that these statements are more in line with the evidence and opinions of Dr. Feinstadt and Dr. Doersam than with the submissions of counsel for the defendants. While safety for the baby has "always been of paramount consideration" these views or standards have not always been adhered to, and seem to be in conflict with the positions maintained by the defendants' expert doctors.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401</w:t>
      </w:r>
      <w:r>
        <w:rPr>
          <w:rFonts w:ascii="arial" w:eastAsia="arial" w:hAnsi="arial" w:cs="arial"/>
          <w:color w:val="000000"/>
          <w:sz w:val="20"/>
          <w:lang w:val="en-US" w:eastAsia="en-US" w:bidi="ar-SA"/>
        </w:rPr>
        <w:t>  Dr. Cooper also said that the earliest and most consistent signs are the abnormal fetal heart rate pattern. Other signs, which are more variable in their association, include unusual abdominal pain. I observe at this point, that I am concerned that the defence expert doctors place so much store on the fact that the most consistent signs of uterine rupture are the abnormal fetal heart rate patterns. The problem is that by the time they appear to any extent, it is too late to do anything. The evidence is that the fetal heart rate may not be affected at all until shortly before the actual complete rupture occurs. Thus, in my view, the absence of a change in the fetal heart rate should not be comforting to the physician attempting to exclude uterine rupture as a cause of constant abdominal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402</w:t>
      </w:r>
      <w:r>
        <w:rPr>
          <w:rFonts w:ascii="arial" w:eastAsia="arial" w:hAnsi="arial" w:cs="arial"/>
          <w:color w:val="000000"/>
          <w:sz w:val="20"/>
          <w:lang w:val="en-US" w:eastAsia="en-US" w:bidi="ar-SA"/>
        </w:rPr>
        <w:t>  The doctor also acknowledged that when discussing the earlier questions of the artificial rupture of the membrane at 5:33 a.m., he relied on the fact that the fetal head was well applied to the cervix; a fact that he obtained from Dr. Reynolds' discovery evidence, some four years earlier. There is no contemporaneous notation in the hospital Records as to whether the head was or was not well applied to the cervix. He also agreed again that the rupture of the membrane, while it may provide some evidence as to the health of the fetus, does not provide direct evidence of the state of the uterine scar. He also agreed with a statement in the SOGC Journal article referred to,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Obstetricians should be highly suspicious of an evolving uterine rupture if any change in the uterine contraction profile is observed</w:t>
      </w:r>
      <w:r>
        <w:rPr>
          <w:rFonts w:ascii="arial" w:eastAsia="arial" w:hAnsi="arial" w:cs="arial"/>
          <w:color w:val="000000"/>
          <w:sz w:val="20"/>
          <w:lang w:val="en-US" w:eastAsia="en-US" w:bidi="ar-SA"/>
        </w:rPr>
        <w:t>.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403</w:t>
      </w:r>
      <w:r>
        <w:rPr>
          <w:rFonts w:ascii="arial" w:eastAsia="arial" w:hAnsi="arial" w:cs="arial"/>
          <w:color w:val="000000"/>
          <w:sz w:val="20"/>
          <w:lang w:val="en-US" w:eastAsia="en-US" w:bidi="ar-SA"/>
        </w:rPr>
        <w:t>  He agreed that any change in the uterine contraction profile would range from a complete cessation of the contraction, to a change or reduction in frequency of the contractions or a reduction in the strength of the contractions. In my view, when Dr. Reynolds arrived at the Hospital, there was clear evidence before her of a change in uterine contraction profile, which even Nurse Kinash acknowledged, in addition to the primary sign of constant abdominal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404</w:t>
      </w:r>
      <w:r>
        <w:rPr>
          <w:rFonts w:ascii="arial" w:eastAsia="arial" w:hAnsi="arial" w:cs="arial"/>
          <w:color w:val="000000"/>
          <w:sz w:val="20"/>
          <w:lang w:val="en-US" w:eastAsia="en-US" w:bidi="ar-SA"/>
        </w:rPr>
        <w:t>  Dr. Cooper was then questioned with regard to his evidence about pain and the use of Demerol; that he would not expect Demerol to exclude the pain of a uterine rupture. His evidence was: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the effectiveness of any -- well, first of all -- I take it, first of all, the degree of pain may be affected by what stage in that process the patient might be?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 labour,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Right. Correct. But specifically the pain between contractions that maybe related to a dehiscence or a rupture might be affected by where she is in that process: are we getting the beginning of a dehiscence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Correct.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or has the scar come apart completely?</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Correct? And the effectiveness of the analgesic will also be, to some extent, dependent on the severity of the patient's pain and where the patient is in that particular process?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of course, patients differ in both their sensitivity to pain and their sensitivity to analgesics?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to be noted that some of what Dr. Cooper said, outside the specific differences of opinion, seemingly favours the plaintiffs'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EVIDENCE OF DR. K. WILLIAMS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405</w:t>
      </w:r>
      <w:r>
        <w:rPr>
          <w:rFonts w:ascii="arial" w:eastAsia="arial" w:hAnsi="arial" w:cs="arial"/>
          <w:color w:val="000000"/>
          <w:sz w:val="20"/>
          <w:lang w:val="en-US" w:eastAsia="en-US" w:bidi="ar-SA"/>
        </w:rPr>
        <w:t>  Dr. Williams was called on behalf of Dr. Reynolds. His direct evidence is contained in his brief Report dated June 30,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406</w:t>
      </w:r>
      <w:r>
        <w:rPr>
          <w:rFonts w:ascii="arial" w:eastAsia="arial" w:hAnsi="arial" w:cs="arial"/>
          <w:color w:val="000000"/>
          <w:sz w:val="20"/>
          <w:lang w:val="en-US" w:eastAsia="en-US" w:bidi="ar-SA"/>
        </w:rPr>
        <w:t>  Dr. Williams is a highly qualified academic, as well as a highly qualified obstetrician and gynaecologist, although he has never practiced as such. He did practice at B.C. Womens' Hospital between 1986 and September 2000, in "high risk obstetrics", at which time he accepted an academic position at the Yale School of Medicine where he now does research. He had earlier been a Professor of Medicine at the University of British Columbia. Dr. Williams was qualified as an expert in obstetrics, particularly an expert in interpreting fetal heart-rate strips, and assessing the need for caesarean section in VBAC patients.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407</w:t>
      </w:r>
      <w:r>
        <w:rPr>
          <w:rFonts w:ascii="arial" w:eastAsia="arial" w:hAnsi="arial" w:cs="arial"/>
          <w:color w:val="000000"/>
          <w:sz w:val="20"/>
          <w:lang w:val="en-US" w:eastAsia="en-US" w:bidi="ar-SA"/>
        </w:rPr>
        <w:t>  I observe that, as often occurs in these cases, some of Dr. Williams' facts are not necessarily accurately stated. He opines that Dr. Reynolds met the standard of care of a reasonably competent family physician in her treatment and care of Mrs. Strachan during her admission to the Hospital. He says that when Mrs. Strachan complained of abdominal pain: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Dr. Reynolds attended and </w:t>
      </w:r>
      <w:r>
        <w:rPr>
          <w:rFonts w:ascii="arial" w:eastAsia="arial" w:hAnsi="arial" w:cs="arial"/>
          <w:color w:val="000000"/>
          <w:sz w:val="20"/>
          <w:u w:val="single"/>
          <w:lang w:val="en-US" w:eastAsia="en-US" w:bidi="ar-SA"/>
        </w:rPr>
        <w:t>assessed the patient</w:t>
      </w:r>
      <w:r>
        <w:rPr>
          <w:rFonts w:ascii="arial" w:eastAsia="arial" w:hAnsi="arial" w:cs="arial"/>
          <w:color w:val="000000"/>
          <w:sz w:val="20"/>
          <w:lang w:val="en-US" w:eastAsia="en-US" w:bidi="ar-SA"/>
        </w:rPr>
        <w:t xml:space="preserve"> and could not identify </w:t>
      </w:r>
      <w:r>
        <w:rPr>
          <w:rFonts w:ascii="arial" w:eastAsia="arial" w:hAnsi="arial" w:cs="arial"/>
          <w:color w:val="000000"/>
          <w:sz w:val="20"/>
          <w:u w:val="single"/>
          <w:lang w:val="en-US" w:eastAsia="en-US" w:bidi="ar-SA"/>
        </w:rPr>
        <w:t>any specific cause for the pain</w:t>
      </w:r>
      <w:r>
        <w:rPr>
          <w:rFonts w:ascii="arial" w:eastAsia="arial" w:hAnsi="arial" w:cs="arial"/>
          <w:color w:val="000000"/>
          <w:sz w:val="20"/>
          <w:lang w:val="en-US" w:eastAsia="en-US" w:bidi="ar-SA"/>
        </w:rPr>
        <w:t>. The fetal heart rate was normal and there was no evidence of fetal hypoxia and therefore it was appropriate for Dr. Reynolds to assess whether there was any evidence of muconium in the amniotic fluid.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It is my understanding of Dr. Reynolds' evidence, that she conducted a thorough examination of Mrs. Strachan by questioning her, by examining her abdomen and then her vagina, and then all of the strips available to her; which, I observe, would have taken place in the space of three to five minutes if her timing is accurate. I have already expressed my view that she really did not assess the patient as the defence experts said she was required to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408</w:t>
      </w:r>
      <w:r>
        <w:rPr>
          <w:rFonts w:ascii="arial" w:eastAsia="arial" w:hAnsi="arial" w:cs="arial"/>
          <w:color w:val="000000"/>
          <w:sz w:val="20"/>
          <w:lang w:val="en-US" w:eastAsia="en-US" w:bidi="ar-SA"/>
        </w:rPr>
        <w:t>  I did not understand her to say that she was looking to any specific cause for the pain or that she could not identify any specific cause for the pain. Her evidence was that she never directed her mind to the possibility of uterine rupture, and, as I have said before, what she did during her investigation is coloured by that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409</w:t>
      </w:r>
      <w:r>
        <w:rPr>
          <w:rFonts w:ascii="arial" w:eastAsia="arial" w:hAnsi="arial" w:cs="arial"/>
          <w:color w:val="000000"/>
          <w:sz w:val="20"/>
          <w:lang w:val="en-US" w:eastAsia="en-US" w:bidi="ar-SA"/>
        </w:rPr>
        <w:t>  At trial, Dr. Williams would not agree with Dr. Feinstadt's statement that constant abdominal pain in a labouring VBAC patient must be considered ominous. However, he did agree that such a complaint required a thorough physical investigation to rule out the possible causes. This, of course, was not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410</w:t>
      </w:r>
      <w:r>
        <w:rPr>
          <w:rFonts w:ascii="arial" w:eastAsia="arial" w:hAnsi="arial" w:cs="arial"/>
          <w:color w:val="000000"/>
          <w:sz w:val="20"/>
          <w:lang w:val="en-US" w:eastAsia="en-US" w:bidi="ar-SA"/>
        </w:rPr>
        <w:t>  He also disagreed with Dr. Feinstadt's statement that the fact that the pain was gone was cold comfort. He felt that the constant abdominal pain was of no consequence when Dr. Reynolds examined Mrs. Strachan because it had disappeared.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411</w:t>
      </w:r>
      <w:r>
        <w:rPr>
          <w:rFonts w:ascii="arial" w:eastAsia="arial" w:hAnsi="arial" w:cs="arial"/>
          <w:color w:val="000000"/>
          <w:sz w:val="20"/>
          <w:lang w:val="en-US" w:eastAsia="en-US" w:bidi="ar-SA"/>
        </w:rPr>
        <w:t>  He further disagreed with Dr. Feinstadt's statement that the ARM was contra indicated. Dr. Williams' opinion is based on the fact that the head was well applied to the cervix and because it was important to determine the colour of the amniotic fluid. I found that there is no evidence that the head was well applied to the cervix, and that in the context, it was not important to determine the colour of the amniotic fluid.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412</w:t>
      </w:r>
      <w:r>
        <w:rPr>
          <w:rFonts w:ascii="arial" w:eastAsia="arial" w:hAnsi="arial" w:cs="arial"/>
          <w:color w:val="000000"/>
          <w:sz w:val="20"/>
          <w:lang w:val="en-US" w:eastAsia="en-US" w:bidi="ar-SA"/>
        </w:rPr>
        <w:t>  Dr. Williams did not agree with Dr. Feinstadt's opinion that the strip which deals with the artificial rupture of the membrane, at approximately 5:33 a.m., showed a marked loss of variability, and a change in the baseline. He said that variability meant "that the heart rate oscillates up and down". He found this to be the case when he viewed the strip. In his opinion, it was normal. He agreed that some of the reasons for loss of variability can be the baby resting or the fact that the mother was given Demerol. He also disagreed with Dr. Feinstadt's statement that the ARM resulted in a cord prolapse. He said that it was likely that the rupture occurred in the bathroom, not at the time of the ARM; that the cord likely prolapsed when the rupture occurred and the baby was extruded through the incision in the abdomen.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413</w:t>
      </w:r>
      <w:r>
        <w:rPr>
          <w:rFonts w:ascii="arial" w:eastAsia="arial" w:hAnsi="arial" w:cs="arial"/>
          <w:color w:val="000000"/>
          <w:sz w:val="20"/>
          <w:lang w:val="en-US" w:eastAsia="en-US" w:bidi="ar-SA"/>
        </w:rPr>
        <w:t>  Dr. Williams disagreed with a statement of Dr. Doersam that Dr. Reynolds should have telephoned the obstetrician and had him meet her at the hospital when she was told that Mrs. Strachan was experiencing constant right-sided abdominal pain; a statement with which I agree. He said that the finding of abdominal pain is a symptom, like a cough. Everyone with a cough does not have T.B. or SARS. The proper management would be to "</w:t>
      </w:r>
      <w:r>
        <w:rPr>
          <w:rFonts w:ascii="arial" w:eastAsia="arial" w:hAnsi="arial" w:cs="arial"/>
          <w:color w:val="000000"/>
          <w:sz w:val="20"/>
          <w:u w:val="single"/>
          <w:lang w:val="en-US" w:eastAsia="en-US" w:bidi="ar-SA"/>
        </w:rPr>
        <w:t>assess the patient to determine the cause of the abdominal pain</w:t>
      </w:r>
      <w:r>
        <w:rPr>
          <w:rFonts w:ascii="arial" w:eastAsia="arial" w:hAnsi="arial" w:cs="arial"/>
          <w:color w:val="000000"/>
          <w:sz w:val="20"/>
          <w:lang w:val="en-US" w:eastAsia="en-US" w:bidi="ar-SA"/>
        </w:rPr>
        <w:t>". I pause to re-iterate that in fact Dr. Reynolds did not do this.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414</w:t>
      </w:r>
      <w:r>
        <w:rPr>
          <w:rFonts w:ascii="arial" w:eastAsia="arial" w:hAnsi="arial" w:cs="arial"/>
          <w:color w:val="000000"/>
          <w:sz w:val="20"/>
          <w:lang w:val="en-US" w:eastAsia="en-US" w:bidi="ar-SA"/>
        </w:rPr>
        <w:t>  He also disagreed with Dr. Doersam's statement that when an obstetrician is called and told of constant abdominal pain, that is sufficient to get the OR staff and the anaesthetist to attend immediately for a caesarean section; also a statement with which I agree. He said again that his intention would be to assess the patient. He said that in the absence of any abnormalities in the fetal heart rate tracing, one should proceed to assess the patient to determine the cause of the abdominal pain. Again, Dr. Reynolds did not assess the source of Mrs. Strachan's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415</w:t>
      </w:r>
      <w:r>
        <w:rPr>
          <w:rFonts w:ascii="arial" w:eastAsia="arial" w:hAnsi="arial" w:cs="arial"/>
          <w:color w:val="000000"/>
          <w:sz w:val="20"/>
          <w:lang w:val="en-US" w:eastAsia="en-US" w:bidi="ar-SA"/>
        </w:rPr>
        <w:t>  I pause at this point to observe that I have seen this difference in approach when considering the evidence of the other defence experts. Dr. Doersam and Dr. Feinstadt have a sense of urgency to their approach, because of the time it takes to bring staff in and to complete a caesarean section in a hospital like the defendant Hospital, as opposed to the situation in a large city hospital, where Dr. Williams carried on his practice.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416</w:t>
      </w:r>
      <w:r>
        <w:rPr>
          <w:rFonts w:ascii="arial" w:eastAsia="arial" w:hAnsi="arial" w:cs="arial"/>
          <w:color w:val="000000"/>
          <w:sz w:val="20"/>
          <w:lang w:val="en-US" w:eastAsia="en-US" w:bidi="ar-SA"/>
        </w:rPr>
        <w:t>  The defence experts did not seem to consider the urgency factor, which in my view is a major factor, when opining what should be done, that is, that the fairly routine sequential examinations or assessments should have been done before a decision was made. I would suspect that this may apply in the case of a normal birth. It certainly should not apply in the case of a VBAC birth. On discovering the signs associated with uterine rupture, the physician would not know how much time he had to deal with it. What he would know is that it must be dealt with immediately by excluding uterine rupture as the possible cause or by emergency caesarean section. In this sense, when one adds the time factor, or sense of urgency, to the opinions of the defence experts, particularly pertaining to whether Dr. Reynolds should have immediately telephoned the obstetrician on receiving Nurse Kinash's telephone call, and I believe that it should be added, that there is not much difference between the opinions.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417</w:t>
      </w:r>
      <w:r>
        <w:rPr>
          <w:rFonts w:ascii="arial" w:eastAsia="arial" w:hAnsi="arial" w:cs="arial"/>
          <w:color w:val="000000"/>
          <w:sz w:val="20"/>
          <w:lang w:val="en-US" w:eastAsia="en-US" w:bidi="ar-SA"/>
        </w:rPr>
        <w:t>  Dr. Williams also disagreed with Dr. Doersam's statement that you do not have to do a fetal assessment when considering whether to do a caesarean section for complaints of constant abdominal pain because the fetal heart rate does not tell you anything about the condition of the uterus. Dr. Williams said to proceed to caesarean section "unnecessarily" involves increased risk of infection and increased risk of bleeding". He then went on to say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caesarean section is done primarily because we believe the fetus is in trouble. Without any evidence of the fetus being in trouble, I do not believe that the first course of action should be a caesarean 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418</w:t>
      </w:r>
      <w:r>
        <w:rPr>
          <w:rFonts w:ascii="arial" w:eastAsia="arial" w:hAnsi="arial" w:cs="arial"/>
          <w:color w:val="000000"/>
          <w:sz w:val="20"/>
          <w:lang w:val="en-US" w:eastAsia="en-US" w:bidi="ar-SA"/>
        </w:rPr>
        <w:t>  I pause to observe that it seems to me that in the context of the case, Dr. Reynolds could not wait until she was satisfied that the fetus was in trouble. In my opinion, the narrow question for her to decide, or for the obstetrician to decide if called in, in the face of constant abdominal pain (a known risk of uterine rupture) was: is there a possibility that a uterine rupture could have caused this pain and, if so, can I satisfy myself from all of the information before me, and in the limited time available to me, that uterine rupture can be excluded as a possible cause? If not, an emergency caesarean section should be performed immediately.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419</w:t>
      </w:r>
      <w:r>
        <w:rPr>
          <w:rFonts w:ascii="arial" w:eastAsia="arial" w:hAnsi="arial" w:cs="arial"/>
          <w:color w:val="000000"/>
          <w:sz w:val="20"/>
          <w:lang w:val="en-US" w:eastAsia="en-US" w:bidi="ar-SA"/>
        </w:rPr>
        <w:t>  Dr. Williams went on to disagree with each statement or opinion of Dr. Doersam which was put to him. As set out earlier in these Reasons, I agree with the opinions of Dr. Doersam and Dr. Feinstadt, that there was continuing cause for concern. Namely, the inability to exclude a developing uterine rupture as a cause of the constant abdominal pain, and additionally, contextual changes in the strip.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420</w:t>
      </w:r>
      <w:r>
        <w:rPr>
          <w:rFonts w:ascii="arial" w:eastAsia="arial" w:hAnsi="arial" w:cs="arial"/>
          <w:color w:val="000000"/>
          <w:sz w:val="20"/>
          <w:lang w:val="en-US" w:eastAsia="en-US" w:bidi="ar-SA"/>
        </w:rPr>
        <w:t>  Finally, he was asked whether he agreed with Dr. Doersam's statement that you cannot be reassured if you do not know what caused the pain. He said that he disagreed with the statement because in many cases the cause of abdominal pain in pregnancy and in labour is never identified. I pause to observe at this point that this is one of the reasons why I prefer the evidence of Dr. Doersam and Dr. Feinstadt. They do not gamble on the cause being some other cause, given the safe route of the emergency caesarean section. There is no need to gamble.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Cross-Examination By Mr. Smith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421</w:t>
      </w:r>
      <w:r>
        <w:rPr>
          <w:rFonts w:ascii="arial" w:eastAsia="arial" w:hAnsi="arial" w:cs="arial"/>
          <w:color w:val="000000"/>
          <w:sz w:val="20"/>
          <w:lang w:val="en-US" w:eastAsia="en-US" w:bidi="ar-SA"/>
        </w:rPr>
        <w:t>  Dr. Williams agreed that a physician, initially knowing nothing but the facts of a VBAC patient and a complaint of constant abdominal pain, would realize that one possible explanation for the pain might be "a uterine rupture, or the beginning of a uterine rupture". He also agreed that that possibility must be kept in mind as the physician goes through the process of trying to identify and narrow down the possible causes. Some of Dr. Williams' evidence then also supports the plaintiffs'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422</w:t>
      </w:r>
      <w:r>
        <w:rPr>
          <w:rFonts w:ascii="arial" w:eastAsia="arial" w:hAnsi="arial" w:cs="arial"/>
          <w:color w:val="000000"/>
          <w:sz w:val="20"/>
          <w:lang w:val="en-US" w:eastAsia="en-US" w:bidi="ar-SA"/>
        </w:rPr>
        <w:t>  Dr. Williams acknowledged that the information on which he relied was taken from a statement of assumptions given to him by counsel. He also agreed that in his view the fact 'the head was well applied to the cervix' was a part of the statement of assumptions. He also agreed that the only record, one way or another, about whether the head was well applied, was made one and a half hours earlier, when the Record states that the head was not well applied. He was shown the Record and the partogram and agreed that he had not noted it previously. He then questioned what that finding was based on, "whether it was based on a vaginal examination done at that point", and he was shown that in fact it was. He also agreed that he would have expected this "change" to have been recorded at the next vaginal 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423</w:t>
      </w:r>
      <w:r>
        <w:rPr>
          <w:rFonts w:ascii="arial" w:eastAsia="arial" w:hAnsi="arial" w:cs="arial"/>
          <w:color w:val="000000"/>
          <w:sz w:val="20"/>
          <w:lang w:val="en-US" w:eastAsia="en-US" w:bidi="ar-SA"/>
        </w:rPr>
        <w:t>  Dr. Williams also agreed with the statement in an authoritative textbook, that pain usually, but not always, proceeds the uterine tear.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424</w:t>
      </w:r>
      <w:r>
        <w:rPr>
          <w:rFonts w:ascii="arial" w:eastAsia="arial" w:hAnsi="arial" w:cs="arial"/>
          <w:color w:val="000000"/>
          <w:sz w:val="20"/>
          <w:lang w:val="en-US" w:eastAsia="en-US" w:bidi="ar-SA"/>
        </w:rPr>
        <w:t>  Dr. Williams said that the most consistent sign of a uterine rupture would be a significant deceleration in the fetal heart rate. He also agreed that deceleration in the fetal heart rate does not occur in every case. Also, that the most serious change in heart rate will be seen at the time the baby is expelled from the uterus into the abdominal cavity.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EVIDENCE OF DR. S.P. HUDSON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425</w:t>
      </w:r>
      <w:r>
        <w:rPr>
          <w:rFonts w:ascii="arial" w:eastAsia="arial" w:hAnsi="arial" w:cs="arial"/>
          <w:color w:val="000000"/>
          <w:sz w:val="20"/>
          <w:lang w:val="en-US" w:eastAsia="en-US" w:bidi="ar-SA"/>
        </w:rPr>
        <w:t>  Dr. Hudson was called on behalf of the defendant Hospital. His direct evidence is contained in his brief Report dated July 10, 2003. In it he expresses the opinion that at the time Mrs. Strachan presented in active labour on January 23, the initial nursing management was appropriate. After Mrs. Strachan had been seen by Dr. Reynolds, and the ARM performed, it was reasonable for the nursing staff to allow her up to the bathroom to try and void. Appropriate nursing care was also provided at the time that Mrs. Strachan was up to use the bathroom, during 5:40 to 6:00 a.m. Further, the nursing care was appropriate after the diagnosis of cord prolapse was made. The care provided to Mrs. Strachan antenatally and intrapartum by all medical personnel was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426</w:t>
      </w:r>
      <w:r>
        <w:rPr>
          <w:rFonts w:ascii="arial" w:eastAsia="arial" w:hAnsi="arial" w:cs="arial"/>
          <w:color w:val="000000"/>
          <w:sz w:val="20"/>
          <w:lang w:val="en-US" w:eastAsia="en-US" w:bidi="ar-SA"/>
        </w:rPr>
        <w:t>  He said that the symptoms of scar dehiscence in labour includes fetal distress and abdominal pain.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Abdominal pain in labour is often very difficult to interpret. All woman have pain in labour. When Karen complained of constant pain, the nurses appropriately notified her physician. Dr. Reynolds came right in and examined the patient - she did not identify any </w:t>
      </w:r>
      <w:r>
        <w:rPr>
          <w:rFonts w:ascii="arial" w:eastAsia="arial" w:hAnsi="arial" w:cs="arial"/>
          <w:color w:val="000000"/>
          <w:sz w:val="20"/>
          <w:u w:val="single"/>
          <w:lang w:val="en-US" w:eastAsia="en-US" w:bidi="ar-SA"/>
        </w:rPr>
        <w:t>alarming clinical features</w:t>
      </w:r>
      <w:r>
        <w:rPr>
          <w:rFonts w:ascii="arial" w:eastAsia="arial" w:hAnsi="arial" w:cs="arial"/>
          <w:color w:val="000000"/>
          <w:sz w:val="20"/>
          <w:lang w:val="en-US" w:eastAsia="en-US" w:bidi="ar-SA"/>
        </w:rPr>
        <w:t xml:space="preserve"> to suggest she was rupturing her scar.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observe again that it seems to me that Dr. Hudson's views are out of the context of this case. Alarming critical features surely cannot be the test. The very description describes concrete evidence of a developing uterine rupture which in most cases appears when it is too late, at least in a hospital like the defendant Hospital, when the actual rupture and expulsion occurs.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427</w:t>
      </w:r>
      <w:r>
        <w:rPr>
          <w:rFonts w:ascii="arial" w:eastAsia="arial" w:hAnsi="arial" w:cs="arial"/>
          <w:color w:val="000000"/>
          <w:sz w:val="20"/>
          <w:lang w:val="en-US" w:eastAsia="en-US" w:bidi="ar-SA"/>
        </w:rPr>
        <w:t>  At trial Dr. Hudson said that he is an obstetrician and gynaecologist licensed to practice in this Province, and he has done so in Victoria since 1997. From 1990 to 1996 he had an obstetrical practice in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428</w:t>
      </w:r>
      <w:r>
        <w:rPr>
          <w:rFonts w:ascii="arial" w:eastAsia="arial" w:hAnsi="arial" w:cs="arial"/>
          <w:color w:val="000000"/>
          <w:sz w:val="20"/>
          <w:lang w:val="en-US" w:eastAsia="en-US" w:bidi="ar-SA"/>
        </w:rPr>
        <w:t>  Dr. Hudson is familiar with the role of nurses as part of the team caring for obstetrical patients. He is an Assistant Professor in the Department of Obstetrics and Gynaecology at the University of British Columbia. His duties include teaching fetal monitoring, in particular, electronic fetal monitoring.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429</w:t>
      </w:r>
      <w:r>
        <w:rPr>
          <w:rFonts w:ascii="arial" w:eastAsia="arial" w:hAnsi="arial" w:cs="arial"/>
          <w:color w:val="000000"/>
          <w:sz w:val="20"/>
          <w:lang w:val="en-US" w:eastAsia="en-US" w:bidi="ar-SA"/>
        </w:rPr>
        <w:t>  When Dr. Hudson was practising in South Africa, where the circumstances are very different from those of the western world, he saw a number of uterine ruptures. He believes that he has seen two or three in Canada over the last 12 or 13 years. He said that when he referred to "rupture" he meant a catastrophic rupture, such as occurred in this particular case; not just where the wound is slightly open, which is also a rupture under the correct terminology.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430</w:t>
      </w:r>
      <w:r>
        <w:rPr>
          <w:rFonts w:ascii="arial" w:eastAsia="arial" w:hAnsi="arial" w:cs="arial"/>
          <w:color w:val="000000"/>
          <w:sz w:val="20"/>
          <w:lang w:val="en-US" w:eastAsia="en-US" w:bidi="ar-SA"/>
        </w:rPr>
        <w:t>  Dr. Hudson was tendered as an expert in his field of obstetrics who can assist the Court on the full range of obstetrical management, including electronic fetal monitoring, and the operation of the obstetrical team, including nurses. Mr. Smith did not object to the admissibility of Dr. Hudson's evidence, reserving the right to make submissions as to weight to the extent that he would be giving expert opinion "going to the standard of care of people who are not obstetricians". I found him to be so qualified, subject to Mr. Smith's reservation.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Cross-Examination By Ms. Khanna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431</w:t>
      </w:r>
      <w:r>
        <w:rPr>
          <w:rFonts w:ascii="arial" w:eastAsia="arial" w:hAnsi="arial" w:cs="arial"/>
          <w:color w:val="000000"/>
          <w:sz w:val="20"/>
          <w:lang w:val="en-US" w:eastAsia="en-US" w:bidi="ar-SA"/>
        </w:rPr>
        <w:t>  Ms. Khanna conducted a friendly cross-examination of Dr. Hudson, there being no issue between her client, Dr. Reynolds, and the Hospital. The witness was called to give evidence on behalf of the Hospital and its nurses. Ms. Khanna questioned the doctor with regard to what he would do as an obstetrician in certain circumstances. Mr. Smith objected that this evidence coming through this witness was an abuse of the Rules of Evidence, and, in particular, of Rule 40A. I ruled that I would hear the evidence and hear submissions later on the question of admissibility. I do not recall if those submissions were ever made; although I can anticipate the result, absent submissions, that it may be a question of weight.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432</w:t>
      </w:r>
      <w:r>
        <w:rPr>
          <w:rFonts w:ascii="arial" w:eastAsia="arial" w:hAnsi="arial" w:cs="arial"/>
          <w:color w:val="000000"/>
          <w:sz w:val="20"/>
          <w:lang w:val="en-US" w:eastAsia="en-US" w:bidi="ar-SA"/>
        </w:rPr>
        <w:t>  The cross-examination continued and Dr. Hudson said that if he had been called by a registered nurse and advised that there was a labouring VBAC patient complaining of constant right-sided abdominal pain, he would not necessarily immediately call for a stat caesarean section. I note the qualification "necessarily" and observe, with respect, that giving opinions is one thing, but having to make the decision is quite another; that throughout this discussion it must not be forgotten that unless the physician waits too long, there is a safe alternative, a second caesarean section. Common sense dictates that if there could be a time problem, as in the case at Bar given that Mrs. Strachan was very late in her labour, or any doubts, the surgery should be performed. Dr. Hudson said that he would want more information about the patient because the pain may, or may not, be something which is important. He would want information about the fetal heart rate, any vaginal bleeding, any blood in the maternal urine, and the mother's cardio-vascular status, and so on. If all of the these were satisfactory, he would normally suggest that the nurse call the family physician to assess the patient and determine if there were any signs which were present. By "signs" he means any tenderness of the uterus or anything else that concerned the family physician "to justify my individually as a consultant or any obstetrician/gynaecologist to go and personally assess such patient". This again seems to be out of context and does not deal with the time factor.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433</w:t>
      </w:r>
      <w:r>
        <w:rPr>
          <w:rFonts w:ascii="arial" w:eastAsia="arial" w:hAnsi="arial" w:cs="arial"/>
          <w:color w:val="000000"/>
          <w:sz w:val="20"/>
          <w:lang w:val="en-US" w:eastAsia="en-US" w:bidi="ar-SA"/>
        </w:rPr>
        <w:t>  He had said earlier that constant abdominal pain in a labouring patient was not uncommon; that while it may be a feature of a scar beginning to rupture, pain is not a reliable sign of an impending scar rupture. He also said that in his experience, the highest risk time is during the second stage of labour, when the cervix has become fully dilated, "the pushing stage". He had also said that in most instances they are never really able to clearly identify what causes such unusual pain in labour; that because of this, other information is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434</w:t>
      </w:r>
      <w:r>
        <w:rPr>
          <w:rFonts w:ascii="arial" w:eastAsia="arial" w:hAnsi="arial" w:cs="arial"/>
          <w:color w:val="000000"/>
          <w:sz w:val="20"/>
          <w:lang w:val="en-US" w:eastAsia="en-US" w:bidi="ar-SA"/>
        </w:rPr>
        <w:t>  I pause at this point to again observe that if this is the test, the monitoring of the VBAC patient can be of little comfort to the patient, because it seems that the fact that the patient is a VBAC patient in late labour and is experiencing constant abdominal pain alone, is not of concern, primarily because there may be other benign causes, discoverable and undiscoverable. These views again miss the context and the point of monitoring the VBAC patient. The point is to make sure that the patient is safe in the face of those signs associated with her primary risk, that of a developing uterine rupture. The task then is to exclude a developing uterine rupture as a cause of the known signs observed, within the short timeframe available.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Cross-Examination By Mr. Smith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435</w:t>
      </w:r>
      <w:r>
        <w:rPr>
          <w:rFonts w:ascii="arial" w:eastAsia="arial" w:hAnsi="arial" w:cs="arial"/>
          <w:color w:val="000000"/>
          <w:sz w:val="20"/>
          <w:lang w:val="en-US" w:eastAsia="en-US" w:bidi="ar-SA"/>
        </w:rPr>
        <w:t>  Dr. Hudson was asked whether a rupture would typically be preceded by some period of scar dehiscence, or the scar being at various stages in the process of coming apart. He said that this may be so, but it is not always so. He then appeared to say that the modern-day type of incision ruptures are normally a much more insidious process, i.e., a much slower process which occurs over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436</w:t>
      </w:r>
      <w:r>
        <w:rPr>
          <w:rFonts w:ascii="arial" w:eastAsia="arial" w:hAnsi="arial" w:cs="arial"/>
          <w:color w:val="000000"/>
          <w:sz w:val="20"/>
          <w:lang w:val="en-US" w:eastAsia="en-US" w:bidi="ar-SA"/>
        </w:rPr>
        <w:t>  Dr. Hudson was asked whether the pain Mrs. Strachan was complaining about, according to the nurse's notes at 4:45 a.m., was likely caused by scar dehiscence. He said that in retrospect that may be true, although it would be very unusual for the pain to disappear as is recorded. It would also be unusual for the uterus to not be extremely tender on examination, if this was occurring and was progressive.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437</w:t>
      </w:r>
      <w:r>
        <w:rPr>
          <w:rFonts w:ascii="arial" w:eastAsia="arial" w:hAnsi="arial" w:cs="arial"/>
          <w:color w:val="000000"/>
          <w:sz w:val="20"/>
          <w:lang w:val="en-US" w:eastAsia="en-US" w:bidi="ar-SA"/>
        </w:rPr>
        <w:t>  He was then referred to his email of March 3, 2002, to Ms. Harper in which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 the timing of the rupture. This is always speculation, though I would suspect that the scar may have started to dehisce when she experienced that episode of acute pain earlier on, which, as we know, then subsided.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He agreed that while "speculating", he was saying that as Mrs. Strachan was complaining of the constant abdominal pain, the scar was starting to dehisce, but the placenta was still intact. I would describe what the doctor was doing as drawing a reasonable inference from the facts, rather than merely speculating.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438</w:t>
      </w:r>
      <w:r>
        <w:rPr>
          <w:rFonts w:ascii="arial" w:eastAsia="arial" w:hAnsi="arial" w:cs="arial"/>
          <w:color w:val="000000"/>
          <w:sz w:val="20"/>
          <w:lang w:val="en-US" w:eastAsia="en-US" w:bidi="ar-SA"/>
        </w:rPr>
        <w:t>  Dr. Hudson also agreed that if the scar was dehiscing, but the placenta was not yet separating, and therefore there was no interference with blood through the umbilical cord with the baby, one would not necessarily expect to see any abnormalities on the fetal heart strip at that stage. This is a point that I have attempted to make, and it is why, in my view, it is a mistake to place so much emphasis on the absence of any abnormalities being seen on the fetal heart rate strip as being reassuring; and why, perhaps, more attention should be paid to the unexplained constant abdominal pain. He then said that for some reason when a scar is starting to rupture, even in the absence of any obvious clinical placental separation or any bleeding, "we start to see fetal rate abnormalities". He said that is why severe fetal heart rate abnormalities remain the most common indicator of uterine scar dehiscence.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439</w:t>
      </w:r>
      <w:r>
        <w:rPr>
          <w:rFonts w:ascii="arial" w:eastAsia="arial" w:hAnsi="arial" w:cs="arial"/>
          <w:color w:val="000000"/>
          <w:sz w:val="20"/>
          <w:lang w:val="en-US" w:eastAsia="en-US" w:bidi="ar-SA"/>
        </w:rPr>
        <w:t>  The doctor was then referred back to his email where he said that he suspected the uterine rupture tore all the way at around 6:15 a.m. when Mrs. Strachan was up to the bathroom, and: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Maybe she pushed down at that time and extended the scar, discharging the baby into the abdominal cavity, at which time the placenta probably separated.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He agreed with his earlier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440</w:t>
      </w:r>
      <w:r>
        <w:rPr>
          <w:rFonts w:ascii="arial" w:eastAsia="arial" w:hAnsi="arial" w:cs="arial"/>
          <w:color w:val="000000"/>
          <w:sz w:val="20"/>
          <w:lang w:val="en-US" w:eastAsia="en-US" w:bidi="ar-SA"/>
        </w:rPr>
        <w:t>  He was asked whether he agreed with the statement in Williams Obstetrics. He said that risk is in the eye of the beholder. And that he thought that "risk is an objective thing"; it is a statistic; it is a fact. And whether somebody regards it as being high or low is up to them. He was, I believe, saying that rather than the well informed doctor, it was up to the patient (hopefully a very well informed patient) to decide.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441</w:t>
      </w:r>
      <w:r>
        <w:rPr>
          <w:rFonts w:ascii="arial" w:eastAsia="arial" w:hAnsi="arial" w:cs="arial"/>
          <w:color w:val="000000"/>
          <w:sz w:val="20"/>
          <w:lang w:val="en-US" w:eastAsia="en-US" w:bidi="ar-SA"/>
        </w:rPr>
        <w:t>  He did agree that uterine rupture is the most serious potential complication for a VBAC labour, and that it is a risk that physicians, or nurses, or anybody caring for VBAC patients, must be aware of. It is a risk that must be disclosed to a VBAC patient.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442</w:t>
      </w:r>
      <w:r>
        <w:rPr>
          <w:rFonts w:ascii="arial" w:eastAsia="arial" w:hAnsi="arial" w:cs="arial"/>
          <w:color w:val="000000"/>
          <w:sz w:val="20"/>
          <w:lang w:val="en-US" w:eastAsia="en-US" w:bidi="ar-SA"/>
        </w:rPr>
        <w:t>  Dr. Hudson was cross-examined in some detail about what he tells his VBAC patients and what he does when he has potential concerns about uterine rupture. His evidence seemed to 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If you have a real concern about scar dehiscence or impending rupture or at least if you </w:t>
            </w:r>
            <w:r>
              <w:rPr>
                <w:rFonts w:ascii="arial" w:eastAsia="arial" w:hAnsi="arial" w:cs="arial"/>
                <w:color w:val="000000"/>
                <w:sz w:val="18"/>
                <w:u w:val="single"/>
                <w:lang w:val="en-US" w:eastAsia="en-US" w:bidi="ar-SA"/>
              </w:rPr>
              <w:t>can't with some satisfaction rule that out, you do not want to wait</w:t>
            </w:r>
            <w:r>
              <w:rPr>
                <w:rFonts w:ascii="arial" w:eastAsia="arial" w:hAnsi="arial" w:cs="arial"/>
                <w:color w:val="000000"/>
                <w:sz w:val="18"/>
                <w:lang w:val="en-US" w:eastAsia="en-US" w:bidi="ar-SA"/>
              </w:rPr>
              <w:t xml:space="preserve"> until the situation progresses to maternal collapse or fetal distress before you do anything, do you?</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Thats absolutely correct</w:t>
            </w:r>
            <w:r>
              <w:rPr>
                <w:rFonts w:ascii="arial" w:eastAsia="arial" w:hAnsi="arial" w:cs="arial"/>
                <w:color w:val="000000"/>
                <w:sz w:val="18"/>
                <w:lang w:val="en-US" w:eastAsia="en-US" w:bidi="ar-SA"/>
              </w:rPr>
              <w:t>. My Lord. But as I said, abdominal pain in labour as a sign of impending uterine rupture is not reliable, and whether or not I would motivate the operating room staff to be on stand-by would be dependent on my clinical assessment.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And that is your clinical assessment as an obstetrician looking into the matter with greater expertise than would otherwise -- or than the family physician</w:t>
            </w:r>
            <w:r>
              <w:rPr>
                <w:rFonts w:ascii="arial" w:eastAsia="arial" w:hAnsi="arial" w:cs="arial"/>
                <w:color w:val="000000"/>
                <w:sz w:val="18"/>
                <w:lang w:val="en-US" w:eastAsia="en-US" w:bidi="ar-SA"/>
              </w:rPr>
              <w:t xml:space="preserve"> would have without your assistance,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can only speak for myself.</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do not agree. He is the expert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443</w:t>
      </w:r>
      <w:r>
        <w:rPr>
          <w:rFonts w:ascii="arial" w:eastAsia="arial" w:hAnsi="arial" w:cs="arial"/>
          <w:color w:val="000000"/>
          <w:sz w:val="20"/>
          <w:lang w:val="en-US" w:eastAsia="en-US" w:bidi="ar-SA"/>
        </w:rPr>
        <w:t>  Dr. Hudson said that the single most reliable sign associated with scar dehiscence and rupture is fetal distress. He said that in order to have evidence of fetal distress, one has to be monitoring the fetal heart at the time. The relationship between doctors and nurses in an obstetrical setting is one of a team. If the nurse believes something unusual may be happening, or the patient complains about something unusual, her obligation is to report that to the doctor. The nurse has to report what is happening fully and accurately. Ultimately, it is the job of the doctor to consider the possible causes for what is being reported, and try to come to a diagnosis. If the nurse in reporting to the doctor has any particular idea or theory about what may be causing the patient's symptoms, that is something the nurse should also mention to the doctor. This is because the first instinct of an experienced nurse is something that doctors take seriously.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444</w:t>
      </w:r>
      <w:r>
        <w:rPr>
          <w:rFonts w:ascii="arial" w:eastAsia="arial" w:hAnsi="arial" w:cs="arial"/>
          <w:color w:val="000000"/>
          <w:sz w:val="20"/>
          <w:lang w:val="en-US" w:eastAsia="en-US" w:bidi="ar-SA"/>
        </w:rPr>
        <w:t>  Finally, he said that at the same time as the nurse is providing information to the doctor, the doctor should also be prepared to ask for further information that may be necessary to help evaluate the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EVIDENCE OF NURSE SUSAN GRIXTI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445</w:t>
      </w:r>
      <w:r>
        <w:rPr>
          <w:rFonts w:ascii="arial" w:eastAsia="arial" w:hAnsi="arial" w:cs="arial"/>
          <w:color w:val="000000"/>
          <w:sz w:val="20"/>
          <w:lang w:val="en-US" w:eastAsia="en-US" w:bidi="ar-SA"/>
        </w:rPr>
        <w:t>  Nurse Grixti was called on behalf of the defendant Hospital. She became a state-registered nurse in London, England in 1981. Like Nurse Radmanovic, she has international experience, including working as a midwife in a hospital in England for two years. Prior to coming to Canada in 1996, she was the Maternity Unit Manager at Wesley Private Hospital in Queensland, Australia. On moving to Canada she worked on a casual basis and on a full time basis in a local hospital as a registered nurse. In 2000 she took a job as the Manager of Prenatal Services at Desert Regional Hospital in Palm Springs, California. Since then she has worked as a labour delivery nurse at the Lions Gate Hospital, Langley Memorial Hospital and St. Paul's Hospital. She is presently employed in the labour delivery area at Lions Gate Hospital on a casual basis. She has had experience with a case of actual or a developing uterine rupture on one occasion.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446</w:t>
      </w:r>
      <w:r>
        <w:rPr>
          <w:rFonts w:ascii="arial" w:eastAsia="arial" w:hAnsi="arial" w:cs="arial"/>
          <w:color w:val="000000"/>
          <w:sz w:val="20"/>
          <w:lang w:val="en-US" w:eastAsia="en-US" w:bidi="ar-SA"/>
        </w:rPr>
        <w:t>  Her direct evidence is contained in her Report dated July 18, 2003, which contains her expert nursing opinion regarding the standard of care provided to Mrs. Strachan, based on the Hospital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447</w:t>
      </w:r>
      <w:r>
        <w:rPr>
          <w:rFonts w:ascii="arial" w:eastAsia="arial" w:hAnsi="arial" w:cs="arial"/>
          <w:color w:val="000000"/>
          <w:sz w:val="20"/>
          <w:lang w:val="en-US" w:eastAsia="en-US" w:bidi="ar-SA"/>
        </w:rPr>
        <w:t>  In tracing Mrs. Strachan's history, Nurse Grixti observed that the monitor strip showed that Mrs. Strachan was contracting every three to five minutes, lasting approximately one minute; that "the contraction pattern is only interpretable up until approximately 4:15 a.m. She also noted that at approximately 4:19 a.m. the continuous fetal monitoring was discontinued "and Karen allowed to continue to labour in a chair". And that "during the time Karen was labouring in the chair and the continuous fetal monitoring was not in progress "the nurse continued to ausculate the fetal heart and document her findings on the partogram". She also said that at approximately 5:00 a.m. Mrs. Strachan complained of constant abdominal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448</w:t>
      </w:r>
      <w:r>
        <w:rPr>
          <w:rFonts w:ascii="arial" w:eastAsia="arial" w:hAnsi="arial" w:cs="arial"/>
          <w:color w:val="000000"/>
          <w:sz w:val="20"/>
          <w:lang w:val="en-US" w:eastAsia="en-US" w:bidi="ar-SA"/>
        </w:rPr>
        <w:t>  I observe at this point that both of the last observations, or findings, are simply incorrect. The evidence, and she agreed, is that the nurse only ausculated the fetal heart on one occasion during that period, that is, from 4:19 a.m. to 5:00 a.m., and that the complaint of constant abdominal pain was made prior to 4:45 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449</w:t>
      </w:r>
      <w:r>
        <w:rPr>
          <w:rFonts w:ascii="arial" w:eastAsia="arial" w:hAnsi="arial" w:cs="arial"/>
          <w:color w:val="000000"/>
          <w:sz w:val="20"/>
          <w:lang w:val="en-US" w:eastAsia="en-US" w:bidi="ar-SA"/>
        </w:rPr>
        <w:t>  The Report is very brief. Nurse Grixti opines that "the nurses maintained the standards of nursing care while caring for Karen in labour". She said that this was demonstrated by eight facts, the latter four are as follows:</w:t>
      </w:r>
      <w:r>
        <w:rPr>
          <w:rFonts w:ascii="arial" w:eastAsia="arial" w:hAnsi="arial" w:cs="arial"/>
          <w:sz w:val="20"/>
          <w:lang w:val="en-US" w:eastAsia="en-US" w:bidi="ar-SA"/>
        </w:rPr>
        <w:cr/>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appropriate observations of Karen and her fetus were performed during the first stage of labour;</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appropriate emergency measures and assessments were carried out by the nurse upon recognizing a deviation from normal;</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doctor was kept informed of Karen's progress and status of labour in a timely manner;</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adequate observations were taken prior to and following a clinical procedure.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find the Report to be somewhat sketchy and general.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450</w:t>
      </w:r>
      <w:r>
        <w:rPr>
          <w:rFonts w:ascii="arial" w:eastAsia="arial" w:hAnsi="arial" w:cs="arial"/>
          <w:color w:val="000000"/>
          <w:sz w:val="20"/>
          <w:lang w:val="en-US" w:eastAsia="en-US" w:bidi="ar-SA"/>
        </w:rPr>
        <w:t>  The witness was referred to Nurse Radmanovic's evidence that the fetal heart strip with reference to panels 24367 and 24368 were non-reassuring. She did not agree. She said simply that there appeared to be a loss of contact with the fetal monitoring at that time; also that the tracing prior to those two panels was reactive tracing, that is, what she defined as "good fetal well-being".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451</w:t>
      </w:r>
      <w:r>
        <w:rPr>
          <w:rFonts w:ascii="arial" w:eastAsia="arial" w:hAnsi="arial" w:cs="arial"/>
          <w:color w:val="000000"/>
          <w:sz w:val="20"/>
          <w:lang w:val="en-US" w:eastAsia="en-US" w:bidi="ar-SA"/>
        </w:rPr>
        <w:t>  Nurse Grixti also disagreed with Nurse Radmanovic's opinion that because of the non-reassuring portion of the strip, electronic fetal monitoring should have been continued at that point. She said that it would not be standard to keep it on because of the loss of contact in the two panels. I had some difficulty with this evidence, and the apparent explaining away of the monitor strip differences.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452</w:t>
      </w:r>
      <w:r>
        <w:rPr>
          <w:rFonts w:ascii="arial" w:eastAsia="arial" w:hAnsi="arial" w:cs="arial"/>
          <w:color w:val="000000"/>
          <w:sz w:val="20"/>
          <w:lang w:val="en-US" w:eastAsia="en-US" w:bidi="ar-SA"/>
        </w:rPr>
        <w:t>  She also disagreed with Nurse Radmanovic's opinion that when Mrs. Strachan complained of constant abdominal pain at 4:45 a.m., "the physician should have been notified immediately of that pain"; an opinion which is contextual and with which I agree. When asked why she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There's a series of checks that nurses working in labour and delivery need to perform to rule out any condition or confirm a condition, and you have to look at the whole clinical picture and make a clinical judgment prior to -- ... and use your clinical judgment prior to contacting the doctor. There could be several reasons for abdominal pain in labour.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She agreed that what she said applied with reference to VBAC patients. Her evidence is similar to that given by the defence experts, evidence which caused me some concern. It seemingly ignores the time factor and focuses on other reasons for abdominal pain, where the timely focus should be solely on the sign or symptoms observed and the question of whether or not a developing uterine rupture can be excluded as the cause. I prefer the evidence and opinions of Nurse Radmanovic where there is a conflict.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Cross-Examination By Mr. Smith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453</w:t>
      </w:r>
      <w:r>
        <w:rPr>
          <w:rFonts w:ascii="arial" w:eastAsia="arial" w:hAnsi="arial" w:cs="arial"/>
          <w:color w:val="000000"/>
          <w:sz w:val="20"/>
          <w:lang w:val="en-US" w:eastAsia="en-US" w:bidi="ar-SA"/>
        </w:rPr>
        <w:t>  Nurse Grixti acknowledged that in order for someone to properly exercise clinical judgment, they must first of all think of the various possible causes for the patient's complaint, in order to go through them one by one and rule them out or confirm them. She said that she found the monitor strip which commenced at 5:01 a.m. to be reassuring. While there was some decreased variability, she was of the view that this was as a result of the Demerol Mrs. Strachan had been given. She also noted that there appeared to be a loss of contact there, where the nurse had recorded that it was maternal pulse, and she said that she would not have had any concern.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454</w:t>
      </w:r>
      <w:r>
        <w:rPr>
          <w:rFonts w:ascii="arial" w:eastAsia="arial" w:hAnsi="arial" w:cs="arial"/>
          <w:color w:val="000000"/>
          <w:sz w:val="20"/>
          <w:lang w:val="en-US" w:eastAsia="en-US" w:bidi="ar-SA"/>
        </w:rPr>
        <w:t>  She was then asked, aside from running the strip, what other assessments do the Records disclose to her that the nurses did about the complaint of constant abdominal pain before contacting Dr. Reynolds. She then looked at the Records, specifically the Nursing Admission Record and the partogram. She was unable to name any relevant tasks done by the nurses in response to the complaint of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455</w:t>
      </w:r>
      <w:r>
        <w:rPr>
          <w:rFonts w:ascii="arial" w:eastAsia="arial" w:hAnsi="arial" w:cs="arial"/>
          <w:color w:val="000000"/>
          <w:sz w:val="20"/>
          <w:lang w:val="en-US" w:eastAsia="en-US" w:bidi="ar-SA"/>
        </w:rPr>
        <w:t>  Nurse Grixti agreed that one of the important duties of a nurse is to keep complete and accurate charting as explained in Nurse Radmanovic's testimony. This includes the charting of changes both for the better and for the worse. She said: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Yes, if -- for instance, </w:t>
            </w:r>
            <w:r>
              <w:rPr>
                <w:rFonts w:ascii="arial" w:eastAsia="arial" w:hAnsi="arial" w:cs="arial"/>
                <w:color w:val="000000"/>
                <w:sz w:val="18"/>
                <w:u w:val="single"/>
                <w:lang w:val="en-US" w:eastAsia="en-US" w:bidi="ar-SA"/>
              </w:rPr>
              <w:t>if she had the pain and it subsides, then we would chart that, yes</w:t>
            </w:r>
            <w:r>
              <w:rPr>
                <w:rFonts w:ascii="arial" w:eastAsia="arial" w:hAnsi="arial" w:cs="arial"/>
                <w:color w:val="000000"/>
                <w:sz w:val="18"/>
                <w:lang w:val="en-US" w:eastAsia="en-US" w:bidi="ar-SA"/>
              </w:rPr>
              <w: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would chart it if the patient ever got to the point where she said the pain is gone completely. Is that what you said?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Yes, I think that's what I just said</w:t>
            </w:r>
            <w:r>
              <w:rPr>
                <w:rFonts w:ascii="arial" w:eastAsia="arial" w:hAnsi="arial" w:cs="arial"/>
                <w:color w:val="000000"/>
                <w:sz w:val="18"/>
                <w:lang w:val="en-US" w:eastAsia="en-US" w:bidi="ar-SA"/>
              </w:rPr>
              <w: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456</w:t>
      </w:r>
      <w:r>
        <w:rPr>
          <w:rFonts w:ascii="arial" w:eastAsia="arial" w:hAnsi="arial" w:cs="arial"/>
          <w:color w:val="000000"/>
          <w:sz w:val="20"/>
          <w:lang w:val="en-US" w:eastAsia="en-US" w:bidi="ar-SA"/>
        </w:rPr>
        <w:t>  I have previously set out much of the evidence. I have expressed my views and findings on it, indicating my preferences and the evidence which I accept. I have also set out my conclusions that the plaintiffs have proven, on the balance of probabilities that both Nurse Kinash and Dr. Reynolds breached their respective standard of care owed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457</w:t>
      </w:r>
      <w:r>
        <w:rPr>
          <w:rFonts w:ascii="arial" w:eastAsia="arial" w:hAnsi="arial" w:cs="arial"/>
          <w:color w:val="000000"/>
          <w:sz w:val="20"/>
          <w:lang w:val="en-US" w:eastAsia="en-US" w:bidi="ar-SA"/>
        </w:rPr>
        <w:t>  I now turn to the arguments. In this regard it is to be noted that I have, in effect, already dealt with many of the arguments when setting out the evidence. It will also be seen that a number of factual arguments, especially those advanced by defence counsel, are contrary to my views and findings already expressed in setting out the evidence. In any event, I do not propose to review in detail counsels' lengthy and detailed submissions on numerous subject matters, although I have given careful consideration to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458</w:t>
      </w:r>
      <w:r>
        <w:rPr>
          <w:rFonts w:ascii="arial" w:eastAsia="arial" w:hAnsi="arial" w:cs="arial"/>
          <w:color w:val="000000"/>
          <w:sz w:val="20"/>
          <w:lang w:val="en-US" w:eastAsia="en-US" w:bidi="ar-SA"/>
        </w:rPr>
        <w:t>  It is my view that generally speaking the case revolves around a few major facts: (1) the complaint of constant abdominal pain commencing shortly before 4:45 a.m., probably around 4:30 a.m. and lasting for at least 40 minutes; (2) the telephone call by Nurse Kinash to Dr. Reynolds at 5:10 a.m.; and (3) the conduct of both Nurse Kinash and Dr. Reynolds at the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SUBMISSION OF MR. SMITH - COUNSEL FOR THE PLAINTIFF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Standard of Care - Appropriate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459</w:t>
      </w:r>
      <w:r>
        <w:rPr>
          <w:rFonts w:ascii="arial" w:eastAsia="arial" w:hAnsi="arial" w:cs="arial"/>
          <w:color w:val="000000"/>
          <w:sz w:val="20"/>
          <w:lang w:val="en-US" w:eastAsia="en-US" w:bidi="ar-SA"/>
        </w:rPr>
        <w:t>  I have already touched on the peculiar situation of the VBAC patient, and the suggestion that VBAC patients should be treated as normal labouring patients. As stated in both the 19th and 20th editions of Williams Obstetrics, VBAC patients are neither normal nor low risk. In my view, to proceed on the basis that they are low risk creates a false perception of the VBAC baby, which may lead to those responsible for the baby simply ignoring or forgetting its real circumstances. This was well put by Madam Justice Boyd in Guerineau (supra), where Her Ladyship stated that the policy of characterizing VBAC patients as normal labouring patients "created an atmosphere of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460</w:t>
      </w:r>
      <w:r>
        <w:rPr>
          <w:rFonts w:ascii="arial" w:eastAsia="arial" w:hAnsi="arial" w:cs="arial"/>
          <w:color w:val="000000"/>
          <w:sz w:val="20"/>
          <w:lang w:val="en-US" w:eastAsia="en-US" w:bidi="ar-SA"/>
        </w:rPr>
        <w:t xml:space="preserve">  Mr. Smith says that it is not necessary to consider whether this practice is, in itself, negligent within the framework of ter Neuzen v. Korn </w:t>
      </w:r>
      <w:hyperlink r:id="rId92" w:history="1">
        <w:r>
          <w:rPr>
            <w:rFonts w:ascii="arial" w:eastAsia="arial" w:hAnsi="arial" w:cs="arial"/>
            <w:i/>
            <w:color w:val="0077CC"/>
            <w:sz w:val="20"/>
            <w:u w:val="single"/>
            <w:shd w:val="clear" w:color="auto" w:fill="FFFFFF"/>
            <w:lang w:val="en-US" w:eastAsia="en-US" w:bidi="ar-SA"/>
          </w:rPr>
          <w:t>(1995), 127 D.L.R. (4th) 577</w:t>
        </w:r>
      </w:hyperlink>
      <w:r>
        <w:rPr>
          <w:rFonts w:ascii="arial" w:eastAsia="arial" w:hAnsi="arial" w:cs="arial"/>
          <w:color w:val="000000"/>
          <w:sz w:val="20"/>
          <w:lang w:val="en-US" w:eastAsia="en-US" w:bidi="ar-SA"/>
        </w:rPr>
        <w:t xml:space="preserve"> (S.C.C.), particularly at pp. 592 and 593. In this regard, while the point was not argued, if I was required to decide it, my present views are that I would give serious consideration to a finding that the practice itself was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461</w:t>
      </w:r>
      <w:r>
        <w:rPr>
          <w:rFonts w:ascii="arial" w:eastAsia="arial" w:hAnsi="arial" w:cs="arial"/>
          <w:color w:val="000000"/>
          <w:sz w:val="20"/>
          <w:lang w:val="en-US" w:eastAsia="en-US" w:bidi="ar-SA"/>
        </w:rPr>
        <w:t>  In the case at Bar, the unique situation of the VBAC patient seemingly was overlooked. Even when the alarm sounded, the complaint of constant abdominal pain, those in charge of the trial of labour simply never directed their minds to the possibility of a developing uterine rupture. In my view, this coloured their post-warning conduct and their approach to the continued care of Mrs. Strachan.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462</w:t>
      </w:r>
      <w:r>
        <w:rPr>
          <w:rFonts w:ascii="arial" w:eastAsia="arial" w:hAnsi="arial" w:cs="arial"/>
          <w:color w:val="000000"/>
          <w:sz w:val="20"/>
          <w:lang w:val="en-US" w:eastAsia="en-US" w:bidi="ar-SA"/>
        </w:rPr>
        <w:t>  Dr. Reynolds is a family physician whose practice included delivering babies. Her conduct must be judged according to the standard of care of a reasonable family physician whose practice includes obstetrical care. The standard must be proved by expert evidence, preferably that of a family physician whose practice also includes obstetrical care; although it seems to me that in a given case the expert evidence of an obstetrician would be accepted.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463</w:t>
      </w:r>
      <w:r>
        <w:rPr>
          <w:rFonts w:ascii="arial" w:eastAsia="arial" w:hAnsi="arial" w:cs="arial"/>
          <w:color w:val="000000"/>
          <w:sz w:val="20"/>
          <w:lang w:val="en-US" w:eastAsia="en-US" w:bidi="ar-SA"/>
        </w:rPr>
        <w:t>  The plaintiffs rely on the evidence of Dr. Feinstadt and Dr. Doersam.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464</w:t>
      </w:r>
      <w:r>
        <w:rPr>
          <w:rFonts w:ascii="arial" w:eastAsia="arial" w:hAnsi="arial" w:cs="arial"/>
          <w:color w:val="000000"/>
          <w:sz w:val="20"/>
          <w:lang w:val="en-US" w:eastAsia="en-US" w:bidi="ar-SA"/>
        </w:rPr>
        <w:t>  I have already expressed my views that I prefer Dr. Doersam's and Dr. Feinstadt's evidence and opinions over those of the defence doctors where there is conflict. I refer in particular to Dr. D. McTaggart, a family practitioner and the three obstetrician/ gynaecologists, Dr. Cooper, Dr. Hudson and Dr. Williams; all of whom expressly offered opinions that Dr. Reynolds met the standard of care of a family physician. In this regard, Mr. Smith notes that none of them have ever practiced as a family physician delivering babies, and that Dr. Williams has never practiced as a general obstetrician/ gynaecologist, having gone directly into a sub-speciality of high risk obstetrics. He also notes that they all practice in hospitals where obstetricians and operating room staff are always on call within the building and a caesarean section can be performed more quickly than they can in a facility like the Hospital. I 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465</w:t>
      </w:r>
      <w:r>
        <w:rPr>
          <w:rFonts w:ascii="arial" w:eastAsia="arial" w:hAnsi="arial" w:cs="arial"/>
          <w:color w:val="000000"/>
          <w:sz w:val="20"/>
          <w:lang w:val="en-US" w:eastAsia="en-US" w:bidi="ar-SA"/>
        </w:rPr>
        <w:t>  I do not find it difficult to determine the standard from the evidence before me, particularly that of Dr. Feinstadt. The primary dispute is over what Dr. Reynolds did, or should have done in the circumstances of the case. Mr. Smith emphasised the differences between an obstetrician versus a family physician. He said that with regards to Dr. Reynolds, the issue is whether she, as a family physician, should have recognized her own limitations and seen the need for the advice of an obstetrician; that where a family physician believes that a caesarean section is necessary she must call the obstetrician and await for the obstetrician to arrive "in order for the obstetrician to confirm that assessment and to perform the operation".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Complaint of Constant Abdominal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466</w:t>
      </w:r>
      <w:r>
        <w:rPr>
          <w:rFonts w:ascii="arial" w:eastAsia="arial" w:hAnsi="arial" w:cs="arial"/>
          <w:color w:val="000000"/>
          <w:sz w:val="20"/>
          <w:lang w:val="en-US" w:eastAsia="en-US" w:bidi="ar-SA"/>
        </w:rPr>
        <w:t>  Mr. Smith emphasises that one of the signs of uterine rupture is unusual abdominal pain. He noted that Dr. Doersam, whose evidence I accept, said that the character of the pain was variable, although the essential feature of worrisome pain in a trial of labour is its occurrence between contractions and its novelty. Dr. Doersam also said that constant abdominal pain must be taken as a sign of womb separation. I agree, unless and until the physician is able to exclude a developing uterine rupture as the cause of the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467</w:t>
      </w:r>
      <w:r>
        <w:rPr>
          <w:rFonts w:ascii="arial" w:eastAsia="arial" w:hAnsi="arial" w:cs="arial"/>
          <w:color w:val="000000"/>
          <w:sz w:val="20"/>
          <w:lang w:val="en-US" w:eastAsia="en-US" w:bidi="ar-SA"/>
        </w:rPr>
        <w:t>  Mr. Smith emphasised that the evidence of Mrs. Strachan and her husband is that her pain was constant by the time she arrived at the hospital. I have found this to be the case, although Mrs. Strachan may not have been able to define the pain, or to distinguish it clearly from contraction pain, at that time. I have also found, contrary to Nurse Kinash's later evidence, that the complaint of constant abdominal pain was articulated by Mrs. Strachan some time prior to 4:45 a.m., probably by 4:30 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468</w:t>
      </w:r>
      <w:r>
        <w:rPr>
          <w:rFonts w:ascii="arial" w:eastAsia="arial" w:hAnsi="arial" w:cs="arial"/>
          <w:color w:val="000000"/>
          <w:sz w:val="20"/>
          <w:lang w:val="en-US" w:eastAsia="en-US" w:bidi="ar-SA"/>
        </w:rPr>
        <w:t>  With regard to the location of the pain, I have accepted Dr. Doersam's view that the location of the pain in the abdomen is not as important as the fact that it is continuous and novel. In any event, I have indicated that I am unable to accept Dr. Reynolds' trial evidence that when the pain was reported to her by Nurse Kinash at 5:10 a.m., the nurse described it as "upper abdominal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469</w:t>
      </w:r>
      <w:r>
        <w:rPr>
          <w:rFonts w:ascii="arial" w:eastAsia="arial" w:hAnsi="arial" w:cs="arial"/>
          <w:color w:val="000000"/>
          <w:sz w:val="20"/>
          <w:lang w:val="en-US" w:eastAsia="en-US" w:bidi="ar-SA"/>
        </w:rPr>
        <w:t>  I am satisfied that the pain, as recorded, was in fact, constant abdominal pain. However, even if the evidence was of a complaint at some point about upper abdominal pain, I do not believe that in the final analysis this would make any difference. Neither Dr. Reynolds, nor Nurse Kinash, would have been relieved of their respective obligations to consider the possibility of a developing uterine rupture causing the constant abdominal pain and, as well, what I would call the "disruptive" information disclosed by the strips.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470</w:t>
      </w:r>
      <w:r>
        <w:rPr>
          <w:rFonts w:ascii="arial" w:eastAsia="arial" w:hAnsi="arial" w:cs="arial"/>
          <w:color w:val="000000"/>
          <w:sz w:val="20"/>
          <w:lang w:val="en-US" w:eastAsia="en-US" w:bidi="ar-SA"/>
        </w:rPr>
        <w:t>  I am fully satisfied that the constant abdominal pain, which Mrs. Strachan experienced for at least 40 minutes on the morning in question, was caused by the then developing uterine rupture. The dehiscence of the scar was in progress some time prior to 4:45 a.m.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Other Symptoms Of Uterine Rupture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471</w:t>
      </w:r>
      <w:r>
        <w:rPr>
          <w:rFonts w:ascii="arial" w:eastAsia="arial" w:hAnsi="arial" w:cs="arial"/>
          <w:color w:val="000000"/>
          <w:sz w:val="20"/>
          <w:lang w:val="en-US" w:eastAsia="en-US" w:bidi="ar-SA"/>
        </w:rPr>
        <w:t>  There are other symptoms associated with a developing uterine rupture such as changed contraction patterns and abnormalities in the fetal heart rate which are generally identified by monitoring them. Generally speaking, it may be said that these other signs are elusive in that the sense that they do not appear, until its too late.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Monitor Strips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472</w:t>
      </w:r>
      <w:r>
        <w:rPr>
          <w:rFonts w:ascii="arial" w:eastAsia="arial" w:hAnsi="arial" w:cs="arial"/>
          <w:color w:val="000000"/>
          <w:sz w:val="20"/>
          <w:lang w:val="en-US" w:eastAsia="en-US" w:bidi="ar-SA"/>
        </w:rPr>
        <w:t>  Mr. Smith observed that the defendants have spent much of their time attempting to show that the fetal heart strips were reassuring until they were discontinued at 5:40 a.m. Both Dr. Doersam and Dr. Feinstadt were of the view that the strips were not reassuring in the context of a VBAC patient complaining of constant abdominal pain. They also said that the strips, in and of themselves, were not necessarily ominous. Mr. Smith noted that the difference between the defendants' experts and the plaintiffs' experts was not as wide as they appeared to 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473</w:t>
      </w:r>
      <w:r>
        <w:rPr>
          <w:rFonts w:ascii="arial" w:eastAsia="arial" w:hAnsi="arial" w:cs="arial"/>
          <w:color w:val="000000"/>
          <w:sz w:val="20"/>
          <w:lang w:val="en-US" w:eastAsia="en-US" w:bidi="ar-SA"/>
        </w:rPr>
        <w:t>  The question is: do you look at the strips alone (as apparently the defence experts do) or in the wider context of a VBAC patient experiencing severe constant abdominal pain almost at the end of her trial of labour (the approach taken by the plaintiffs' experts). I observe that in my opinion the contextual approach taken by Dr. Doersam and Dr. Feinstadt is the better one and brings more weight to their opinions.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474</w:t>
      </w:r>
      <w:r>
        <w:rPr>
          <w:rFonts w:ascii="arial" w:eastAsia="arial" w:hAnsi="arial" w:cs="arial"/>
          <w:color w:val="000000"/>
          <w:sz w:val="20"/>
          <w:lang w:val="en-US" w:eastAsia="en-US" w:bidi="ar-SA"/>
        </w:rPr>
        <w:t>  Mr. Smith then submitted that in the context of the case, the fetal heart strips and the interpretation of them are largely irrelevant. This, he said, was because of the short time that elapses between the onset of decelerations and the occurrence of injury to the baby; and because of the longer time that would be needed to perform a caesarean section at the relevant time and place, Dr. Reynolds could not afford to wait until the strip became non-reassuring. I am also of the view, as previously stated, that at the least, the strips, when carefully reviewed in context, indicate sufficient changes which simply cannot be reassuring. Rather they bolster the view that emergency surgery should have been performed on the basis of the constant abdominal pain alone. And the lack of information when the monitoring, whether fixed or portable, was wrongly discontinued, is another negative to be weighed, if timely.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475</w:t>
      </w:r>
      <w:r>
        <w:rPr>
          <w:rFonts w:ascii="arial" w:eastAsia="arial" w:hAnsi="arial" w:cs="arial"/>
          <w:color w:val="000000"/>
          <w:sz w:val="20"/>
          <w:lang w:val="en-US" w:eastAsia="en-US" w:bidi="ar-SA"/>
        </w:rPr>
        <w:t>  Mr. Smith also emphasised the difference between the Hospital and larger hospitals, for example in Vancouver, where obstetricians, anaesthetist and other staff are always available and a caesarean section can take place within 18 minutes; while in Kelowna, operating personnel all have to be called in to the Hospital in the early morning hours, and the time frame is about 30 minutes from the time the problem is recognized. Mr. Smith emphasised that all involved in the care of Mrs. Strachan knew, or ought to have known, that if they waited for decelerations before considering the diagnosis of uterine rupture, it would be too late.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476</w:t>
      </w:r>
      <w:r>
        <w:rPr>
          <w:rFonts w:ascii="arial" w:eastAsia="arial" w:hAnsi="arial" w:cs="arial"/>
          <w:color w:val="000000"/>
          <w:sz w:val="20"/>
          <w:lang w:val="en-US" w:eastAsia="en-US" w:bidi="ar-SA"/>
        </w:rPr>
        <w:t>  Finally, on this point, Mr. Smith submitted that the evidence is therefore overwhelming, that in order for the doctor in a facility like the Hospital to properly protect the health of the mother and baby, he or she must be alert to the first signs or symptoms that may indicate the possibility of a developing uterine rupture, and must deal with them swiftly. If the diagnosis is not entertained until there are concrete abnormalities in the fetal heart rate, it will already be too late.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Change In The Contraction Pattern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477</w:t>
      </w:r>
      <w:r>
        <w:rPr>
          <w:rFonts w:ascii="arial" w:eastAsia="arial" w:hAnsi="arial" w:cs="arial"/>
          <w:color w:val="000000"/>
          <w:sz w:val="20"/>
          <w:lang w:val="en-US" w:eastAsia="en-US" w:bidi="ar-SA"/>
        </w:rPr>
        <w:t>  The plaintiff's position is that the failure of the defendant nurse to recognize the significance of the constant abdominal pain by itself is enough to establish liability on the part of Nurse Kinash. I agree. However, the plaintiffs say that there was another sign of possible uterine rupture that the defendants failed to recognize. That is, a reduced or incoordinate contraction pattern, which was revealed by the monitoring strip that was run for 16 minutes after Mrs. Strachan complained about the constant abdominal pain. Nurse Kinash's evidence at discovery was that she noted from the strip that contractions had "eased off" meaning that they had become less frequent. She also gave the evidence at discovery that at the time she did not think about the fact that reduced or incoordinate contraction pattern is also a potential sign of a uterine rupture.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478</w:t>
      </w:r>
      <w:r>
        <w:rPr>
          <w:rFonts w:ascii="arial" w:eastAsia="arial" w:hAnsi="arial" w:cs="arial"/>
          <w:color w:val="000000"/>
          <w:sz w:val="20"/>
          <w:lang w:val="en-US" w:eastAsia="en-US" w:bidi="ar-SA"/>
        </w:rPr>
        <w:t>  I have already found that the reduced contraction pattern, which Nurse Kinash observed, may be seen when the second strip, which ran from 5:01 to 5:17 a.m. is compared to the first strip, which ran from about 4:00 to 4:19 a.m. I also found earlier that the reduced contraction pattern was a second symptom of the possibility of a developing uterine rupture.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479</w:t>
      </w:r>
      <w:r>
        <w:rPr>
          <w:rFonts w:ascii="arial" w:eastAsia="arial" w:hAnsi="arial" w:cs="arial"/>
          <w:color w:val="000000"/>
          <w:sz w:val="20"/>
          <w:lang w:val="en-US" w:eastAsia="en-US" w:bidi="ar-SA"/>
        </w:rPr>
        <w:t>  Nurse Kinash did not convey her impression of the monitoring strip and her assessments of the contractions to Dr. Reynolds in her telephone conversation of 5:10 a.m., or draw it to the attention of Dr. Reynolds when she arrived at 5:30. Clearly, she should have done so. However, Mr. Smith points out that the monitor strip was there to be seen by Dr. Reynolds when she arrived. And Dr. Reynolds in fact, agreed that the strip showed less frequent contractions. Nurse Kinash was unable to say what happened to the contraction pattern after 5:17 a.m. She made no attempt to watch the situation to determine if the changes continued. Nurse Grixti said that was what should have been done. It is to be remembered as well that after Dr. Reynolds ruptured the amniotic membrane and the monitor strip resumed, the contraction portion of the strip was not activated. Nurse Kinash was unable to offer any explanation for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480</w:t>
      </w:r>
      <w:r>
        <w:rPr>
          <w:rFonts w:ascii="arial" w:eastAsia="arial" w:hAnsi="arial" w:cs="arial"/>
          <w:color w:val="000000"/>
          <w:sz w:val="20"/>
          <w:lang w:val="en-US" w:eastAsia="en-US" w:bidi="ar-SA"/>
        </w:rPr>
        <w:t>  Dr. Reynolds admitted that there was not one single contraction documented in the Hospital Records after about 5:08 a.m., or at the latest 5:17 a.m. However, she suggested that it was possible to see by observation when a woman is contracting and that she felt that she had observed Mrs. Strachan having contractions. I have already indicated that I have concerns with this evidence, if the point of it is to explain away the lack of proper monitoring, or strip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481</w:t>
      </w:r>
      <w:r>
        <w:rPr>
          <w:rFonts w:ascii="arial" w:eastAsia="arial" w:hAnsi="arial" w:cs="arial"/>
          <w:color w:val="000000"/>
          <w:sz w:val="20"/>
          <w:lang w:val="en-US" w:eastAsia="en-US" w:bidi="ar-SA"/>
        </w:rPr>
        <w:t>  I also have concerns with Dr. Reynolds' attempt at trial to suggest that a decrease in contractions would not have been concerning, in the context of the uterine rupture, because the Guidelines talk about cessation of contractions, not a lessening of them. The Guidelines also talks about incoordinate uterine patterns which I am satisfied refers to decreased contractions, or at the least, another sign of a developing uterine rupture. Further, in this regard, her assertion is contradicted by the evidence of one of her own experts, Dr. Cooper. He said that any change in the contraction pattern would give rise to a suspicion of uterine rupture. And Dr. Reynolds gave evidence to the same effect at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482</w:t>
      </w:r>
      <w:r>
        <w:rPr>
          <w:rFonts w:ascii="arial" w:eastAsia="arial" w:hAnsi="arial" w:cs="arial"/>
          <w:color w:val="000000"/>
          <w:sz w:val="20"/>
          <w:lang w:val="en-US" w:eastAsia="en-US" w:bidi="ar-SA"/>
        </w:rPr>
        <w:t>  Mr. Smith pointed out that at trial Dr. Reynolds agreed that if she had more than one symptom suggestive of uterine rupture, she would have called the obstetrician immediately. In fact she did have two symptoms, the constant abdominal pain, and the reduced contraction pattern; and perhaps a third, a change in fetal heart rate, considered in the context of the constant abdominal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483</w:t>
      </w:r>
      <w:r>
        <w:rPr>
          <w:rFonts w:ascii="arial" w:eastAsia="arial" w:hAnsi="arial" w:cs="arial"/>
          <w:color w:val="000000"/>
          <w:sz w:val="20"/>
          <w:lang w:val="en-US" w:eastAsia="en-US" w:bidi="ar-SA"/>
        </w:rPr>
        <w:t>  Mr. Smith points out that because contractions were never monitored after 5:17 a.m., it is impossible to say when, or if, they stopped. He submitted that since contractions were seen to have slowed down less than one hour before the uterine rupture occurred, the inference to be drawn, on the balance of probabilities, was that it was continuing to slow down and ultimately stopped. I agree. I reject the suggestion, if it is the defendant's position, that although decrease in contractions is a sign of uterine rupture and a rupture occurred, the decrease in contractions seen was only a coincidence, and that the condition returned to normal half an hour or less before the rupture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484</w:t>
      </w:r>
      <w:r>
        <w:rPr>
          <w:rFonts w:ascii="arial" w:eastAsia="arial" w:hAnsi="arial" w:cs="arial"/>
          <w:color w:val="000000"/>
          <w:sz w:val="20"/>
          <w:lang w:val="en-US" w:eastAsia="en-US" w:bidi="ar-SA"/>
        </w:rPr>
        <w:t>  Counsel said that this was not believable: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should certainly not be accepted in the absence of a careful effort to assess the contraction pattern for any improvement and in the absence of any documented improvement. It is even less likely when one considers the fact that the slowing of contractions, a known warning sign of uterine rupture occurred at about the same time as another known warning sign of uterine rupture, the unusual abdominal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gave a similar response to the suggestion that the monitor strip does not always pick up contractions, and that there were other reasons for a slowing of contractions, including the effect of analgesics.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485</w:t>
      </w:r>
      <w:r>
        <w:rPr>
          <w:rFonts w:ascii="arial" w:eastAsia="arial" w:hAnsi="arial" w:cs="arial"/>
          <w:color w:val="000000"/>
          <w:sz w:val="20"/>
          <w:lang w:val="en-US" w:eastAsia="en-US" w:bidi="ar-SA"/>
        </w:rPr>
        <w:t>  Mr. Smith then referred to the Guerineau case, where the patient's burning pain in the vagina was assumed to be a side effect of vaginal gel that had been used for the purpose of inducing labour. The defence asserted that the location and/or nature of the pain was not the classic presentation of an uterine rupture. The Court found that the nurses' duty was to consider the unusual pain in light of the most serious possible explanation - uterine rupture. And I note that in that case the pain was entirely outside the abdomen.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486</w:t>
      </w:r>
      <w:r>
        <w:rPr>
          <w:rFonts w:ascii="arial" w:eastAsia="arial" w:hAnsi="arial" w:cs="arial"/>
          <w:color w:val="000000"/>
          <w:sz w:val="20"/>
          <w:lang w:val="en-US" w:eastAsia="en-US" w:bidi="ar-SA"/>
        </w:rPr>
        <w:t>  Mr. Smith submitted that both Dr. Reynolds and Nurse Kinash were negligent in failing to consider the connection between a falling off of contractions and the risk of uterine rupture, and in failing to carefully monitor the contraction pattern for any sign of either improvement or further deterioration. Counsel submitted that if Dr. Reynolds had considered the decreased frequency of contractions in the proper context, including the fact that there had been a complaint of constant abdominal pain, her clear duty would have been to call the obstetrician at that point if she had not already done so, and probably to alert the rest of the caesarean section team. It is also likely that the monitor would have remained on after 5:40 a.m., when it was taken off for the patient to go to the bathroom. If a portable monitor had been used, the first changes in the fetal heart rate would have probably been noted earlier, as would the continuing lack of contractions, with everybody in place, and the caesarean section could have been performed earlier. I am in basic agreement with these submissions.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Dr. Reynolds - The Telephone Call At 5:10 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487</w:t>
      </w:r>
      <w:r>
        <w:rPr>
          <w:rFonts w:ascii="arial" w:eastAsia="arial" w:hAnsi="arial" w:cs="arial"/>
          <w:color w:val="000000"/>
          <w:sz w:val="20"/>
          <w:lang w:val="en-US" w:eastAsia="en-US" w:bidi="ar-SA"/>
        </w:rPr>
        <w:t>  The plaintiffs rely on Dr. Feinstadt's statement, contained in his Report, that when notified by the nursing staff of concerns regarding constant abdominal pain, Dr. Reynolds should have been concerned about the possibility of dehiscence of the previous uterine incision, and the risk of impending uterine rupture. She should have, at that point, notified the obstetrician on call if that had not been done previously. He said that the two hallmarks of trial of labour are first a very high index of suspicion and second, a very low threshold for getting help. I 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488</w:t>
      </w:r>
      <w:r>
        <w:rPr>
          <w:rFonts w:ascii="arial" w:eastAsia="arial" w:hAnsi="arial" w:cs="arial"/>
          <w:color w:val="000000"/>
          <w:sz w:val="20"/>
          <w:lang w:val="en-US" w:eastAsia="en-US" w:bidi="ar-SA"/>
        </w:rPr>
        <w:t>  Mr. Smith submitted that neither threshold was met. He also emphasised that Dr. Feinstadt stressed the need to anticipate and react to problems before it reached a crisis stage, particularly in the situation where necessary help is not immediately available in the hospital. He gave the analogy that one should not have to fall through the ice before one realizes its getting thin.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489</w:t>
      </w:r>
      <w:r>
        <w:rPr>
          <w:rFonts w:ascii="arial" w:eastAsia="arial" w:hAnsi="arial" w:cs="arial"/>
          <w:color w:val="000000"/>
          <w:sz w:val="20"/>
          <w:lang w:val="en-US" w:eastAsia="en-US" w:bidi="ar-SA"/>
        </w:rPr>
        <w:t>  Mr. Smith says that the fact that Dr. Reynolds never turned her mind to the possibility of uterine rupture, which I have found to be the case, is the most important fact of the case. He points out that Dr. Reynolds, herself, says that one symptom was sufficient to raise suspicion of a developing uterine rupture and required her to address its possibility. Her own expert, Dr. Williams, gave similar evidence. He said that a physician, knowing nothing but the fact that a VBAC patient was complaining of constant abdominal pain, would realize that one possible explanation for the pain might be a uterine rupture, or the beginning of a uterine rupture; that that possibility had to be kept in mind as the physician goes through the process of trying to identify and narrow down the possible causes; and, I would add, exclude a developing uterine rupture as the cause. Thus, on Dr. Williams' evidence, Dr. Reynolds failed to consider that which she should have, based on the telephone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490</w:t>
      </w:r>
      <w:r>
        <w:rPr>
          <w:rFonts w:ascii="arial" w:eastAsia="arial" w:hAnsi="arial" w:cs="arial"/>
          <w:color w:val="000000"/>
          <w:sz w:val="20"/>
          <w:lang w:val="en-US" w:eastAsia="en-US" w:bidi="ar-SA"/>
        </w:rPr>
        <w:t xml:space="preserve">  Mr. Smith submitted that Dr. Reynolds' failure to turn her mind to the most serious possible explanation is all that the plaintiffs need to show to establish 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Her own evidence was that a patient's complaints must be considered in light of the known possible explanations. It was submitted that her admissions are all consistent with the evidence of Dr. Feinstadt - that on being told of the constant abdominal pain she had to ask herself whether it was possible that the cause of the pain Mrs. Strachan was experiencing was uterine rupture; and proceed from that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491</w:t>
      </w:r>
      <w:r>
        <w:rPr>
          <w:rFonts w:ascii="arial" w:eastAsia="arial" w:hAnsi="arial" w:cs="arial"/>
          <w:color w:val="000000"/>
          <w:sz w:val="20"/>
          <w:lang w:val="en-US" w:eastAsia="en-US" w:bidi="ar-SA"/>
        </w:rPr>
        <w:t>  I have already expressed the view that I thought that Dr. McTaggart at times appeared to assume the role of an advocate, rather than an expert giving objective evidence to assist the Court. For example, I do not believe there is any dispute that while it is the nurses' duty to report what is happening, diagnosis is the task of the physician. In this regard Dr. McTaggart maintained that in effect Dr. Reynolds could rely entirely on the tone or level of concern expressed by Nurse Kinash when Dr. Reynolds was determining whether or not the matter was urgent.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492</w:t>
      </w:r>
      <w:r>
        <w:rPr>
          <w:rFonts w:ascii="arial" w:eastAsia="arial" w:hAnsi="arial" w:cs="arial"/>
          <w:color w:val="000000"/>
          <w:sz w:val="20"/>
          <w:lang w:val="en-US" w:eastAsia="en-US" w:bidi="ar-SA"/>
        </w:rPr>
        <w:t>  Dr. Reynolds was required, at a minimum, to obtain details about the pain being complained of from the nurse. I agree with Mr. Smith that the defence of "error of judgment" is not available to Dr. Reynolds. The exercise of clinical judgment requires consideration of all of the relevant facts and possibilities. And above all it must include thinking specifically about the relevant possibilities, particularly the most serious explanation, here, that of a developing uterine rupture; and the conducting of a critical investigation of that possibility and whether it could be excluded.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Consequences Of Dr. Reynolds' Failure To Think About Uterine Rupture, Or A Developing Uterine Rupture at 5:10 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493</w:t>
      </w:r>
      <w:r>
        <w:rPr>
          <w:rFonts w:ascii="arial" w:eastAsia="arial" w:hAnsi="arial" w:cs="arial"/>
          <w:color w:val="000000"/>
          <w:sz w:val="20"/>
          <w:lang w:val="en-US" w:eastAsia="en-US" w:bidi="ar-SA"/>
        </w:rPr>
        <w:t>  Dr. Doersam said that any physician caring for Mrs. Strachan would have expected to be notified of constant abdominal pain. Dr. Yoshida said that an obstetrician would expect to be notified of constant abdominal pain. Drs. Hudson and Williams both said that they would expect to be notified by a family physician who was concerned about the possibility of uterine rupture. In my view, Dr. Reynolds should have been so concerned.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494</w:t>
      </w:r>
      <w:r>
        <w:rPr>
          <w:rFonts w:ascii="arial" w:eastAsia="arial" w:hAnsi="arial" w:cs="arial"/>
          <w:color w:val="000000"/>
          <w:sz w:val="20"/>
          <w:lang w:val="en-US" w:eastAsia="en-US" w:bidi="ar-SA"/>
        </w:rPr>
        <w:t>  Dr. Doersam also opined that in his view, the medical emergency took place at 4:45 a.m.; when Mrs. Strachan complained of constant abdominal pain (I would suggest that it is better put: "when Nurse Kinash became concerned about the complaint of constant pain"). Yet indication was not given to terminate the trial of labour and divert the disaster, which eventually took place, at 6:05 a.m. I 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495</w:t>
      </w:r>
      <w:r>
        <w:rPr>
          <w:rFonts w:ascii="arial" w:eastAsia="arial" w:hAnsi="arial" w:cs="arial"/>
          <w:color w:val="000000"/>
          <w:sz w:val="20"/>
          <w:lang w:val="en-US" w:eastAsia="en-US" w:bidi="ar-SA"/>
        </w:rPr>
        <w:t>  Mr. Smith referred to Dr. Doersam's evidence as to what Dr. Reynolds should have done, as a reasonably competent family physician on hearing the complaint of constant abdominal pain; which was to call the obstetrician and have him meet her at the Hospital with the report that "I have a trial of labour that has gone of the rails". He referred to Dr. Reynolds' own evidence on cross-examination which made it clear what she would have done if she had considered the possibility of uterine rupture. She knew that in dealing with the VBAC patient, that she had to exercise a high degree of caution and have a high index of suspicion. She knew also that if she realized that there was any possibility of uterine rupture occurring, she would have to err on the side of caution.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496</w:t>
      </w:r>
      <w:r>
        <w:rPr>
          <w:rFonts w:ascii="arial" w:eastAsia="arial" w:hAnsi="arial" w:cs="arial"/>
          <w:color w:val="000000"/>
          <w:sz w:val="20"/>
          <w:lang w:val="en-US" w:eastAsia="en-US" w:bidi="ar-SA"/>
        </w:rPr>
        <w:t>  Finally, I point out that Dr. Reynolds had no experience whatsoever with a developing uterine rupture, or actual uterine rupture in a VBAC patient. Hence, in my view, if she had directed her mind to the question of whether or not she was dealing with a developing uterine rupture, as a reasonable or prudent general practitioner she would have immediately communicated with a specialist obstetrician who would have taken over the care of Mrs. Strachan, in consultation with Dr. Reynolds, and in the end arranged for an emergency caesarean section as quickly as possible. In other words, Dr. Reynolds would have recognized her limitations.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497</w:t>
      </w:r>
      <w:r>
        <w:rPr>
          <w:rFonts w:ascii="arial" w:eastAsia="arial" w:hAnsi="arial" w:cs="arial"/>
          <w:color w:val="000000"/>
          <w:sz w:val="20"/>
          <w:lang w:val="en-US" w:eastAsia="en-US" w:bidi="ar-SA"/>
        </w:rPr>
        <w:t>  Mr. Smith also referred to evidence given by Dr. McTaggart as to what Dr. Reynolds should have done, assuming that she turned her mind to the question of whether the symptoms reported might possibly be related to uterine rupture. His evidence in this regard is consistent with that given by the plaintiff's witnesses, agreeing that if uterine rupture could not be ruled out, there would be a need for a caesarean section; that even if the doctor was only wondering about this, she would know that an obstetrician could give her a better 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498</w:t>
      </w:r>
      <w:r>
        <w:rPr>
          <w:rFonts w:ascii="arial" w:eastAsia="arial" w:hAnsi="arial" w:cs="arial"/>
          <w:color w:val="000000"/>
          <w:sz w:val="20"/>
          <w:lang w:val="en-US" w:eastAsia="en-US" w:bidi="ar-SA"/>
        </w:rPr>
        <w:t xml:space="preserve">  Reliance was placed on Vail v. MacDonald </w:t>
      </w:r>
      <w:hyperlink r:id="rId93" w:history="1">
        <w:r>
          <w:rPr>
            <w:rFonts w:ascii="arial" w:eastAsia="arial" w:hAnsi="arial" w:cs="arial"/>
            <w:i/>
            <w:color w:val="0077CC"/>
            <w:sz w:val="20"/>
            <w:u w:val="single"/>
            <w:shd w:val="clear" w:color="auto" w:fill="FFFFFF"/>
            <w:lang w:val="en-US" w:eastAsia="en-US" w:bidi="ar-SA"/>
          </w:rPr>
          <w:t>(1973), 41 D.L.R. (3d) 321</w:t>
        </w:r>
      </w:hyperlink>
      <w:r>
        <w:rPr>
          <w:rFonts w:ascii="arial" w:eastAsia="arial" w:hAnsi="arial" w:cs="arial"/>
          <w:color w:val="000000"/>
          <w:sz w:val="20"/>
          <w:lang w:val="en-US" w:eastAsia="en-US" w:bidi="ar-SA"/>
        </w:rPr>
        <w:t xml:space="preserve"> (Ont. C.A.), aff'd </w:t>
      </w:r>
      <w:hyperlink r:id="rId94" w:history="1">
        <w:r>
          <w:rPr>
            <w:rFonts w:ascii="arial" w:eastAsia="arial" w:hAnsi="arial" w:cs="arial"/>
            <w:i/>
            <w:color w:val="0077CC"/>
            <w:sz w:val="20"/>
            <w:u w:val="single"/>
            <w:shd w:val="clear" w:color="auto" w:fill="FFFFFF"/>
            <w:lang w:val="en-US" w:eastAsia="en-US" w:bidi="ar-SA"/>
          </w:rPr>
          <w:t>[1976] 2 S.C.R. 825</w:t>
        </w:r>
      </w:hyperlink>
      <w:r>
        <w:rPr>
          <w:rFonts w:ascii="arial" w:eastAsia="arial" w:hAnsi="arial" w:cs="arial"/>
          <w:color w:val="000000"/>
          <w:sz w:val="20"/>
          <w:lang w:val="en-US" w:eastAsia="en-US" w:bidi="ar-SA"/>
        </w:rPr>
        <w:t>, for the proposition that the duty of a family physician may include the duty to consult a specialist. In my opinion, that duty was breached by Dr. Reynolds.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499</w:t>
      </w:r>
      <w:r>
        <w:rPr>
          <w:rFonts w:ascii="arial" w:eastAsia="arial" w:hAnsi="arial" w:cs="arial"/>
          <w:color w:val="000000"/>
          <w:sz w:val="20"/>
          <w:lang w:val="en-US" w:eastAsia="en-US" w:bidi="ar-SA"/>
        </w:rPr>
        <w:t>  Mr. Smith continued:</w:t>
      </w:r>
      <w:r>
        <w:rPr>
          <w:rFonts w:ascii="arial" w:eastAsia="arial" w:hAnsi="arial" w:cs="arial"/>
          <w:sz w:val="20"/>
          <w:lang w:val="en-US" w:eastAsia="en-US" w:bidi="ar-SA"/>
        </w:rPr>
        <w:cr/>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 the extent the defence obstetricians dealt with this issue, they </w:t>
      </w:r>
      <w:r>
        <w:rPr>
          <w:rFonts w:ascii="arial" w:eastAsia="arial" w:hAnsi="arial" w:cs="arial"/>
          <w:color w:val="000000"/>
          <w:sz w:val="20"/>
          <w:u w:val="single"/>
          <w:lang w:val="en-US" w:eastAsia="en-US" w:bidi="ar-SA"/>
        </w:rPr>
        <w:t>largely relied</w:t>
      </w:r>
      <w:r>
        <w:rPr>
          <w:rFonts w:ascii="arial" w:eastAsia="arial" w:hAnsi="arial" w:cs="arial"/>
          <w:color w:val="000000"/>
          <w:sz w:val="20"/>
          <w:lang w:val="en-US" w:eastAsia="en-US" w:bidi="ar-SA"/>
        </w:rPr>
        <w:t xml:space="preserve"> on the fetal heart strip showing no decelerations. They all agreed that waiting for decelerations in this context would have been </w:t>
      </w:r>
      <w:r>
        <w:rPr>
          <w:rFonts w:ascii="arial" w:eastAsia="arial" w:hAnsi="arial" w:cs="arial"/>
          <w:color w:val="000000"/>
          <w:sz w:val="20"/>
          <w:u w:val="single"/>
          <w:lang w:val="en-US" w:eastAsia="en-US" w:bidi="ar-SA"/>
        </w:rPr>
        <w:t>too late</w:t>
      </w:r>
      <w:r>
        <w:rPr>
          <w:rFonts w:ascii="arial" w:eastAsia="arial" w:hAnsi="arial" w:cs="arial"/>
          <w:color w:val="000000"/>
          <w:sz w:val="20"/>
          <w:lang w:val="en-US" w:eastAsia="en-US" w:bidi="ar-SA"/>
        </w:rPr>
        <w:t xml:space="preserve">. According to the defence view, a doctor recognizing the possible implication of the pain complaint would consciously decide to wait until there was no conclusive evidence of a uterine rupture, knowing that by that time it would probably be too late to save the baby from injury. The evidence of Dr. Feinstadt and Dr. Doersam, which it is submitted should be accepted, make clear that this is </w:t>
      </w:r>
      <w:r>
        <w:rPr>
          <w:rFonts w:ascii="arial" w:eastAsia="arial" w:hAnsi="arial" w:cs="arial"/>
          <w:color w:val="000000"/>
          <w:sz w:val="20"/>
          <w:u w:val="single"/>
          <w:lang w:val="en-US" w:eastAsia="en-US" w:bidi="ar-SA"/>
        </w:rPr>
        <w:t>not the standard</w:t>
      </w:r>
      <w:r>
        <w:rPr>
          <w:rFonts w:ascii="arial" w:eastAsia="arial" w:hAnsi="arial" w:cs="arial"/>
          <w:color w:val="000000"/>
          <w:sz w:val="20"/>
          <w:lang w:val="en-US" w:eastAsia="en-US" w:bidi="ar-SA"/>
        </w:rPr>
        <w:t>. If it were, it is submitted that the matter would come within the exception in ter Neuzen that allows the Court to hold a common practice negligent. The Court would not require expert knowledge to hold such a practice as obviously fraught with danger.</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The expert witnesses seem far apart, but it is submitted that this difference can be explained by the fact that they are looking at different things</w:t>
      </w:r>
      <w:r>
        <w:rPr>
          <w:rFonts w:ascii="arial" w:eastAsia="arial" w:hAnsi="arial" w:cs="arial"/>
          <w:color w:val="000000"/>
          <w:sz w:val="20"/>
          <w:lang w:val="en-US" w:eastAsia="en-US" w:bidi="ar-SA"/>
        </w:rPr>
        <w:t xml:space="preserve">. Dr. Doersam is considering </w:t>
      </w:r>
      <w:r>
        <w:rPr>
          <w:rFonts w:ascii="arial" w:eastAsia="arial" w:hAnsi="arial" w:cs="arial"/>
          <w:color w:val="000000"/>
          <w:sz w:val="20"/>
          <w:u w:val="single"/>
          <w:lang w:val="en-US" w:eastAsia="en-US" w:bidi="ar-SA"/>
        </w:rPr>
        <w:t>the mother's conditions</w:t>
      </w:r>
      <w:r>
        <w:rPr>
          <w:rFonts w:ascii="arial" w:eastAsia="arial" w:hAnsi="arial" w:cs="arial"/>
          <w:color w:val="000000"/>
          <w:sz w:val="20"/>
          <w:lang w:val="en-US" w:eastAsia="en-US" w:bidi="ar-SA"/>
        </w:rPr>
        <w:t xml:space="preserve"> and the maternal reasons for doing a c-section. The defence experts are focusing on the </w:t>
      </w:r>
      <w:r>
        <w:rPr>
          <w:rFonts w:ascii="arial" w:eastAsia="arial" w:hAnsi="arial" w:cs="arial"/>
          <w:color w:val="000000"/>
          <w:sz w:val="20"/>
          <w:u w:val="single"/>
          <w:lang w:val="en-US" w:eastAsia="en-US" w:bidi="ar-SA"/>
        </w:rPr>
        <w:t>condition of the baby</w:t>
      </w:r>
      <w:r>
        <w:rPr>
          <w:rFonts w:ascii="arial" w:eastAsia="arial" w:hAnsi="arial" w:cs="arial"/>
          <w:color w:val="000000"/>
          <w:sz w:val="20"/>
          <w:lang w:val="en-US" w:eastAsia="en-US" w:bidi="ar-SA"/>
        </w:rPr>
        <w:t>, as evidenced by the fetal heart strip, and later, the clear fluid seen on the rupture of membrane.</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Dr. Doersam said, and Dr. Williams agreed, that caesarean sections may be done for reasons related to the mother or reasons relating to the baby. Dr. Doersam's evidence was that pain and </w:t>
      </w:r>
      <w:r>
        <w:rPr>
          <w:rFonts w:ascii="arial" w:eastAsia="arial" w:hAnsi="arial" w:cs="arial"/>
          <w:color w:val="000000"/>
          <w:sz w:val="20"/>
          <w:u w:val="single"/>
          <w:lang w:val="en-US" w:eastAsia="en-US" w:bidi="ar-SA"/>
        </w:rPr>
        <w:t>the resulting concern about separation of the scar is a maternal indication for doing the caesarean section. He said that neither the fetal heart strip, nor the amniotic fluid say anything directly about the condition of the scar and neither would remove the need to perform a caesarean section for maternal reasons</w:t>
      </w:r>
      <w:r>
        <w:rPr>
          <w:rFonts w:ascii="arial" w:eastAsia="arial" w:hAnsi="arial" w:cs="arial"/>
          <w:color w:val="000000"/>
          <w:sz w:val="20"/>
          <w:lang w:val="en-US" w:eastAsia="en-US" w:bidi="ar-SA"/>
        </w:rPr>
        <w:t>. At best, the monitor strip and the clear fluid would indicate that the fetus had not yet begun to suffer, but, as said above, by the time that situation changed it would be too late.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500</w:t>
      </w:r>
      <w:r>
        <w:rPr>
          <w:rFonts w:ascii="arial" w:eastAsia="arial" w:hAnsi="arial" w:cs="arial"/>
          <w:color w:val="000000"/>
          <w:sz w:val="20"/>
          <w:lang w:val="en-US" w:eastAsia="en-US" w:bidi="ar-SA"/>
        </w:rPr>
        <w:t xml:space="preserve">  Counsel then submitted that no reasonable obstetrician would wait for final definitive evidence knowing by the time such evidence presented itself there would be no chance of saving the baby from catastrophic injury. He submitted that to follow the latter course would be an unconscionable failure of the obstetrician's duty. Counsel also submitted that at the very least, the situation would be one in which the obstetrician would have to explain the risk to the patient. Dr. Hudson said he would do that. The law requires it, Reibl v. Hughes </w:t>
      </w:r>
      <w:hyperlink r:id="rId95" w:history="1">
        <w:r>
          <w:rPr>
            <w:rFonts w:ascii="arial" w:eastAsia="arial" w:hAnsi="arial" w:cs="arial"/>
            <w:i/>
            <w:color w:val="0077CC"/>
            <w:sz w:val="20"/>
            <w:u w:val="single"/>
            <w:shd w:val="clear" w:color="auto" w:fill="FFFFFF"/>
            <w:lang w:val="en-US" w:eastAsia="en-US" w:bidi="ar-SA"/>
          </w:rPr>
          <w:t>(1980), 114 D.L.R. (3d) 1</w:t>
        </w:r>
      </w:hyperlink>
      <w:r>
        <w:rPr>
          <w:rFonts w:ascii="arial" w:eastAsia="arial" w:hAnsi="arial" w:cs="arial"/>
          <w:color w:val="000000"/>
          <w:sz w:val="20"/>
          <w:lang w:val="en-US" w:eastAsia="en-US" w:bidi="ar-SA"/>
        </w:rPr>
        <w:t xml:space="preserve"> (S.C.C.). He submitted that any reasonable expectant mother, if told of an actual possibility that this complication was occurring, and told of the possible consequences, would have asked for a caesarean section. I agree, and Mrs. Strachan said as much.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501</w:t>
      </w:r>
      <w:r>
        <w:rPr>
          <w:rFonts w:ascii="arial" w:eastAsia="arial" w:hAnsi="arial" w:cs="arial"/>
          <w:color w:val="000000"/>
          <w:sz w:val="20"/>
          <w:lang w:val="en-US" w:eastAsia="en-US" w:bidi="ar-SA"/>
        </w:rPr>
        <w:t>  Counsel continued:</w:t>
      </w:r>
      <w:r>
        <w:rPr>
          <w:rFonts w:ascii="arial" w:eastAsia="arial" w:hAnsi="arial" w:cs="arial"/>
          <w:sz w:val="20"/>
          <w:lang w:val="en-US" w:eastAsia="en-US" w:bidi="ar-SA"/>
        </w:rPr>
        <w:cr/>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It should also be noted that Dr. Doersam was the only obstetrician to say in his Report what a reasonable obstetrician would have done if notified of the complaint of constant pain. When the three obstetricians called by the defendants suggested there was no indication for a caesarean section, they are purporting to comment on the standard of care of a family physician. They are commenting, apparently, on what they think a family physician would recognize as an indication for a caesarean 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502</w:t>
      </w:r>
      <w:r>
        <w:rPr>
          <w:rFonts w:ascii="arial" w:eastAsia="arial" w:hAnsi="arial" w:cs="arial"/>
          <w:color w:val="000000"/>
          <w:sz w:val="20"/>
          <w:lang w:val="en-US" w:eastAsia="en-US" w:bidi="ar-SA"/>
        </w:rPr>
        <w:t>  Counsel went on to challenge Dr. Hudson's late opinion, given under the guise of cross-examination, as to what the reasonable obstetrician would do if notified of the constant abdominal pain. This evidence was probably inadmissible. However, in any event, I prefer the evidence of Dr. Doersam on the point.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Nurse Kinash - The Telephone Call at 5:10 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503</w:t>
      </w:r>
      <w:r>
        <w:rPr>
          <w:rFonts w:ascii="arial" w:eastAsia="arial" w:hAnsi="arial" w:cs="arial"/>
          <w:color w:val="000000"/>
          <w:sz w:val="20"/>
          <w:lang w:val="en-US" w:eastAsia="en-US" w:bidi="ar-SA"/>
        </w:rPr>
        <w:t>  The plaintiffs rely on the expert obstetrical nursing evidence of Nurse Mary Radmanovic. She said, with regard to the complaint of constant abdominal pain at 4:45 a.m.: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view of the patient being a VBAC and the associated risks involved with VBAC, the attending physician should have been notified immediately of any such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It is seen that I 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504</w:t>
      </w:r>
      <w:r>
        <w:rPr>
          <w:rFonts w:ascii="arial" w:eastAsia="arial" w:hAnsi="arial" w:cs="arial"/>
          <w:color w:val="000000"/>
          <w:sz w:val="20"/>
          <w:lang w:val="en-US" w:eastAsia="en-US" w:bidi="ar-SA"/>
        </w:rPr>
        <w:t>  Nurse Grixti, the nursing expert called by the defendant Hospital, agreed in cross-examination that a nurse caring for a VBAC patient must be familiar with the signs and symptoms of uterine rupture, and must consider that possibility as part of her exercise of clinical judgment. Nurse Grixti suggested that Dr. Reynolds was notified promptly at 5:10 a.m. However, she was mistaken because she did not know that the complaint was made, or at least that Nurse Kinash had become concerned about it, at 4:45 a.m. Nurse Kinash had no explanation for why she did not call Dr. Reynolds at or soon after 4:45 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505</w:t>
      </w:r>
      <w:r>
        <w:rPr>
          <w:rFonts w:ascii="arial" w:eastAsia="arial" w:hAnsi="arial" w:cs="arial"/>
          <w:color w:val="000000"/>
          <w:sz w:val="20"/>
          <w:lang w:val="en-US" w:eastAsia="en-US" w:bidi="ar-SA"/>
        </w:rPr>
        <w:t>  Mr. Smith argues that the delay in contacting Dr. Reynolds had a crucial impact on the subsequent events. Dr. Reynolds says that when she arrived at the Hospital about 20 minutes later the pain had gone, although the nurse's notes show that it was still present at 5:25 a.m. Dr. Reynolds and the defence experts rely on the absence of the pain by 5:30 a.m. as a reassuring finding.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506</w:t>
      </w:r>
      <w:r>
        <w:rPr>
          <w:rFonts w:ascii="arial" w:eastAsia="arial" w:hAnsi="arial" w:cs="arial"/>
          <w:color w:val="000000"/>
          <w:sz w:val="20"/>
          <w:lang w:val="en-US" w:eastAsia="en-US" w:bidi="ar-SA"/>
        </w:rPr>
        <w:t>  In this regard Mr. Smith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What would happen if Nurse Kinash had, as a result of the pain complaint of 0445, notified Dr. Reynolds by, say 0455? Dr. Reynolds would presumably have arrived by 0515. At that time the pain would clearly have been present. Dr. Reynolds could not have been reassured by its resolution and would have been in a position to directly assess and diagnose the pain while the patient was still experiencing it. Based on all of the evidence, she would clearly have had to consider the possibility of uterine rupture by that point and notify the obstetrician.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agree with this submission, and observe that in my opinion it is more than speculation. I am satisfied that Nurse Kinash should have telephoned Dr. Reynolds around 4:45 a.m. and fully informed her about the complaint of constant abdominal pain; that had she done so, the process would have been underway. Dr. Reynolds, as a reasonable general practitioner, would have called the obstetrician to the Hospital, the question of whether a developing uterine rupture could be excluded as a cause of the pain would have been decided, and an emergency caesarean section performed.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507</w:t>
      </w:r>
      <w:r>
        <w:rPr>
          <w:rFonts w:ascii="arial" w:eastAsia="arial" w:hAnsi="arial" w:cs="arial"/>
          <w:color w:val="000000"/>
          <w:sz w:val="20"/>
          <w:lang w:val="en-US" w:eastAsia="en-US" w:bidi="ar-SA"/>
        </w:rPr>
        <w:t>  Nurse Kinash gave evidence on discovery that the complaint of constant abdominal pain caused her to consider the possibility of a placental abruption which she never mentioned to Dr. Reynolds. She said that before telephoning Dr. Reynolds she ruled out the possibility of a placental abruption and thus was much less concerned about the pain. I had trouble with this evidence and I am unable to accept it. Her evidence at discovery also was that she was still concerned about a very serious complication when she called Dr. Reynolds, and that this was the reason that she made the call. It is unclear what "serious complication" she was referring to, since she never directed her mind to the question of whether or not it was possible that the constant abdominal pain was caused by a developing uterine rupture. Again, I had some trouble with this evidence given the unexplained 40 minute delay in telephoning Dr. Reynolds; and in light of Dr. Reynolds' evidence that the telephone call was almost casual in that Nurse Kinash did not express any real concern about the "unusual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508</w:t>
      </w:r>
      <w:r>
        <w:rPr>
          <w:rFonts w:ascii="arial" w:eastAsia="arial" w:hAnsi="arial" w:cs="arial"/>
          <w:color w:val="000000"/>
          <w:sz w:val="20"/>
          <w:lang w:val="en-US" w:eastAsia="en-US" w:bidi="ar-SA"/>
        </w:rPr>
        <w:t>  In any event, and whether or not Nurse Kinash did consider placental abruption, it is clear that she never considered the most obvious possibility of uterine rupture, the very serious risk which she was to be on the look out for. Like Dr. Reynolds, she knew the risk of uterine rupture and understood that unusual abdominal pain is a sign associated with it. However, like Dr. Reynolds, she also failed to consider that possibility as an explanation for the constant abdominal pain.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Reynolds' Attendance At 5:30 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509</w:t>
      </w:r>
      <w:r>
        <w:rPr>
          <w:rFonts w:ascii="arial" w:eastAsia="arial" w:hAnsi="arial" w:cs="arial"/>
          <w:color w:val="000000"/>
          <w:sz w:val="20"/>
          <w:lang w:val="en-US" w:eastAsia="en-US" w:bidi="ar-SA"/>
        </w:rPr>
        <w:t>  Mr. Smith said that on the basis of the opinions of Dr. Doersam and Dr. Feinstadt that the obstetrical emergency arose at 4:45 a.m., what Dr. Reynolds did, or did not do when she attended at 5:30 a.m. is irrelevant, because by that time the baby should have already been delivered, or at least Mrs. Strachan should have been in the operating room having the caesarean section. This assumes, of course, that it is found Nurse Kinash should have telephoned Dr. Reynolds around 4:45 a.m. and properly informed her of the constant abdominal pain, and that Dr. Reynolds would have brought an obstetrician in for consultation and the emergency surgery would have been performed.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510</w:t>
      </w:r>
      <w:r>
        <w:rPr>
          <w:rFonts w:ascii="arial" w:eastAsia="arial" w:hAnsi="arial" w:cs="arial"/>
          <w:color w:val="000000"/>
          <w:sz w:val="20"/>
          <w:lang w:val="en-US" w:eastAsia="en-US" w:bidi="ar-SA"/>
        </w:rPr>
        <w:t>  Counsel then turned to deal with two issues relating to Dr. Reynolds' attendance, which occupied time at trial (the "settling" of the pain and "artificial rupture of the membranes").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Settling Of The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511</w:t>
      </w:r>
      <w:r>
        <w:rPr>
          <w:rFonts w:ascii="arial" w:eastAsia="arial" w:hAnsi="arial" w:cs="arial"/>
          <w:color w:val="000000"/>
          <w:sz w:val="20"/>
          <w:lang w:val="en-US" w:eastAsia="en-US" w:bidi="ar-SA"/>
        </w:rPr>
        <w:t>  Mr. Smith observed that Dr. Reynolds noted that the pain had settled in her note for 5:30 a.m.; that the nurse's note minutes before was that the pain was still present, but not as severe. Dr. Reynolds contended that the absence of the pain was a reassuring sign that removed any reason for her to think about its cause. Counsel also noted that there was nothing in the nurses' notes to suggest that the pain was gone; that Nurse Kinash said she would have recorded the pain had gone if she had heard Mrs. Strachan say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512</w:t>
      </w:r>
      <w:r>
        <w:rPr>
          <w:rFonts w:ascii="arial" w:eastAsia="arial" w:hAnsi="arial" w:cs="arial"/>
          <w:color w:val="000000"/>
          <w:sz w:val="20"/>
          <w:lang w:val="en-US" w:eastAsia="en-US" w:bidi="ar-SA"/>
        </w:rPr>
        <w:t>  In this regard, Dr. Doersam said that Dr. Reynolds did not have any explanation for the history of pain. Its disappearance did not reassure him that all was well with the uterus; that in the absence of a clear diagnosis, consultation was unquestionably indicated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513</w:t>
      </w:r>
      <w:r>
        <w:rPr>
          <w:rFonts w:ascii="arial" w:eastAsia="arial" w:hAnsi="arial" w:cs="arial"/>
          <w:color w:val="000000"/>
          <w:sz w:val="20"/>
          <w:lang w:val="en-US" w:eastAsia="en-US" w:bidi="ar-SA"/>
        </w:rPr>
        <w:t>  Dr. Feinstadt gave a similar opinion, that the subsidence of the pain should not have been reassuring because analgesics had been given. He also said that there are numerous examples of situations where the fact that pain has gone away does not mean that the concern about it is gone as well, and he gave examples referred to earlier.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514</w:t>
      </w:r>
      <w:r>
        <w:rPr>
          <w:rFonts w:ascii="arial" w:eastAsia="arial" w:hAnsi="arial" w:cs="arial"/>
          <w:color w:val="000000"/>
          <w:sz w:val="20"/>
          <w:lang w:val="en-US" w:eastAsia="en-US" w:bidi="ar-SA"/>
        </w:rPr>
        <w:t>  Dr. Yoshida's evidence in this regard was that the fact that the constant abdominal pain seemed to be easing off does not exclude the possibility of uterine rupture, even though analgesics had been administered. He agreed that even if it had "gone away for a very brief period of time" it would still leave a question in his mind.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515</w:t>
      </w:r>
      <w:r>
        <w:rPr>
          <w:rFonts w:ascii="arial" w:eastAsia="arial" w:hAnsi="arial" w:cs="arial"/>
          <w:color w:val="000000"/>
          <w:sz w:val="20"/>
          <w:lang w:val="en-US" w:eastAsia="en-US" w:bidi="ar-SA"/>
        </w:rPr>
        <w:t>  Mr. Smith pointed out that other experts maintained that Demerol would not have excluded the pain of a rupture, but for the most part they were talking about a full rupture, not the pain associated with preliminary scar dehiscence. Dr. Cooper agreed that the effectiveness of analgesia would depend to some extent on the degree of scar separation at that point, as well as the patient's sensitivity both to pain and to the narcotic.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516</w:t>
      </w:r>
      <w:r>
        <w:rPr>
          <w:rFonts w:ascii="arial" w:eastAsia="arial" w:hAnsi="arial" w:cs="arial"/>
          <w:color w:val="000000"/>
          <w:sz w:val="20"/>
          <w:lang w:val="en-US" w:eastAsia="en-US" w:bidi="ar-SA"/>
        </w:rPr>
        <w:t>  Mrs. Strachan's evidence was that by that point she was "in a stupor" as a result of the pain medication, and the sleeping pills she had been given earlier. Further, a passage from Williams Obstetrics, 19th and 20th editions, suggests that narcotic analgesia may mask the pain of uterine rupture, i.e., "pain and tenderness may not be readily apparent".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517</w:t>
      </w:r>
      <w:r>
        <w:rPr>
          <w:rFonts w:ascii="arial" w:eastAsia="arial" w:hAnsi="arial" w:cs="arial"/>
          <w:color w:val="000000"/>
          <w:sz w:val="20"/>
          <w:lang w:val="en-US" w:eastAsia="en-US" w:bidi="ar-SA"/>
        </w:rPr>
        <w:t>  I am satisfied that the prudent physician, at the least, would have sought the advice of an obstetrician. In any event, I agree that the lessening of the pain did not relieve Dr. Reynolds of the obligation to exclude the possibility of uterine rupture, and to consult with an obstetrician at 5:30 a.m.</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Artificial Rupture Of The Membrane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518</w:t>
      </w:r>
      <w:r>
        <w:rPr>
          <w:rFonts w:ascii="arial" w:eastAsia="arial" w:hAnsi="arial" w:cs="arial"/>
          <w:color w:val="000000"/>
          <w:sz w:val="20"/>
          <w:lang w:val="en-US" w:eastAsia="en-US" w:bidi="ar-SA"/>
        </w:rPr>
        <w:t>  I am basically in agreement with Mr. Smith's submissions on this point. I do not find it necessary to deal with it at any length. When Nurse Kinash did a vaginal examination at 4:00 a.m., she recorded that the head was not well applied. The suggestion that it was well applied came about at discovery four years or so after the event, and I am not prepared to find, on the evidence, that in fact the head was well applied at the time. In this regard I note that Dr. McTaggart agreed that rupturing the membrane would be a dangerous thing to do if the head was at -2 and the cervix was not well applied. This would appear to be common ground. I am satisfied that the rupturing of the membrane by Dr. Reynolds was a very dangerous thing to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519</w:t>
      </w:r>
      <w:r>
        <w:rPr>
          <w:rFonts w:ascii="arial" w:eastAsia="arial" w:hAnsi="arial" w:cs="arial"/>
          <w:color w:val="000000"/>
          <w:sz w:val="20"/>
          <w:lang w:val="en-US" w:eastAsia="en-US" w:bidi="ar-SA"/>
        </w:rPr>
        <w:t>  The rupturing of the membrane at 5:30 a.m. did not tell Dr. Reynolds what she should have wanted to know. That is, whether or not the uterine scarring was coming apart. In my view, if she had been thinking about that possibility she would have realized that the artificial rupture of the membrane and the resulting examination of the amniotic fluid would tell her nothing about the state of the uterus.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520</w:t>
      </w:r>
      <w:r>
        <w:rPr>
          <w:rFonts w:ascii="arial" w:eastAsia="arial" w:hAnsi="arial" w:cs="arial"/>
          <w:color w:val="000000"/>
          <w:sz w:val="20"/>
          <w:lang w:val="en-US" w:eastAsia="en-US" w:bidi="ar-SA"/>
        </w:rPr>
        <w:t>  In this regard Dr. Feinstadt said that at this time the most important thing to consider was evolving uterine rupture. Clear fluid would not affect the concerns that the doctor had prior to doing the ARM with respect to the rupturing of the uterine wall. In either case you now have the additional risk of cord prolapse. Dr. Doersam simply put it this way: At 5:30 a.m. the state of the fetus would not have deterred him from performing the required surgery. In this regard Dr. Doersam made it clear he drew no distinction between his own practice and what he believed to be the standard of care in the profession. He was in effect stating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521</w:t>
      </w:r>
      <w:r>
        <w:rPr>
          <w:rFonts w:ascii="arial" w:eastAsia="arial" w:hAnsi="arial" w:cs="arial"/>
          <w:color w:val="000000"/>
          <w:sz w:val="20"/>
          <w:lang w:val="en-US" w:eastAsia="en-US" w:bidi="ar-SA"/>
        </w:rPr>
        <w:t>  Finally, Dr. Feinstadt said that if the membrane had not been ruptured the cord would not have prolapsed. In that case the cord may well have kept providing oxygen and "bought precious time while the resources were being mobilized". Mr. Smith said that by rupturing the membrane when she did, Dr. Reynolds may also have excluded the last line of defence against the baby being expelled from the uterus, the event following a uterine rupture that is accompanied by the most damage to the baby. Even if the cord did not prolapse, and even if the head was well applied, the rupturing of the membrane made the situation even worse when the point of uterine rupture was reached. I am basically in agreement with this submission.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Conclusion On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522</w:t>
      </w:r>
      <w:r>
        <w:rPr>
          <w:rFonts w:ascii="arial" w:eastAsia="arial" w:hAnsi="arial" w:cs="arial"/>
          <w:color w:val="000000"/>
          <w:sz w:val="20"/>
          <w:lang w:val="en-US" w:eastAsia="en-US" w:bidi="ar-SA"/>
        </w:rPr>
        <w:t>  Mr. Smith commenced by pointing out that on cross-examination Dr. Cooper adopted the following statements from medical literature on the importance of vigilance in VBAC labours: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Uterine rupture could be one of the most gut-wrenching and challenging experiences an obstetrician may face. You will agree with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And it goes on to say: While its occurrence in the unscarred uterus is impossible to predict, such occurrence in the scarred -- </w:t>
            </w:r>
            <w:r>
              <w:rPr>
                <w:rFonts w:ascii="arial" w:eastAsia="arial" w:hAnsi="arial" w:cs="arial"/>
                <w:color w:val="000000"/>
                <w:sz w:val="18"/>
                <w:u w:val="single"/>
                <w:lang w:val="en-US" w:eastAsia="en-US" w:bidi="ar-SA"/>
              </w:rPr>
              <w:t>such occurrence in the scarred uterus needs to be anticipated</w:t>
            </w:r>
            <w:r>
              <w:rPr>
                <w:rFonts w:ascii="arial" w:eastAsia="arial" w:hAnsi="arial" w:cs="arial"/>
                <w:color w:val="000000"/>
                <w:sz w:val="18"/>
                <w:lang w:val="en-US" w:eastAsia="en-US" w:bidi="ar-SA"/>
              </w:rPr>
              <w:t>. Would you agree with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Correct</w:t>
            </w:r>
            <w:r>
              <w:rPr>
                <w:rFonts w:ascii="arial" w:eastAsia="arial" w:hAnsi="arial" w:cs="arial"/>
                <w:color w:val="000000"/>
                <w:sz w:val="18"/>
                <w:lang w:val="en-US" w:eastAsia="en-US" w:bidi="ar-SA"/>
              </w:rPr>
              <w: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And it says: selecting the appropriate patient for trial of labour is an art, </w:t>
            </w:r>
            <w:r>
              <w:rPr>
                <w:rFonts w:ascii="arial" w:eastAsia="arial" w:hAnsi="arial" w:cs="arial"/>
                <w:color w:val="000000"/>
                <w:sz w:val="18"/>
                <w:u w:val="single"/>
                <w:lang w:val="en-US" w:eastAsia="en-US" w:bidi="ar-SA"/>
              </w:rPr>
              <w:t>but exercising extreme diligence, caution in the management, and heightened sense of suspicion and efficient intervention is a must</w:t>
            </w:r>
            <w:r>
              <w:rPr>
                <w:rFonts w:ascii="arial" w:eastAsia="arial" w:hAnsi="arial" w:cs="arial"/>
                <w:color w:val="000000"/>
                <w:sz w:val="18"/>
                <w:lang w:val="en-US" w:eastAsia="en-US" w:bidi="ar-SA"/>
              </w:rPr>
              <w:t>. Would you agree with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Correct</w:t>
            </w:r>
            <w:r>
              <w:rPr>
                <w:rFonts w:ascii="arial" w:eastAsia="arial" w:hAnsi="arial" w:cs="arial"/>
                <w:color w:val="000000"/>
                <w:sz w:val="18"/>
                <w:lang w:val="en-US" w:eastAsia="en-US" w:bidi="ar-SA"/>
              </w:rPr>
              <w: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Dr. Williams also agreed that because a uterine rupture may be difficult to diagnose, "close surveillance and a high index of suspicion is necessary".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523</w:t>
      </w:r>
      <w:r>
        <w:rPr>
          <w:rFonts w:ascii="arial" w:eastAsia="arial" w:hAnsi="arial" w:cs="arial"/>
          <w:color w:val="000000"/>
          <w:sz w:val="20"/>
          <w:lang w:val="en-US" w:eastAsia="en-US" w:bidi="ar-SA"/>
        </w:rPr>
        <w:t xml:space="preserve">  Mr. Smith submitted that Dr. Reynolds and Nurse Kinash did not approach their VBAC patient with a heightened sense of suspicion, or any suspicion at all. They continued to treat their patient as a normal, low risk patient and not a VBAC patient. To the extent they thought at all about what they were seeing, they were quick to attribute everything to benign causes rather than considering the most serious possibility and attempting to exclude it. Their failure to turn their minds to the most severe, potentially catastrophic, risk that existed in the circumstances, was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524</w:t>
      </w:r>
      <w:r>
        <w:rPr>
          <w:rFonts w:ascii="arial" w:eastAsia="arial" w:hAnsi="arial" w:cs="arial"/>
          <w:color w:val="000000"/>
          <w:sz w:val="20"/>
          <w:lang w:val="en-US" w:eastAsia="en-US" w:bidi="ar-SA"/>
        </w:rPr>
        <w:t>  I am satisfied, on the basis of Dr. Doersam's evidence, that the emergency caesarean section should have taken place at approximately 5:30 a.m. and that any injury to Travis would have been prevented. Even if the obstetrician was not called until around 5:30 a.m. the obstetrician at least would have been present at the hospital at the time that the full rupture occurred at approximately 6:05 a.m. Dr. Williams said that in that event Travis would have been perfectly healthy. The same would be true even if the obstetrician had elected to monitor the situation before performing an immediate caesarean section, but had taken the prudent precaution of alerting the other staff needed for a caesarean section; injury would probably have been prevented.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SUBMISSION OF MS. KHANNA - COUNSEL FOR DR. REYNOLDS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525</w:t>
      </w:r>
      <w:r>
        <w:rPr>
          <w:rFonts w:ascii="arial" w:eastAsia="arial" w:hAnsi="arial" w:cs="arial"/>
          <w:color w:val="000000"/>
          <w:sz w:val="20"/>
          <w:lang w:val="en-US" w:eastAsia="en-US" w:bidi="ar-SA"/>
        </w:rPr>
        <w:t>  Ms. Khanna commenced by referring to plaintiffs' counsel's theory of the case, with which I am in basic agreement, and then set out her response thereto, which I am not in agreement with, and need not set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526</w:t>
      </w:r>
      <w:r>
        <w:rPr>
          <w:rFonts w:ascii="arial" w:eastAsia="arial" w:hAnsi="arial" w:cs="arial"/>
          <w:color w:val="000000"/>
          <w:sz w:val="20"/>
          <w:lang w:val="en-US" w:eastAsia="en-US" w:bidi="ar-SA"/>
        </w:rPr>
        <w:t>  Ms. Khanna then referred to the background facts, most of which she said are not in dispute, although some are. Of course, Ms. Khanna was not apprised of my findings of fact when she prepared her submission.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527</w:t>
      </w:r>
      <w:r>
        <w:rPr>
          <w:rFonts w:ascii="arial" w:eastAsia="arial" w:hAnsi="arial" w:cs="arial"/>
          <w:color w:val="000000"/>
          <w:sz w:val="20"/>
          <w:lang w:val="en-US" w:eastAsia="en-US" w:bidi="ar-SA"/>
        </w:rPr>
        <w:t>  An example is Dr. Reynolds' evidence of her usual practice, to the effect that during the telephone conversation she would have made enquiries of Nurse Kinash about where the pain was located, how severe it was, and how long it had been going on. I have dealt with this evidence, and concluded that it would be unsafe to accept it. I also have trouble with her evidence, which I outlined earlier and rejected, where she describes her careful investigation into the circumstances, including palpitating the scar, as if she was concerned about, and looking for, evidence of possible uterine rupture when in fact she never directed her mind to that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528</w:t>
      </w:r>
      <w:r>
        <w:rPr>
          <w:rFonts w:ascii="arial" w:eastAsia="arial" w:hAnsi="arial" w:cs="arial"/>
          <w:color w:val="000000"/>
          <w:sz w:val="20"/>
          <w:lang w:val="en-US" w:eastAsia="en-US" w:bidi="ar-SA"/>
        </w:rPr>
        <w:t>  Another example is that the strips were reassuring when, I am satisfied, that they show that the contractions had reduced or fallen off and should have been a further warning to Dr. Reynolds of the possibility of uterine rupture. It is difficult to accept these perhaps convenient explanations, again in the context of a VBAC patient with constant abdominal pain, that contractions do not always show up on the strip, and that the contractions were "effective because labour was progressing well". In any event, I do not accept the defence evidence that these strips "continued to be reassuring" in the circumstances or context described.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529</w:t>
      </w:r>
      <w:r>
        <w:rPr>
          <w:rFonts w:ascii="arial" w:eastAsia="arial" w:hAnsi="arial" w:cs="arial"/>
          <w:color w:val="000000"/>
          <w:sz w:val="20"/>
          <w:lang w:val="en-US" w:eastAsia="en-US" w:bidi="ar-SA"/>
        </w:rPr>
        <w:t>  I have already expressed my opinion that everything that Dr. Reynolds did, or did not do (and the same applies to Nurse Kinash) must be considered in light of the fact that they never directed their minds to the possibility of uterine rupture at any time; and that their conduct suggests that they treated the situation, commencing with the telephone call, as if there was little if any risk of danger to Mrs. Strachan and Travis, right up to the time when they each attempted to attach a monitor, Nurse Kinash to Mrs. Strachan, and Dr. Reynolds to Travis' head, and even then did not seem to have any idea that they were facing a crisis.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530</w:t>
      </w:r>
      <w:r>
        <w:rPr>
          <w:rFonts w:ascii="arial" w:eastAsia="arial" w:hAnsi="arial" w:cs="arial"/>
          <w:color w:val="000000"/>
          <w:sz w:val="20"/>
          <w:lang w:val="en-US" w:eastAsia="en-US" w:bidi="ar-SA"/>
        </w:rPr>
        <w:t>  There are also issues of credibility which arise, mainly I suspect, because of the fact that the witnesses are giving evidence of events which occurred over four years earlier, with the result that conjecture, speculation and "I must have" has replaced reliable recollection. And the standard practice approach to everything does not alleviate this problem, given the uniqueness and seriousness of the events being described.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531</w:t>
      </w:r>
      <w:r>
        <w:rPr>
          <w:rFonts w:ascii="arial" w:eastAsia="arial" w:hAnsi="arial" w:cs="arial"/>
          <w:color w:val="000000"/>
          <w:sz w:val="20"/>
          <w:lang w:val="en-US" w:eastAsia="en-US" w:bidi="ar-SA"/>
        </w:rPr>
        <w:t xml:space="preserve">  Ms. Khanna referred me to numerous cases on the subject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before turning to the evidence. The cases, such as Wilson v. Swanson, </w:t>
      </w:r>
      <w:hyperlink r:id="rId96" w:history="1">
        <w:r>
          <w:rPr>
            <w:rFonts w:ascii="arial" w:eastAsia="arial" w:hAnsi="arial" w:cs="arial"/>
            <w:i/>
            <w:color w:val="0077CC"/>
            <w:sz w:val="20"/>
            <w:u w:val="single"/>
            <w:shd w:val="clear" w:color="auto" w:fill="FFFFFF"/>
            <w:lang w:val="en-US" w:eastAsia="en-US" w:bidi="ar-SA"/>
          </w:rPr>
          <w:t>[1956] S.C.R. 804</w:t>
        </w:r>
      </w:hyperlink>
      <w:r>
        <w:rPr>
          <w:rFonts w:ascii="arial" w:eastAsia="arial" w:hAnsi="arial" w:cs="arial"/>
          <w:color w:val="000000"/>
          <w:sz w:val="20"/>
          <w:lang w:val="en-US" w:eastAsia="en-US" w:bidi="ar-SA"/>
        </w:rPr>
        <w:t xml:space="preserve">; ter Neuzen v. Korn, (supra); and Belknap v. Meakes </w:t>
      </w:r>
      <w:hyperlink r:id="rId97" w:history="1">
        <w:r>
          <w:rPr>
            <w:rFonts w:ascii="arial" w:eastAsia="arial" w:hAnsi="arial" w:cs="arial"/>
            <w:i/>
            <w:color w:val="0077CC"/>
            <w:sz w:val="20"/>
            <w:u w:val="single"/>
            <w:shd w:val="clear" w:color="auto" w:fill="FFFFFF"/>
            <w:lang w:val="en-US" w:eastAsia="en-US" w:bidi="ar-SA"/>
          </w:rPr>
          <w:t>(1989), 64 D.L.R. (4th) 452</w:t>
        </w:r>
      </w:hyperlink>
      <w:r>
        <w:rPr>
          <w:rFonts w:ascii="arial" w:eastAsia="arial" w:hAnsi="arial" w:cs="arial"/>
          <w:color w:val="000000"/>
          <w:sz w:val="20"/>
          <w:lang w:val="en-US" w:eastAsia="en-US" w:bidi="ar-SA"/>
        </w:rPr>
        <w:t xml:space="preserve"> (B.C.C.A.), say that the Court should keep in mind the principles therein stated when referring to the evidence. Counsel said: "it is within the framework of these judgments that the conduct of Dr. Reynolds, and the allegations which have been made against her, must be addressed".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532</w:t>
      </w:r>
      <w:r>
        <w:rPr>
          <w:rFonts w:ascii="arial" w:eastAsia="arial" w:hAnsi="arial" w:cs="arial"/>
          <w:color w:val="000000"/>
          <w:sz w:val="20"/>
          <w:lang w:val="en-US" w:eastAsia="en-US" w:bidi="ar-SA"/>
        </w:rPr>
        <w:t>  Speaking broadly at this point, I observe that in my opinion, this is not simply a case of the exercise of professional judgment. Nor is it a case of diagnosis and treatment given to a patient corresponding to those recognized by medical science at the time, even in the face of competing theories. Nor is this a case of two equally valid bodies of opinion, where the law prevents me from preferring one over the other. It is a case where Dr. Reynolds and Nurse Kinash, both of whom were inexperienced with, and forgetful about, VBAC births and uterine rupture, failed to recognize clear signs of the possibility that uterine rupture was developing and actually did nothing about them when they did appear.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533</w:t>
      </w:r>
      <w:r>
        <w:rPr>
          <w:rFonts w:ascii="arial" w:eastAsia="arial" w:hAnsi="arial" w:cs="arial"/>
          <w:color w:val="000000"/>
          <w:sz w:val="20"/>
          <w:lang w:val="en-US" w:eastAsia="en-US" w:bidi="ar-SA"/>
        </w:rPr>
        <w:t>  Counsel then turned to refer to the evidence of Dr. Feinstadt, Dr. Doersam and Dr. Reynolds. I have already stated, on more than one occasion, that I accept the evidence of Dr. Feinstadt and Dr. Doersam, and that I prefer their evidence over that of the defendants' expert doctors.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Dr. Reynolds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534</w:t>
      </w:r>
      <w:r>
        <w:rPr>
          <w:rFonts w:ascii="arial" w:eastAsia="arial" w:hAnsi="arial" w:cs="arial"/>
          <w:color w:val="000000"/>
          <w:sz w:val="20"/>
          <w:lang w:val="en-US" w:eastAsia="en-US" w:bidi="ar-SA"/>
        </w:rPr>
        <w:t>  I have already reviewed Dr. Reynolds' evidence at some length, and expressed my views thereon, and pointed out what I consider to be the dilemma she found herself in. I do not suggest for one moment that she is a dishonest witness. However, I found that much of her evidence, which was often inconsistent, to be more speculative than factual, of what "must have happened" in order to fit the scenario that she now perceives. This includes her suggestion, by inference, that while she never gave one thought to the possibility that she might be dealing with uterine rupture, she thoroughly examined Mrs. Strachan, in the circumstances, in the same manner that she would have had, had she been on the look-out for possible uterine rupture or had she been attempting to exclude it as a cause. The records and other evidence before me satisfy me, on a balance of probabilities, that this did not happen.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535</w:t>
      </w:r>
      <w:r>
        <w:rPr>
          <w:rFonts w:ascii="arial" w:eastAsia="arial" w:hAnsi="arial" w:cs="arial"/>
          <w:color w:val="000000"/>
          <w:sz w:val="20"/>
          <w:lang w:val="en-US" w:eastAsia="en-US" w:bidi="ar-SA"/>
        </w:rPr>
        <w:t>  Returning to Ms. Khanna's submission, I am not entirely satisfied that Dr. Reynolds and Nurse Kinash cannot recall the details of a telephone conversation four and a half years ago. I would think that the context and the catastrophic birth of Travis would have caused, perhaps, better recollection in some areas. I have already dealt with the issue of the conversation and what Dr. Reynolds was told. Her evidence now, based purely on what she says was her standard practice, with respect, is no more than pure speculation. I would describe it as vital evidence of the time, and I would also have expected that she would have recorded it at the first available opportunity, as she did in her Progress Notes, wherein she states she was called in "because of an episode of continuous abdominal pain".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Failure To Contact An Obstetrician At 5:10 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536</w:t>
      </w:r>
      <w:r>
        <w:rPr>
          <w:rFonts w:ascii="arial" w:eastAsia="arial" w:hAnsi="arial" w:cs="arial"/>
          <w:color w:val="000000"/>
          <w:sz w:val="20"/>
          <w:lang w:val="en-US" w:eastAsia="en-US" w:bidi="ar-SA"/>
        </w:rPr>
        <w:t>  Ms. Khanna submitted that Dr. Doersam's evidence that complaints of constant abdominal pain would be sufficient for a consulting obstetrician to get the OR staff and an anaesthetist to attend immediately for a caesarean section, should not be accepted in the face of the defence experts whose evidence she reviewed. I have already expressed my views on the weight to be given to the evidence of the various experts. Counsel relies on Dr. Williams' statement that "in the absence of any abnormalities in the fetal heart rate tracing "(which often is not seen until the actual rupture occurs) "one would proceed to assess the patient to determine the cause of the abdominal pain" and that "the caesarean section is done primarily because we believe the fetus is in trouble".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537</w:t>
      </w:r>
      <w:r>
        <w:rPr>
          <w:rFonts w:ascii="arial" w:eastAsia="arial" w:hAnsi="arial" w:cs="arial"/>
          <w:color w:val="000000"/>
          <w:sz w:val="20"/>
          <w:lang w:val="en-US" w:eastAsia="en-US" w:bidi="ar-SA"/>
        </w:rPr>
        <w:t>  I pause at this point to observe that Dr. Williams' statement is perhaps typical of the position taken by the defence experts. They seem to be more concerned about concrete evidence about a developing uterine rupture, which, when available, makes it too late to perform a successful emergency caesarean section, than with evidence of the possibility that a developing uterine rupture may be the cause of the sign seen. They also seem to have little regard for the fact that when the sign is observed, there may be very little time available to make the decision to have the emergency caesarean section performed.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538</w:t>
      </w:r>
      <w:r>
        <w:rPr>
          <w:rFonts w:ascii="arial" w:eastAsia="arial" w:hAnsi="arial" w:cs="arial"/>
          <w:color w:val="000000"/>
          <w:sz w:val="20"/>
          <w:lang w:val="en-US" w:eastAsia="en-US" w:bidi="ar-SA"/>
        </w:rPr>
        <w:t>  I observe in that regard, that in my opinion, Dr. Reynolds never did assess Mrs. Strachan to determine whether a developing uterine rupture could be excluded as a cause. Also, and with respect, in these cases the emergency caesarean section is done not because the doctor believes that the fetus is in trouble, but because of the fact that uterine rupture is possible and cannot be excluded.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539</w:t>
      </w:r>
      <w:r>
        <w:rPr>
          <w:rFonts w:ascii="arial" w:eastAsia="arial" w:hAnsi="arial" w:cs="arial"/>
          <w:color w:val="000000"/>
          <w:sz w:val="20"/>
          <w:lang w:val="en-US" w:eastAsia="en-US" w:bidi="ar-SA"/>
        </w:rPr>
        <w:t>  Counsel relies on Dr. Cooper's statement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There are many causes of abdominal pain in pregnancy and in labour and </w:t>
      </w:r>
      <w:r>
        <w:rPr>
          <w:rFonts w:ascii="arial" w:eastAsia="arial" w:hAnsi="arial" w:cs="arial"/>
          <w:color w:val="000000"/>
          <w:sz w:val="20"/>
          <w:u w:val="single"/>
          <w:lang w:val="en-US" w:eastAsia="en-US" w:bidi="ar-SA"/>
        </w:rPr>
        <w:t>not every one of them is because of a uterine rupture</w:t>
      </w:r>
      <w:r>
        <w:rPr>
          <w:rFonts w:ascii="arial" w:eastAsia="arial" w:hAnsi="arial" w:cs="arial"/>
          <w:color w:val="000000"/>
          <w:sz w:val="20"/>
          <w:lang w:val="en-US" w:eastAsia="en-US" w:bidi="ar-SA"/>
        </w:rPr>
        <w:t xml:space="preserve">. I certainly think it is very appropriate that </w:t>
      </w:r>
      <w:r>
        <w:rPr>
          <w:rFonts w:ascii="arial" w:eastAsia="arial" w:hAnsi="arial" w:cs="arial"/>
          <w:color w:val="000000"/>
          <w:sz w:val="20"/>
          <w:u w:val="single"/>
          <w:lang w:val="en-US" w:eastAsia="en-US" w:bidi="ar-SA"/>
        </w:rPr>
        <w:t>the patient had to be medically assessed</w:t>
      </w:r>
      <w:r>
        <w:rPr>
          <w:rFonts w:ascii="arial" w:eastAsia="arial" w:hAnsi="arial" w:cs="arial"/>
          <w:color w:val="000000"/>
          <w:sz w:val="20"/>
          <w:lang w:val="en-US" w:eastAsia="en-US" w:bidi="ar-SA"/>
        </w:rPr>
        <w:t xml:space="preserve">, but I would consider it inappropriate unless there is </w:t>
      </w:r>
      <w:r>
        <w:rPr>
          <w:rFonts w:ascii="arial" w:eastAsia="arial" w:hAnsi="arial" w:cs="arial"/>
          <w:color w:val="000000"/>
          <w:sz w:val="20"/>
          <w:u w:val="single"/>
          <w:lang w:val="en-US" w:eastAsia="en-US" w:bidi="ar-SA"/>
        </w:rPr>
        <w:t>other worrisome features</w:t>
      </w:r>
      <w:r>
        <w:rPr>
          <w:rFonts w:ascii="arial" w:eastAsia="arial" w:hAnsi="arial" w:cs="arial"/>
          <w:color w:val="000000"/>
          <w:sz w:val="20"/>
          <w:lang w:val="en-US" w:eastAsia="en-US" w:bidi="ar-SA"/>
        </w:rPr>
        <w:t xml:space="preserve"> to at the time call an obstetrical specialist or a full operating room team in </w:t>
      </w:r>
      <w:r>
        <w:rPr>
          <w:rFonts w:ascii="arial" w:eastAsia="arial" w:hAnsi="arial" w:cs="arial"/>
          <w:color w:val="000000"/>
          <w:sz w:val="20"/>
          <w:u w:val="single"/>
          <w:lang w:val="en-US" w:eastAsia="en-US" w:bidi="ar-SA"/>
        </w:rPr>
        <w:t>until the patient has been medically assessed</w:t>
      </w:r>
      <w:r>
        <w:rPr>
          <w:rFonts w:ascii="arial" w:eastAsia="arial" w:hAnsi="arial" w:cs="arial"/>
          <w:color w:val="000000"/>
          <w:sz w:val="20"/>
          <w:lang w:val="en-US" w:eastAsia="en-US" w:bidi="ar-SA"/>
        </w:rPr>
        <w:t>.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540</w:t>
      </w:r>
      <w:r>
        <w:rPr>
          <w:rFonts w:ascii="arial" w:eastAsia="arial" w:hAnsi="arial" w:cs="arial"/>
          <w:color w:val="000000"/>
          <w:sz w:val="20"/>
          <w:lang w:val="en-US" w:eastAsia="en-US" w:bidi="ar-SA"/>
        </w:rPr>
        <w:t>  This appears to be another distinguishing feature of the position taken by the defence experts to the effect that there are a number of benign causes of abdominal pain, and they should be considered when the patient is medically assessed. Again, it ignores the time element. The fact that there are many causes for abdominal pain in pregnancy, should bring no comfort to the defence. The patient was a VBAC patient. The patient was experiencing constant abdominal pain for over 40 minutes. Constant abdominal pain is a known sign of uterine rupture. The circumstances required Dr. Reynolds to deal with the situation immediately by bringing in a specialist, an obstetrician, which I am satisfied would have shortly resulted in an emergency caesarean section. It would be pointless, and very dangerous, to start considering benign causes. Mrs. Strachan was in the last hour or so of her trial of labour, and timing was crucial. The causes are irrelevant unless in the short timeframe available for any kind of medical assessment, it is found that one of the benign causes is in fact the cause, thus excluding developing uterine rupture as the cause. The best way, the only way in fact, of doing this, in my opinion, would be to call in the obstetrician.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541</w:t>
      </w:r>
      <w:r>
        <w:rPr>
          <w:rFonts w:ascii="arial" w:eastAsia="arial" w:hAnsi="arial" w:cs="arial"/>
          <w:color w:val="000000"/>
          <w:sz w:val="20"/>
          <w:lang w:val="en-US" w:eastAsia="en-US" w:bidi="ar-SA"/>
        </w:rPr>
        <w:t>  I point out again that Dr. Reynolds did not carry out Dr. Cooper's "appropriate medical assessment", which all experts say is necessary. I point out, as well, that there were in fact other worrisome features known to Nurse Kinash, but not to Dr. Reynolds until she arrived at the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542</w:t>
      </w:r>
      <w:r>
        <w:rPr>
          <w:rFonts w:ascii="arial" w:eastAsia="arial" w:hAnsi="arial" w:cs="arial"/>
          <w:color w:val="000000"/>
          <w:sz w:val="20"/>
          <w:lang w:val="en-US" w:eastAsia="en-US" w:bidi="ar-SA"/>
        </w:rPr>
        <w:t>  Counsel also relies on the evidence of Dr. Hudson, who said that a telephone call advising him that a labouring VBAC patient was complaining of constant right-sided abdominal pain, where there were no other concerning signs, would not cause him to call a stat C/S. He opined that constant abdominal pain in labour is not uncommon, and that the obstetrician would therefore want more information, and that an assessment would have to be done. I am unable to agree with this evidence in the context of this case. In my view, Nurse Kinash had more than one sign of possible uterine rupture. And while constant abdominal pain in labour may not be uncommon, in my view, there was a duty on Dr. Reynolds to immediately ascertain whether or not a developing uterine rupture in her VBAC patient could be excluded through the retainer of the obstetrician.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543</w:t>
      </w:r>
      <w:r>
        <w:rPr>
          <w:rFonts w:ascii="arial" w:eastAsia="arial" w:hAnsi="arial" w:cs="arial"/>
          <w:color w:val="000000"/>
          <w:sz w:val="20"/>
          <w:lang w:val="en-US" w:eastAsia="en-US" w:bidi="ar-SA"/>
        </w:rPr>
        <w:t>  Ms. Khanna then referred to Dr. McTaggart's evidence or view that Dr. Reynolds responded appropriately to Mrs. Strachan's complaints of pain, and noted that the complaint was relayed in a "fairly routine manner typical of causes commonly placed by delivery room nurses to attending physicians"; also that Dr. Reynolds responded in an appropriate fashion by promptly attending, personally, to evaluate the situation. I have already expressed my views on Dr. McTaggart's evidence. In my view, nothing can be "routine" about a VBAC patient with symptoms that are known to signal developing uterine rupture, unless it involved a timely and critical investigation by Dr. Reynolds, through the obstetrician, to assure that the possibility of a developing uterine rupture has been excluded, and if not then immediate emergency surgery is performed. And as I have said, any assessment in tight circumstances is time-driven.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544</w:t>
      </w:r>
      <w:r>
        <w:rPr>
          <w:rFonts w:ascii="arial" w:eastAsia="arial" w:hAnsi="arial" w:cs="arial"/>
          <w:color w:val="000000"/>
          <w:sz w:val="20"/>
          <w:lang w:val="en-US" w:eastAsia="en-US" w:bidi="ar-SA"/>
        </w:rPr>
        <w:t>  Ms. Khanna went on to emphasize that there are a host of benign explanations for constant abdominal pain in a labouring VBAC patient, that there was no urgency, that there were no other concerning signs and symptoms conveyed to Dr. Reynolds at 5:10 a.m., and that the location of the pain was not consistent with an impending uterine rupture in that the pain was upper right-sided pain; all of which I have discussed earlier and rejected.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545</w:t>
      </w:r>
      <w:r>
        <w:rPr>
          <w:rFonts w:ascii="arial" w:eastAsia="arial" w:hAnsi="arial" w:cs="arial"/>
          <w:color w:val="000000"/>
          <w:sz w:val="20"/>
          <w:lang w:val="en-US" w:eastAsia="en-US" w:bidi="ar-SA"/>
        </w:rPr>
        <w:t>  At the risk of repeating myself, I am not impressed by the fact that there was a host of explanations for constant abdominal pain in a labouring VBAC patient. This submission ties into the Argument, that in effect, the VBAC patient is simply another low risk patient. That is a mistake. In my view, these other explanations are irrelevant. The number one risk to a VBAC patient is catastrophic uterine rupture. Once any sign is consistent with uterine rupture, it is seen that the focus of necessity must be on the emergency surgery unless it can be safely ascertained that uterine rupture can be excluded.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546</w:t>
      </w:r>
      <w:r>
        <w:rPr>
          <w:rFonts w:ascii="arial" w:eastAsia="arial" w:hAnsi="arial" w:cs="arial"/>
          <w:color w:val="000000"/>
          <w:sz w:val="20"/>
          <w:lang w:val="en-US" w:eastAsia="en-US" w:bidi="ar-SA"/>
        </w:rPr>
        <w:t>  I also have difficulties with the other submissions. Clearly there was urgency, there were other signs awaiting Dr. Reynolds at the Hospital, and even if the constant abdominal pain was described as upper right-sided pain, (and I have found that it was not so described), the pain could not be ignored and uterine rupture could not be excluded without more.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Failure To Contact An Obstetrician At 5:35 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547</w:t>
      </w:r>
      <w:r>
        <w:rPr>
          <w:rFonts w:ascii="arial" w:eastAsia="arial" w:hAnsi="arial" w:cs="arial"/>
          <w:color w:val="000000"/>
          <w:sz w:val="20"/>
          <w:lang w:val="en-US" w:eastAsia="en-US" w:bidi="ar-SA"/>
        </w:rPr>
        <w:t>  Counsel placed great store in the fact that the pain was said to be gone by the time Dr. Reynolds arrived at the hospital. I am not satisfied that this is the case, that a pain which was recorded as present a few minutes before had suddenly disappeared. However, I do not think that it matters whether it was completely gone or whether it was simply subsiding. In my view, in effect, Dr. Reynolds could have no comfort from the fact the constant abdominal pain was not present, whether or not this can be explained by the Demerol. While it may be said that at the time the pain could not be seen, it cannot be said that the source was not present, and it was not resolved. I am also unable to find that the situation was reassuring at that time, even if there were no other worrisome signs available to Dr. Reynolds at that time, which in my view is not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548</w:t>
      </w:r>
      <w:r>
        <w:rPr>
          <w:rFonts w:ascii="arial" w:eastAsia="arial" w:hAnsi="arial" w:cs="arial"/>
          <w:color w:val="000000"/>
          <w:sz w:val="20"/>
          <w:lang w:val="en-US" w:eastAsia="en-US" w:bidi="ar-SA"/>
        </w:rPr>
        <w:t>  In support of her point, counsel returns to the evidence of Dr. Cooper, Dr. Williams and Dr. Hudson. I do not intend to express my concerns about their evidence, which I consider to be out of context, again. Developing uterine rupture was a known risk of constant abdominal pain. There had been constant abdominal pain for at least 40 minutes, and it was probably continuing, although for some reason diminishing at the time. Dr. Reynolds had to deal with the possibility that the constant abdominal pain was caused by a developing uterine rupture by bringing in a specialist, whom, I have no doubt, would have proceeded to the emergency surgery unless it could be quickly and safely ascertained that a developing uterine rupture was not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549</w:t>
      </w:r>
      <w:r>
        <w:rPr>
          <w:rFonts w:ascii="arial" w:eastAsia="arial" w:hAnsi="arial" w:cs="arial"/>
          <w:color w:val="000000"/>
          <w:sz w:val="20"/>
          <w:lang w:val="en-US" w:eastAsia="en-US" w:bidi="ar-SA"/>
        </w:rPr>
        <w:t>  I agree with the submission, as Mrs. Strachan said, that had she been told that the constant abdominal pain she had been experiencing was a possible sign of uterine rupture, she would have immediately requested a caesarean section. I agree because she and her baby were the ones at risk, and she would not be interested in hearing interpretations of situations in effect adjudging the possibility of uterine rupture occurring. The fact that it had not been excluded would have been sufficient to her, and in my view, would have been sufficient to the prudent family doctor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550</w:t>
      </w:r>
      <w:r>
        <w:rPr>
          <w:rFonts w:ascii="arial" w:eastAsia="arial" w:hAnsi="arial" w:cs="arial"/>
          <w:color w:val="000000"/>
          <w:sz w:val="20"/>
          <w:lang w:val="en-US" w:eastAsia="en-US" w:bidi="ar-SA"/>
        </w:rPr>
        <w:t>  All of the above has been said without reference to the state of the strips. I say again that the situation of the strips, both what they revealed (some changes in contractions and in fetal heart rate) and the fact that crucial strip information was not available, could not, in my opinion, be considered to be reassuring. Something was not right. Information was lacking. And in view of the constant abdominal pain, all of the above signs should have been sufficient information to go to emergency surgery absent strong evidence eliminating uterine rupture as a cause of the signs being witnessed.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551</w:t>
      </w:r>
      <w:r>
        <w:rPr>
          <w:rFonts w:ascii="arial" w:eastAsia="arial" w:hAnsi="arial" w:cs="arial"/>
          <w:color w:val="000000"/>
          <w:sz w:val="20"/>
          <w:lang w:val="en-US" w:eastAsia="en-US" w:bidi="ar-SA"/>
        </w:rPr>
        <w:t>  Before leaving the subject matters of the strips, I refer briefly to the evidence of Dr. Williams, a highly trained academic, who was tendered as an obstetrician, although he never practiced as such, and an expert in the interpretation of monitoring strips. I do not question his abilities. I do question some of his opinions, and I do not accept that his opinions should be accepted over those of Dr. Doersam, and particularly, Dr. Feinstadt, who have been "in the trenches" as it were, for many years and whose experience and know-how has in my opinion left them in good stead.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552</w:t>
      </w:r>
      <w:r>
        <w:rPr>
          <w:rFonts w:ascii="arial" w:eastAsia="arial" w:hAnsi="arial" w:cs="arial"/>
          <w:color w:val="000000"/>
          <w:sz w:val="20"/>
          <w:lang w:val="en-US" w:eastAsia="en-US" w:bidi="ar-SA"/>
        </w:rPr>
        <w:t>  I do not intend to deal with this issue at any length. I do not see that I am required to interpret the effect of the ARM alone, or together with the developing uterine rupture. The ARM, in my view, is simply another matter which confuses the facts and issues, and which need not be considered in order for the plaintiffs to succeed.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553</w:t>
      </w:r>
      <w:r>
        <w:rPr>
          <w:rFonts w:ascii="arial" w:eastAsia="arial" w:hAnsi="arial" w:cs="arial"/>
          <w:color w:val="000000"/>
          <w:sz w:val="20"/>
          <w:lang w:val="en-US" w:eastAsia="en-US" w:bidi="ar-SA"/>
        </w:rPr>
        <w:t>  In any event, as I have indicated, I am satisfied on the evidence that it is more likely than not that the head of the fetus was not well applied at the time of the ARM, and that the reason for doing it was to bring on what Dr. Reynolds still believed to be a normal birth. It was, in my view, a dangerous procedure to undertake in the given circumstances, particularly when clear amniotic fluid (which was found) would not disclose anything about the state of the scar, and a developing uterine rupture had not been excluded as a cause of the symptoms observed.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554</w:t>
      </w:r>
      <w:r>
        <w:rPr>
          <w:rFonts w:ascii="arial" w:eastAsia="arial" w:hAnsi="arial" w:cs="arial"/>
          <w:color w:val="000000"/>
          <w:sz w:val="20"/>
          <w:lang w:val="en-US" w:eastAsia="en-US" w:bidi="ar-SA"/>
        </w:rPr>
        <w:t>  Finally, the rupture of the membrane may have speeded up the developing uterine rupture; and in any event, it may have taken up precious time within which an emergency caesarean section might have been successfully performed. If it was necessary that I determine this to have happened, then I do so.</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555</w:t>
      </w:r>
      <w:r>
        <w:rPr>
          <w:rFonts w:ascii="arial" w:eastAsia="arial" w:hAnsi="arial" w:cs="arial"/>
          <w:color w:val="000000"/>
          <w:sz w:val="20"/>
          <w:lang w:val="en-US" w:eastAsia="en-US" w:bidi="ar-SA"/>
        </w:rPr>
        <w:t>  I agree that in assessing Dr. Reynolds' standard of care it is inappropriate to employ a retrospective analysis. I do not agree that this was done by Drs. Doersam and Feinstadt. I do not agree that in assessing the situation reference cannot be made to the fact that uterine rupture occurred. This is the event which Dr. Reynolds and Nurse Kinash should have been on the look out for. A major sign of a developing uterine rupture, the constant abdominal pain, was there. There were other signs as well with regards to the strips situation, which while not in themselves alarming, became more prominent, or should have brought more concern, in light of the primary sign of constant abdominal pain. In my view, looking through the eyes of a prudent and reasonable physician, such a physician would not have conducted herself in the manner in which Dr. Reynolds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556</w:t>
      </w:r>
      <w:r>
        <w:rPr>
          <w:rFonts w:ascii="arial" w:eastAsia="arial" w:hAnsi="arial" w:cs="arial"/>
          <w:color w:val="000000"/>
          <w:sz w:val="20"/>
          <w:lang w:val="en-US" w:eastAsia="en-US" w:bidi="ar-SA"/>
        </w:rPr>
        <w:t>  I do not propose to go through again, in detail, counsel's review of the evidence in support of Dr. Reynolds' sought after conclusion. I do not agree that the preponderance of evidence is that Dr. Reynolds met the standard of care of a reasonably competent family physician practicing obstetrics. Nor do I agree that when she attended at the hospital in a timely fashion she found a situation which was "routine, if not reassuring".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557</w:t>
      </w:r>
      <w:r>
        <w:rPr>
          <w:rFonts w:ascii="arial" w:eastAsia="arial" w:hAnsi="arial" w:cs="arial"/>
          <w:color w:val="000000"/>
          <w:sz w:val="20"/>
          <w:lang w:val="en-US" w:eastAsia="en-US" w:bidi="ar-SA"/>
        </w:rPr>
        <w:t>  The emphasis on the lack of fetal heart rate distress is misguided because this may not occur until the actual rupture takes place and the infant is extruded into the body cavity; further, there was some evidence of change in the fetal heart rate, which in light of the constant abdominal pain, should also have been considered as possibly caused by a developing uterine rupture.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558</w:t>
      </w:r>
      <w:r>
        <w:rPr>
          <w:rFonts w:ascii="arial" w:eastAsia="arial" w:hAnsi="arial" w:cs="arial"/>
          <w:color w:val="000000"/>
          <w:sz w:val="20"/>
          <w:lang w:val="en-US" w:eastAsia="en-US" w:bidi="ar-SA"/>
        </w:rPr>
        <w:t>  Dr. Reynolds never directed her mind to the possibility that the signs or symptoms available to her might be caused by a developing uterine rupture. She never, in fact, investigated that possibility. She never in fact excluded it as the cause of the symptoms available to her, particularly what I would call the primary symptom of constant abdominal pain. The pain described to Dr. Reynolds during the telephone conversation of 5:10 a.m. was "unusual pain". It lasted for over 40 minutes, assuming that it ceased around the time that Dr. Reynolds arrived at the hospital, and I am not satisfied on the evidence that that was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559</w:t>
      </w:r>
      <w:r>
        <w:rPr>
          <w:rFonts w:ascii="arial" w:eastAsia="arial" w:hAnsi="arial" w:cs="arial"/>
          <w:color w:val="000000"/>
          <w:sz w:val="20"/>
          <w:lang w:val="en-US" w:eastAsia="en-US" w:bidi="ar-SA"/>
        </w:rPr>
        <w:t>  In any event, it was not minor pain, but the known risk of the primary concern for a VBAC patient, developing uterine rupture, and in my view Dr. Reynolds had to deal with it immediately by calling in an obstetrician, to be sure that uterine rupture was excluded as a cause of the known symptoms, provided time permitted, and if not, to see that surgery was performed. She did not do this. She did not investigate the possibility. She did not call in the obstetrician. She did not take any of the reasonable and appropriate steps required for her to make a critical and reasoned medical decision that her patient was not at risk of a developing uterine rupture in the face of symptoms associated with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560</w:t>
      </w:r>
      <w:r>
        <w:rPr>
          <w:rFonts w:ascii="arial" w:eastAsia="arial" w:hAnsi="arial" w:cs="arial"/>
          <w:color w:val="000000"/>
          <w:sz w:val="20"/>
          <w:lang w:val="en-US" w:eastAsia="en-US" w:bidi="ar-SA"/>
        </w:rPr>
        <w:t>  I said earlier that this is not a case where a physician has chosen and followed one of two legitimate and acceptable schools of medical thought. It is a case where the physician gave no thought to the most serious risk associated with the trial of labour of a VBAC patient. It is a case where the physician in treating and caring for her patient has failed to demonstrate that she exercised the ordinary skills of the prudent and reasonable family physician in obstetrics. Any view, whether a majority or minority view, to the contrary would be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561</w:t>
      </w:r>
      <w:r>
        <w:rPr>
          <w:rFonts w:ascii="arial" w:eastAsia="arial" w:hAnsi="arial" w:cs="arial"/>
          <w:color w:val="000000"/>
          <w:sz w:val="20"/>
          <w:lang w:val="en-US" w:eastAsia="en-US" w:bidi="ar-SA"/>
        </w:rPr>
        <w:t>  I agree with the position that there is no disagreement on the basic standard of care in this case. While it is appropriate to attempt vaginal birth in a woman who has had a previous caesarean section, it is absolutely necessary to be alert for signs and symptoms of a developing uterine rupture immediately they appeared, and to respond promptly with an emergency caesarean section if the risk cannot be excluded. Here Dr. Reynolds and Nurse Kinash did not even recognize the signs, did not even consider the possibility of uterine rupture and failed to respond promptly to them.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Causation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562</w:t>
      </w:r>
      <w:r>
        <w:rPr>
          <w:rFonts w:ascii="arial" w:eastAsia="arial" w:hAnsi="arial" w:cs="arial"/>
          <w:color w:val="000000"/>
          <w:sz w:val="20"/>
          <w:lang w:val="en-US" w:eastAsia="en-US" w:bidi="ar-SA"/>
        </w:rPr>
        <w:t xml:space="preserve">  Counsel commenced by setting out the principles of causation contained in such cases as Snell v. Farrell </w:t>
      </w:r>
      <w:hyperlink r:id="rId98" w:history="1">
        <w:r>
          <w:rPr>
            <w:rFonts w:ascii="arial" w:eastAsia="arial" w:hAnsi="arial" w:cs="arial"/>
            <w:i/>
            <w:color w:val="0077CC"/>
            <w:sz w:val="20"/>
            <w:u w:val="single"/>
            <w:shd w:val="clear" w:color="auto" w:fill="FFFFFF"/>
            <w:lang w:val="en-US" w:eastAsia="en-US" w:bidi="ar-SA"/>
          </w:rPr>
          <w:t>(1990), 72 D.L.R. (4th) 289</w:t>
        </w:r>
      </w:hyperlink>
      <w:r>
        <w:rPr>
          <w:rFonts w:ascii="arial" w:eastAsia="arial" w:hAnsi="arial" w:cs="arial"/>
          <w:color w:val="000000"/>
          <w:sz w:val="20"/>
          <w:lang w:val="en-US" w:eastAsia="en-US" w:bidi="ar-SA"/>
        </w:rPr>
        <w:t xml:space="preserve"> (S.C.C.); and Moore v. Johnson </w:t>
      </w:r>
      <w:hyperlink r:id="rId99" w:history="1">
        <w:r>
          <w:rPr>
            <w:rFonts w:ascii="arial" w:eastAsia="arial" w:hAnsi="arial" w:cs="arial"/>
            <w:i/>
            <w:color w:val="0077CC"/>
            <w:sz w:val="20"/>
            <w:u w:val="single"/>
            <w:shd w:val="clear" w:color="auto" w:fill="FFFFFF"/>
            <w:lang w:val="en-US" w:eastAsia="en-US" w:bidi="ar-SA"/>
          </w:rPr>
          <w:t>(1996), 25 B.C.L.R. (3d) 188</w:t>
        </w:r>
      </w:hyperlink>
      <w:r>
        <w:rPr>
          <w:rFonts w:ascii="arial" w:eastAsia="arial" w:hAnsi="arial" w:cs="arial"/>
          <w:color w:val="000000"/>
          <w:sz w:val="20"/>
          <w:lang w:val="en-US" w:eastAsia="en-US" w:bidi="ar-SA"/>
        </w:rPr>
        <w:t xml:space="preserve"> (S.C.); and in the Court of Appeal </w:t>
      </w:r>
      <w:hyperlink r:id="rId100" w:history="1">
        <w:r>
          <w:rPr>
            <w:rFonts w:ascii="arial" w:eastAsia="arial" w:hAnsi="arial" w:cs="arial"/>
            <w:i/>
            <w:color w:val="0077CC"/>
            <w:sz w:val="20"/>
            <w:u w:val="single"/>
            <w:shd w:val="clear" w:color="auto" w:fill="FFFFFF"/>
            <w:lang w:val="en-US" w:eastAsia="en-US" w:bidi="ar-SA"/>
          </w:rPr>
          <w:t>(1998), 49 B.C.L.R. (3d) 100</w:t>
        </w:r>
      </w:hyperlink>
      <w:r>
        <w:rPr>
          <w:rFonts w:ascii="arial" w:eastAsia="arial" w:hAnsi="arial" w:cs="arial"/>
          <w:color w:val="000000"/>
          <w:sz w:val="20"/>
          <w:lang w:val="en-US" w:eastAsia="en-US" w:bidi="ar-SA"/>
        </w:rPr>
        <w:t>. The plaintiff has the onus of proving, on a balance of probability, that there is a causal connection between the breach of the standard of care and the injury and damages suffered.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563</w:t>
      </w:r>
      <w:r>
        <w:rPr>
          <w:rFonts w:ascii="arial" w:eastAsia="arial" w:hAnsi="arial" w:cs="arial"/>
          <w:color w:val="000000"/>
          <w:sz w:val="20"/>
          <w:lang w:val="en-US" w:eastAsia="en-US" w:bidi="ar-SA"/>
        </w:rPr>
        <w:t>  In her hand-up, counsel states:</w:t>
      </w:r>
      <w:r>
        <w:rPr>
          <w:rFonts w:ascii="arial" w:eastAsia="arial" w:hAnsi="arial" w:cs="arial"/>
          <w:sz w:val="20"/>
          <w:lang w:val="en-US" w:eastAsia="en-US" w:bidi="ar-SA"/>
        </w:rPr>
        <w:cr/>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Causation is not seriously an issue in this case to the extent that it is not disputed that the infant plaintiff suffered an acute hypoxia-ischemic injury to the brain as a consequence of uterine rupture close to the time of delivery.</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also not in dispute that if the infant plaintiff had been delivered prior to the uterine rupture, which based on the record occurred at approximately 0605, he would not have suffered the hypoxia-ischemic injury. the issue is whether the brain injury occurred because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because of mis-adventure.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564</w:t>
      </w:r>
      <w:r>
        <w:rPr>
          <w:rFonts w:ascii="arial" w:eastAsia="arial" w:hAnsi="arial" w:cs="arial"/>
          <w:color w:val="000000"/>
          <w:sz w:val="20"/>
          <w:lang w:val="en-US" w:eastAsia="en-US" w:bidi="ar-SA"/>
        </w:rPr>
        <w:t>  Counsel then took me to her initial written submission that delivery would not have been any sooner than it was on January 23, 1999, if, after completing her assessment at 5:45 a.m., Dr. Reynolds had called in an obstetrician. It is based on Dr. Reynolds' evidence of her careful and informed assessment, which I do not accept. It is based primarily on the evidence of the defence experts that they each would have done the same assessment done by Dr. Reynolds, when she found the fetal and maternal findings were reassuring. I am not satisfied that this is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565</w:t>
      </w:r>
      <w:r>
        <w:rPr>
          <w:rFonts w:ascii="arial" w:eastAsia="arial" w:hAnsi="arial" w:cs="arial"/>
          <w:color w:val="000000"/>
          <w:sz w:val="20"/>
          <w:lang w:val="en-US" w:eastAsia="en-US" w:bidi="ar-SA"/>
        </w:rPr>
        <w:t>  I find it difficult to believe that the average or prudent obstetrician, knowing what Dr. Reynolds knew, and what she ought to have known, and having to make the life or death decision, would have done exactly what she did; and it is to be remembered that in conducting whatever assessment she did, it was neither a focused nor informed assessment. She never directed her mind to the issue of whether or not it was possible that the symptoms she saw, including the complaint of constant abdominal pain, might be caused by a developing uterine rupture, and she never even considered the question of whether or not it could be excluded as a cause. The approach of these expert doctors would have been far different.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566</w:t>
      </w:r>
      <w:r>
        <w:rPr>
          <w:rFonts w:ascii="arial" w:eastAsia="arial" w:hAnsi="arial" w:cs="arial"/>
          <w:color w:val="000000"/>
          <w:sz w:val="20"/>
          <w:lang w:val="en-US" w:eastAsia="en-US" w:bidi="ar-SA"/>
        </w:rPr>
        <w:t>  In my opinion, the prudent obstetrician, if called in when he should have been called in, and who would have to make the critical decision, assuming there was time to make a full assessment, would have been faced with at least 40 minutes of constant abdominal pain, and other significant changes in the monitor strips, when considered in light of that constant abdominal pain, and absent evidence that a developing uterine rupture could be excluded as a cause, would have proceeded to an emergency caesarean section. This was Dr. Doersam's evidence which I accept.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567</w:t>
      </w:r>
      <w:r>
        <w:rPr>
          <w:rFonts w:ascii="arial" w:eastAsia="arial" w:hAnsi="arial" w:cs="arial"/>
          <w:color w:val="000000"/>
          <w:sz w:val="20"/>
          <w:lang w:val="en-US" w:eastAsia="en-US" w:bidi="ar-SA"/>
        </w:rPr>
        <w:t>  One other point I would raise, although I do not recall it being argued, and that relates to the rupturing of the membrane. If Nurse Kinash had telephoned Dr. Reynolds at approximately 4:45 a.m. or a bit earlier, and if Dr. Reynolds had alerted the obstetrician and arrangements had been made to bring in the surgical crew, Dr. Reynolds would not have ruptured the membrane. Thus, I do not believe that it follows that the full uterine rupture would have occurred at the exact same time, that is, about 6:05 a.m. I say this because I am of the view that the rupturing of the membrane increased the pressures on the uterine scar and speed up the rupturing process and took away precious time which should have been available when the situation was handled in the proper manner.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568</w:t>
      </w:r>
      <w:r>
        <w:rPr>
          <w:rFonts w:ascii="arial" w:eastAsia="arial" w:hAnsi="arial" w:cs="arial"/>
          <w:color w:val="000000"/>
          <w:sz w:val="20"/>
          <w:lang w:val="en-US" w:eastAsia="en-US" w:bidi="ar-SA"/>
        </w:rPr>
        <w:t>  Thus, I do not accept the argument of counsel for Dr. Reynolds, that even if Dr. Reynolds had called in the obstetrician at approximately 5:45 a.m., and arranged for the surgical crew to attend, they would have arrived too late, i.e., the emergency was happening.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569</w:t>
      </w:r>
      <w:r>
        <w:rPr>
          <w:rFonts w:ascii="arial" w:eastAsia="arial" w:hAnsi="arial" w:cs="arial"/>
          <w:color w:val="000000"/>
          <w:sz w:val="20"/>
          <w:lang w:val="en-US" w:eastAsia="en-US" w:bidi="ar-SA"/>
        </w:rPr>
        <w:t>  If the actual time of the uterine rupture was only 15 minutes later, telephone calls at 5:45 a.m. to the obstetrician and to the crew would probably have been successful. And I am not satisfied that by extending the rupture time to 6:20 a.m. is a matter of speculation. And, in any event, it is seen that when the actual rupture time is lengthened to 6:30 a.m., to 6:45 a.m., and so on and so on, the front-end time for bringing in the obstetrician and the surgical crew moves correspondingly. In my view, Dr. Feinstadt's evidence on the subject matter, raised as I recall on cross-examination, supports a reasonable inference that had the situation been handled appropriately by Dr. Reynolds, and the membrane not ruptured, there would have been more time available to enable the emergency caesarean section to be performed without injury to Travis.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570</w:t>
      </w:r>
      <w:r>
        <w:rPr>
          <w:rFonts w:ascii="arial" w:eastAsia="arial" w:hAnsi="arial" w:cs="arial"/>
          <w:color w:val="000000"/>
          <w:sz w:val="20"/>
          <w:lang w:val="en-US" w:eastAsia="en-US" w:bidi="ar-SA"/>
        </w:rPr>
        <w:t>  Ms. Khanna's submission is based on Dr. Reynolds' evidence, some statistical evidence of Dr. Cooper and a suggestion that once called, an obstetrician would have, in effect, taken his time to get to the Hospital and to personally examine the situation before deciding what to do, notwithstanding the time problem in the defendant Hospital that staff had to be called in and that it takes approximately 30 minutes to do the emergency caesarean section after "any serious situation becomes apparent". I do not accept this evidence as supporting counsel's position that in any event, had the obstetrician been notified and operating staff brought to the Hospital, it would have been too late to save the baby from severe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571</w:t>
      </w:r>
      <w:r>
        <w:rPr>
          <w:rFonts w:ascii="arial" w:eastAsia="arial" w:hAnsi="arial" w:cs="arial"/>
          <w:color w:val="000000"/>
          <w:sz w:val="20"/>
          <w:lang w:val="en-US" w:eastAsia="en-US" w:bidi="ar-SA"/>
        </w:rPr>
        <w:t>  This submission just underscores the evidence of Dr. Feinstadt and Dr. Doersam of the need to identify the problem, and to react to it at the first opportunity, which of course Dr. Reynolds did not do and is therefore liable. The argument is based on Dr. Reynolds' evidence that all was well when she completed her examination at 5:45 a.m. (which was simply not the case) and that she would not have had any cause to call in the obstetrician at that time. It is also based on the assumption that if the obstetrician came in at that time, he would have conducted his own investigation, eating up any available time left, with the result, again, that an emergency caesarean section would not have been successful.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572</w:t>
      </w:r>
      <w:r>
        <w:rPr>
          <w:rFonts w:ascii="arial" w:eastAsia="arial" w:hAnsi="arial" w:cs="arial"/>
          <w:color w:val="000000"/>
          <w:sz w:val="20"/>
          <w:lang w:val="en-US" w:eastAsia="en-US" w:bidi="ar-SA"/>
        </w:rPr>
        <w:t>  I accept Dr. Doersam's evidence that the emergency caesarean section should have been started by 5:30 a.m., and that would seem to foreclose the defence argument that causation has not been proven. I am also prepared to find that as a result of the ARM incident that surgery probably could have been started at some later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SUBMISSION OF MS. HARPER - COUNSEL FOR KELOWNA GENERAL HOSPITAL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Liability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Factual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573</w:t>
      </w:r>
      <w:r>
        <w:rPr>
          <w:rFonts w:ascii="arial" w:eastAsia="arial" w:hAnsi="arial" w:cs="arial"/>
          <w:color w:val="000000"/>
          <w:sz w:val="20"/>
          <w:lang w:val="en-US" w:eastAsia="en-US" w:bidi="ar-SA"/>
        </w:rPr>
        <w:t>  Ms. Harper commenced by saying that the evidence from all of the defence experts, and Dr. Reynolds, was that VBAC patients generally were categorized as being at low risk. It was a general practice and not unique to the Hospital. She said that such patients were treated routinely, by nurses and doctors, until a concern was identified. I have already expressed my view on this "general practice"; and I note the qualifications stated "until a concern was identified".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574</w:t>
      </w:r>
      <w:r>
        <w:rPr>
          <w:rFonts w:ascii="arial" w:eastAsia="arial" w:hAnsi="arial" w:cs="arial"/>
          <w:color w:val="000000"/>
          <w:sz w:val="20"/>
          <w:lang w:val="en-US" w:eastAsia="en-US" w:bidi="ar-SA"/>
        </w:rPr>
        <w:t>  In going through the factual background, Ms. Harper submitted and emphasized that Mrs. Strachan began to complain of constant abdominal pain "between 4:45 and 5:00 a.m., but closer to 5:00 a.m." I do not agree. As I have already indicated, I am satisfied that the complaint of constant abdominal pain was finally articulated some time prior to 4:45 a.m., probably around 4:30 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575</w:t>
      </w:r>
      <w:r>
        <w:rPr>
          <w:rFonts w:ascii="arial" w:eastAsia="arial" w:hAnsi="arial" w:cs="arial"/>
          <w:color w:val="000000"/>
          <w:sz w:val="20"/>
          <w:lang w:val="en-US" w:eastAsia="en-US" w:bidi="ar-SA"/>
        </w:rPr>
        <w:t>  Ms. Harper emphasized that according to the Records, Dr. Reynolds arrived some time between 5:25 and 5:30 a.m.; that Mrs. Strachan was back in bed and a strip was started at 5:33 a.m., and the membrane was ruptured just after the commencement of that strip. She also noted that the evidence of Dr. Reynolds was that she had done an assessment of Mrs. Strachan, and had spoken to her, before she ruptured the membrane.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576</w:t>
      </w:r>
      <w:r>
        <w:rPr>
          <w:rFonts w:ascii="arial" w:eastAsia="arial" w:hAnsi="arial" w:cs="arial"/>
          <w:color w:val="000000"/>
          <w:sz w:val="20"/>
          <w:lang w:val="en-US" w:eastAsia="en-US" w:bidi="ar-SA"/>
        </w:rPr>
        <w:t>  I have already pointed out that the times recorded leave very little time for Dr. Reynolds to appropriately assess Mrs. Strachan in the manner in which she said she did; while at the same time she seems to have been focusing on the rupturing of the membrane. I am unable to agree with counsel's suggestion that Dr. Reynolds was with Mrs. Strachan for at least 15 minutes while she was assessing the situation, given that the membrane was ruptured at 5:33 a.m. Nor am I able to agree that Dr. Reynolds did a true assessment of the cause of the constant abdominal pain, as prescribed by all of the experts, especially the defence experts.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577</w:t>
      </w:r>
      <w:r>
        <w:rPr>
          <w:rFonts w:ascii="arial" w:eastAsia="arial" w:hAnsi="arial" w:cs="arial"/>
          <w:color w:val="000000"/>
          <w:sz w:val="20"/>
          <w:lang w:val="en-US" w:eastAsia="en-US" w:bidi="ar-SA"/>
        </w:rPr>
        <w:t>  Ms. Harper further emphasized that when she was cross-examined, Dr. Reynolds noted that by 5:45 a.m. she was satisfied that nothing untoward was happening, "and the plan was to proceed with the labour as normal". At trial she said that at the time the pain was gone, the fetal rate was assuring and labour was progressing well. Nurse Kinash's evidence was that both she and Dr. Reynolds left Mrs. Strachan alone for 15 minutes, before they returned and could not find a fetal heart rate,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Legal Principles Applicable To Hospitals And Nursing Staff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578</w:t>
      </w:r>
      <w:r>
        <w:rPr>
          <w:rFonts w:ascii="arial" w:eastAsia="arial" w:hAnsi="arial" w:cs="arial"/>
          <w:color w:val="000000"/>
          <w:sz w:val="20"/>
          <w:lang w:val="en-US" w:eastAsia="en-US" w:bidi="ar-SA"/>
        </w:rPr>
        <w:t xml:space="preserve">  Ms. Harper referred me to a number of cases, including Child v. Vancouver General Hospital and Tennessy, </w:t>
      </w:r>
      <w:hyperlink r:id="rId101" w:history="1">
        <w:r>
          <w:rPr>
            <w:rFonts w:ascii="arial" w:eastAsia="arial" w:hAnsi="arial" w:cs="arial"/>
            <w:i/>
            <w:color w:val="0077CC"/>
            <w:sz w:val="20"/>
            <w:u w:val="single"/>
            <w:shd w:val="clear" w:color="auto" w:fill="FFFFFF"/>
            <w:lang w:val="en-US" w:eastAsia="en-US" w:bidi="ar-SA"/>
          </w:rPr>
          <w:t>[1970] S.C.R. 477</w:t>
        </w:r>
      </w:hyperlink>
      <w:r>
        <w:rPr>
          <w:rFonts w:ascii="arial" w:eastAsia="arial" w:hAnsi="arial" w:cs="arial"/>
          <w:color w:val="000000"/>
          <w:sz w:val="20"/>
          <w:lang w:val="en-US" w:eastAsia="en-US" w:bidi="ar-SA"/>
        </w:rPr>
        <w:t xml:space="preserve">; Tekano v. Lions Gate Hospital, </w:t>
      </w:r>
      <w:hyperlink r:id="rId102" w:history="1">
        <w:r>
          <w:rPr>
            <w:rFonts w:ascii="arial" w:eastAsia="arial" w:hAnsi="arial" w:cs="arial"/>
            <w:i/>
            <w:color w:val="0077CC"/>
            <w:sz w:val="20"/>
            <w:u w:val="single"/>
            <w:shd w:val="clear" w:color="auto" w:fill="FFFFFF"/>
            <w:lang w:val="en-US" w:eastAsia="en-US" w:bidi="ar-SA"/>
          </w:rPr>
          <w:t>[1999] B.C.J. No. 1763</w:t>
        </w:r>
      </w:hyperlink>
      <w:r>
        <w:rPr>
          <w:rFonts w:ascii="arial" w:eastAsia="arial" w:hAnsi="arial" w:cs="arial"/>
          <w:color w:val="000000"/>
          <w:sz w:val="20"/>
          <w:lang w:val="en-US" w:eastAsia="en-US" w:bidi="ar-SA"/>
        </w:rPr>
        <w:t xml:space="preserve"> (S.C.); and Wilson v. Swanson, (supra), for the general propositions that nurses, while they observe and report, do not diagnose, and in the case of a labouring patient, it is the physician, in this case Dr. Reynolds, who is charged with the management of the labour.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579</w:t>
      </w:r>
      <w:r>
        <w:rPr>
          <w:rFonts w:ascii="arial" w:eastAsia="arial" w:hAnsi="arial" w:cs="arial"/>
          <w:color w:val="000000"/>
          <w:sz w:val="20"/>
          <w:lang w:val="en-US" w:eastAsia="en-US" w:bidi="ar-SA"/>
        </w:rPr>
        <w:t>  Nurses are not free to depart from the instructions of a physician. In addition, nurses, like doctors, are not liable for errors in judgment and are not to be judged in hindsight on the basis of the outcome. It is easy to fall into the trap of analysing the facts in light of the outcome. They should be analysed in light of the events at that time. I observe that the concept today is that the doctors and nurses work as a team when caring for a woman in labour. This is especially so when the woman is a VBAC and is going through a trial of labour, and the doctor is not in the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580</w:t>
      </w:r>
      <w:r>
        <w:rPr>
          <w:rFonts w:ascii="arial" w:eastAsia="arial" w:hAnsi="arial" w:cs="arial"/>
          <w:color w:val="000000"/>
          <w:sz w:val="20"/>
          <w:lang w:val="en-US" w:eastAsia="en-US" w:bidi="ar-SA"/>
        </w:rPr>
        <w:t>  Counsel referred to the decision of Mr. Justice Rand in Wilson where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test can be no more than this: was the decision the result of the exercise of the surgical intelligence professed? or was what was done such that, disregarding it may be the exceptional case or the individual, in all the circumstances, at least the preponderant opinion of the group would have been against it? If a substantial opinion confirms it, there is no breach or failure.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 error in judgment has long been distinguished from an act of unskillfulness or carelessness or due to lack of knowledge ... the honest intelligent exercise of judgment has long been recognized as satisfying the professional obligation.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He is not to be judged by the result, nor to be held liable for an error of judgment.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to be determined by reference to the facts existing at the time of his examination and treatment, by which he knew or in the exercise of due care should have known. </w:t>
      </w:r>
      <w:r>
        <w:rPr>
          <w:rFonts w:ascii="arial" w:eastAsia="arial" w:hAnsi="arial" w:cs="arial"/>
          <w:color w:val="000000"/>
          <w:sz w:val="20"/>
          <w:u w:val="single"/>
          <w:lang w:val="en-US" w:eastAsia="en-US" w:bidi="ar-SA"/>
        </w:rPr>
        <w:t>It may consist in a failure to apply the proper remedy upon a correct determination of existing physical conditions, or it may precede that and result from a failure to properly inform himself of these conditions</w:t>
      </w:r>
      <w:r>
        <w:rPr>
          <w:rFonts w:ascii="arial" w:eastAsia="arial" w:hAnsi="arial" w:cs="arial"/>
          <w:color w:val="000000"/>
          <w:sz w:val="20"/>
          <w:lang w:val="en-US" w:eastAsia="en-US" w:bidi="ar-SA"/>
        </w:rPr>
        <w:t>. If the latter, then it must appear that he had a reasonable opportunity for examination and that the true physical conditions were so apparent that they could have been ascertain by the exercise of the required degree of care and skill. For, if a determination of these physical facts resolves itself into a question of judgment merely, he cannot be held accountable for his error.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581</w:t>
      </w:r>
      <w:r>
        <w:rPr>
          <w:rFonts w:ascii="arial" w:eastAsia="arial" w:hAnsi="arial" w:cs="arial"/>
          <w:color w:val="000000"/>
          <w:sz w:val="20"/>
          <w:lang w:val="en-US" w:eastAsia="en-US" w:bidi="ar-SA"/>
        </w:rPr>
        <w:t>  Reliance was also placed on Tekano where it was held that like physicians, nurses will not generally incur liability for errors in judgment. It was also held that it is clear nurses are not responsible for diagnosis, nor are they free to depart from a physician's instructions, absent "clear and obvious" neglect or incompetence.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582</w:t>
      </w:r>
      <w:r>
        <w:rPr>
          <w:rFonts w:ascii="arial" w:eastAsia="arial" w:hAnsi="arial" w:cs="arial"/>
          <w:color w:val="000000"/>
          <w:sz w:val="20"/>
          <w:lang w:val="en-US" w:eastAsia="en-US" w:bidi="ar-SA"/>
        </w:rPr>
        <w:t>  In Tekano the plaintiffs alleged that the nurses failed to respond appropriately to obvious signs of fetal distress when they knew that birth by caesarean section was likely. They argued that the nurses should have notified the on-call obstetrician, or at least, adequately communicated the urgency of the circumstances and the need for an immediate obstetrical consultation to the GP during a telephone conversation. The allegation was that the steps were necessary because the on-call obstetrician was not on the premises, and all parties knew that he would have to be called in to perform the caesarean 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583</w:t>
      </w:r>
      <w:r>
        <w:rPr>
          <w:rFonts w:ascii="arial" w:eastAsia="arial" w:hAnsi="arial" w:cs="arial"/>
          <w:color w:val="000000"/>
          <w:sz w:val="20"/>
          <w:lang w:val="en-US" w:eastAsia="en-US" w:bidi="ar-SA"/>
        </w:rPr>
        <w:t>  The plaintiffs also contended that when Dr. Clark was telephoned she should have arranged immediately for an obstetrician consultation rather than attending at the hospital to conduct her own assessment as she did. In this regard it is stated at p. 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After going to the hospital and assessing Mrs. Takeno, Dr. Clark did call the obstetrician, who then arrived at 2315 hours and performed the stat caesarean section shortly thereafter. The plaintiffs say that if the defendants had responded appropriately, Graham likely would have been delivered a half hour earlier.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584</w:t>
      </w:r>
      <w:r>
        <w:rPr>
          <w:rFonts w:ascii="arial" w:eastAsia="arial" w:hAnsi="arial" w:cs="arial"/>
          <w:color w:val="000000"/>
          <w:sz w:val="20"/>
          <w:lang w:val="en-US" w:eastAsia="en-US" w:bidi="ar-SA"/>
        </w:rPr>
        <w:t>  And further down the page: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central issue in this litigation is whether the early events during labour were predictors of the decline at 2306 hours such that reasonably competent nurses and doctors, in the circumstances, would have taken the steps that the plaintiffs say ought to have been taken here. For the reasons that follow, I am not persuaded that the events before 2306 hours were precursors of the decline such that nurses, or Dr. Clark, should have taken different steps.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585</w:t>
      </w:r>
      <w:r>
        <w:rPr>
          <w:rFonts w:ascii="arial" w:eastAsia="arial" w:hAnsi="arial" w:cs="arial"/>
          <w:color w:val="000000"/>
          <w:sz w:val="20"/>
          <w:lang w:val="en-US" w:eastAsia="en-US" w:bidi="ar-SA"/>
        </w:rPr>
        <w:t>  In Takeno the Court found that it was reasonable for the nurses to wait and do further assessments of the patient before calling the doctor. What had happened was that the patient arrived at the hospital in labour and over eight to nine minutes of fetal heart monitoring by a nurse, there were late decelerations of the fetal heart. Only after the third deceleration did the nurse call the attending doctor. The nurse's evidence was that she was concerned, during the period of monitoring, that a caesarean section was likely, but did not expect it to be performed on an urgent basis. The judge rejected the suggestion that the nurse should have contacted the doctor at the first sign of abnormality on the strip, rather than waiting for a further ten minutes to do further assessments. In my view, Takeno is distinguishable from the case at Bar because there the woman in labour was not a VBAC patient and thus different considerations applied.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Analysis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Expert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586</w:t>
      </w:r>
      <w:r>
        <w:rPr>
          <w:rFonts w:ascii="arial" w:eastAsia="arial" w:hAnsi="arial" w:cs="arial"/>
          <w:color w:val="000000"/>
          <w:sz w:val="20"/>
          <w:lang w:val="en-US" w:eastAsia="en-US" w:bidi="ar-SA"/>
        </w:rPr>
        <w:t>  Under this topic Ms. Harper submitted that the expert evidence of Nurse Radmanovic ought not to be relied upon by the Court. The evidence of Nurse Grixti should be preferred. Nurse Radmanovic was clearly an advocate who had an attitude of perfection which was demonstrated by the fact that she espoused a standard of perfection, rather than a reasonable standard, with regard to nurses' charts. In any event, counsel for the plaintiff "now concedes that the fetal heart strips are largely irrelevant".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587</w:t>
      </w:r>
      <w:r>
        <w:rPr>
          <w:rFonts w:ascii="arial" w:eastAsia="arial" w:hAnsi="arial" w:cs="arial"/>
          <w:color w:val="000000"/>
          <w:sz w:val="20"/>
          <w:lang w:val="en-US" w:eastAsia="en-US" w:bidi="ar-SA"/>
        </w:rPr>
        <w:t>  I found Nurse Radmanovic to be focused, objective and persuasive. I preferred her evidence over that of Nurse Grixti in the few areas where there was a conflict. In this regard, I accept Nurse Radmanovic's opinion that as a reasonable and prudent nurse, Nurse Kinash should have called Dr. Reynolds around 4:45 a.m. when she became concerned with the complaint of constant abdominal pain, and finally provided Mrs. Strachan with the Demerol.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588</w:t>
      </w:r>
      <w:r>
        <w:rPr>
          <w:rFonts w:ascii="arial" w:eastAsia="arial" w:hAnsi="arial" w:cs="arial"/>
          <w:color w:val="000000"/>
          <w:sz w:val="20"/>
          <w:lang w:val="en-US" w:eastAsia="en-US" w:bidi="ar-SA"/>
        </w:rPr>
        <w:t>  Nurse Grixti said that in the circumstances it was appropriate for Nurse Kinash to perform a series of checks and to look into the whole clinical picture and make a clinical judgment, prior to calling the doctor. I point out that in this case there is no evidence that either Nurse Kinash, or Dr. Reynolds, performed any series of checks and looked at the whole clinical picture and made a clinical judgment; the only one they were required to make being whether a developing uterine rupture could be excluded as a cause of the constant abdominal pain. Neither the nurse nor the doctor ever gave any consideration to the question of a developing uterine rupture whatsoever.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Timing Of The Call To Dr. Reynolds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589</w:t>
      </w:r>
      <w:r>
        <w:rPr>
          <w:rFonts w:ascii="arial" w:eastAsia="arial" w:hAnsi="arial" w:cs="arial"/>
          <w:color w:val="000000"/>
          <w:sz w:val="20"/>
          <w:lang w:val="en-US" w:eastAsia="en-US" w:bidi="ar-SA"/>
        </w:rPr>
        <w:t xml:space="preserve">  Under this topic, Ms. Harper said that the first issue raised by the plaintiff was that Nurse Kinash did not call Dr. Reynolds immediately upon the patient's report of pain. There is no doubt that this is the primary claim against Nurse Kinash. There is equally no doubt in my mind that Nurse Kinash should have made the call at that time, and that in failing to do so she is guilty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which caused, or contributed to Travis'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590</w:t>
      </w:r>
      <w:r>
        <w:rPr>
          <w:rFonts w:ascii="arial" w:eastAsia="arial" w:hAnsi="arial" w:cs="arial"/>
          <w:color w:val="000000"/>
          <w:sz w:val="20"/>
          <w:lang w:val="en-US" w:eastAsia="en-US" w:bidi="ar-SA"/>
        </w:rPr>
        <w:t>  Ms. Harper continued with the theory of the defence, saying that on the assumption that Dr. Reynolds would have arrived sooner and would have been able to "see" the constant abdominal pain, based on her evidence, she would have still done a complete assessment and her actions would then have depended on the results of the assessment. It is pure speculation to say that she would have called the obstetrician. Counsel emphasised that the plaintiffs cannot make a case against Nurse Kinash that delaying the call to Dr. Reynolds caused Dr. Reynolds not to call an obstetrician when she would have done so earlier.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591</w:t>
      </w:r>
      <w:r>
        <w:rPr>
          <w:rFonts w:ascii="arial" w:eastAsia="arial" w:hAnsi="arial" w:cs="arial"/>
          <w:color w:val="000000"/>
          <w:sz w:val="20"/>
          <w:lang w:val="en-US" w:eastAsia="en-US" w:bidi="ar-SA"/>
        </w:rPr>
        <w:t>  Counsel went on to urge me again to find that the complaint of constant abdominal pain was made closer to 5:00 a.m. and, alternatively, that the outcome would not have been any different if Nurse Kinash had made the call at 4:45 a.m. I have already dealt with these issues, and repeat that I am satisfied that the complaints of constant abdominal pain began prior to 4:45 and that Nurse Kinash should have telephoned Dr. Reynolds immediately and reported the pain around 4:45 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592</w:t>
      </w:r>
      <w:r>
        <w:rPr>
          <w:rFonts w:ascii="arial" w:eastAsia="arial" w:hAnsi="arial" w:cs="arial"/>
          <w:color w:val="000000"/>
          <w:sz w:val="20"/>
          <w:lang w:val="en-US" w:eastAsia="en-US" w:bidi="ar-SA"/>
        </w:rPr>
        <w:t>  I also reject the submission, in any event, that it was reasonable for Nurse Kinash to spend time doing an assessment, and doing her other work, before making the telephone call. Counsel's interpretation of what was said during the telephone call of 5:10 a.m. and why it took Nurse Kinash some 40 minutes to make that telephone call is quite different from mine. Nurse Kinash said that she had no explanation whatsoever as to why she took so long to make the call. In the context, it may be a fair inference to draw that she really was not concerned about the pain, and did not see it as a threat to her VBAC patient, given that she never even considered the possibility that she was dealing with a developing uterine rupture; and that later, after some 40 minutes of constant abdominal pain, she decided that it was important enough to telephone Dr. Reynolds.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593</w:t>
      </w:r>
      <w:r>
        <w:rPr>
          <w:rFonts w:ascii="arial" w:eastAsia="arial" w:hAnsi="arial" w:cs="arial"/>
          <w:color w:val="000000"/>
          <w:sz w:val="20"/>
          <w:lang w:val="en-US" w:eastAsia="en-US" w:bidi="ar-SA"/>
        </w:rPr>
        <w:t>  Ms. Harper next seemed to argue, at least by implication, that there was really no reason for Nurse Kinash to be in a hurry to report the constant abdominal pain to Dr. Reynolds. She pointed out that there was evidence from a number of witnesses, including expert obstetricians and Dr. Reynolds herself, that a complaint of continuous abdominal pain in a labouring woman, even a VBAC patient, is not unusual; that most of the cases are quite benign and in many cases, it disappears without a cause ever having been determined. Ms. Harper said that this must be remembered when looking at the context which faced Nurse Kinash. She relied on the evidence of Dr. Hudson and Dr. Cooper as supporting her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594</w:t>
      </w:r>
      <w:r>
        <w:rPr>
          <w:rFonts w:ascii="arial" w:eastAsia="arial" w:hAnsi="arial" w:cs="arial"/>
          <w:color w:val="000000"/>
          <w:sz w:val="20"/>
          <w:lang w:val="en-US" w:eastAsia="en-US" w:bidi="ar-SA"/>
        </w:rPr>
        <w:t>  I have already dealt with the submission and pointed out the irrelevance of the many other unnamed, mainly benign, causes of constant abdominal pain, and that the only issue was whether a developing uterine rupture could be excluded as a cause of the constant abdominal pain being experienced by Mrs. Strachan, that is, the life threatening risk which she and Travis possibly were facing, and it had to be dealt with.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595</w:t>
      </w:r>
      <w:r>
        <w:rPr>
          <w:rFonts w:ascii="arial" w:eastAsia="arial" w:hAnsi="arial" w:cs="arial"/>
          <w:color w:val="000000"/>
          <w:sz w:val="20"/>
          <w:lang w:val="en-US" w:eastAsia="en-US" w:bidi="ar-SA"/>
        </w:rPr>
        <w:t>  Ms. Harper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submitted that Ms. Kinash cannot be criticised for reacting to a complaint of constant abdominal pain by taking steps to rule out a dire emergency, conducting an assessment, all of which clearly would have taken some time, and then calling the doctor, when the various experts referred to above have indicated that such a complaint is not unusual.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am unable to agree with this submission. I do not know that Nurse Kinash really reacted to the complaint in a manner which would bring any comfort to her VBAC patient. The point is that she did not recognize the problem, she did not deal with the problem, and she never assessed the problem in the sense of trying to ascertain whether a developing uterine rupture could be excluded.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596</w:t>
      </w:r>
      <w:r>
        <w:rPr>
          <w:rFonts w:ascii="arial" w:eastAsia="arial" w:hAnsi="arial" w:cs="arial"/>
          <w:color w:val="000000"/>
          <w:sz w:val="20"/>
          <w:lang w:val="en-US" w:eastAsia="en-US" w:bidi="ar-SA"/>
        </w:rPr>
        <w:t>  I pause to observe as well that I do not recall evidence by Ms. Kinash that she took steps to rule out a dire emergency and conducted her own assessment and so on. In this regard, counsel suggests that Nurse Kinash looked a strip for some time for deceleration, a change in pattern and so on. She said that Nurse Kinash did this in order to have some information about the fetal heart rate to give to Dr. Reynolds. Counsel must be referring to Nurse Kinash's "normal" practice, as I do not recall her giving this evidence. In fact, she gave Dr. Reynolds very little information. Her evidence, as I recall, was that she could not give any explanation why she did not telephone the doctor when she learned of the constant abdominal pain. In any event, I am not with counsel on her submission.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597</w:t>
      </w:r>
      <w:r>
        <w:rPr>
          <w:rFonts w:ascii="arial" w:eastAsia="arial" w:hAnsi="arial" w:cs="arial"/>
          <w:color w:val="000000"/>
          <w:sz w:val="20"/>
          <w:lang w:val="en-US" w:eastAsia="en-US" w:bidi="ar-SA"/>
        </w:rPr>
        <w:t>  Counsel also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Reynolds gave evidence that she would, as part of her standard practice in dealing with a call about a patient in labour with unusual abdominal pain, have wanted to know where it was, how severe it was, and how long it had been going on. She would as part of her normal practice have asked Ms. Kinash some questions about the pain in the telephone call if she did not get sufficient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She also said that Dr. Reynolds would have obtained the information from Nurse Kinash, and Nurse Kinash needed time to get the information to give it to Dr. Reynolds. Counsel is relying on evidence which I do not accept. I have already dealt with this evidence, and found that it is more likely than not, on Dr. Reynolds' own evidence, that she did not get this information from Ms. Kinash during the telephone conversation, which, I also found, was a brief, if not casual telephone call.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598</w:t>
      </w:r>
      <w:r>
        <w:rPr>
          <w:rFonts w:ascii="arial" w:eastAsia="arial" w:hAnsi="arial" w:cs="arial"/>
          <w:color w:val="000000"/>
          <w:sz w:val="20"/>
          <w:lang w:val="en-US" w:eastAsia="en-US" w:bidi="ar-SA"/>
        </w:rPr>
        <w:t>  Counsel also suggested that Nurse Kinash had the possibility of uterine rupture in the back of her mind, but did not think that it was occurring. I reject this submission and the evidence if it was given. This assertion is contrary to Nurse Kinash's evidence, both at trial and at discovery when she was asked whether she had turned her mind at all as to whether uterine rupture was a possibility, and she replied "No, I did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599</w:t>
      </w:r>
      <w:r>
        <w:rPr>
          <w:rFonts w:ascii="arial" w:eastAsia="arial" w:hAnsi="arial" w:cs="arial"/>
          <w:color w:val="000000"/>
          <w:sz w:val="20"/>
          <w:lang w:val="en-US" w:eastAsia="en-US" w:bidi="ar-SA"/>
        </w:rPr>
        <w:t>  At discovery Nurse Kinash did say as well that the complaint of constant abdominal pain caused her to consider the possibility of a placental abruption; that she called Dr. Reynolds because she was concerned about the possibility of a serious complication. She also said that she and a co-worker ruled out the possibility of a placental abruption, and were much less concerned about the pain. Mr. Smith said that this evidence should be rejected. and I am inclined to agree with him. She could not remember telling Dr. Reynolds about this, and the evidence is inconsistent with her earlier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600</w:t>
      </w:r>
      <w:r>
        <w:rPr>
          <w:rFonts w:ascii="arial" w:eastAsia="arial" w:hAnsi="arial" w:cs="arial"/>
          <w:color w:val="000000"/>
          <w:sz w:val="20"/>
          <w:lang w:val="en-US" w:eastAsia="en-US" w:bidi="ar-SA"/>
        </w:rPr>
        <w:t>  I am satisfied that if Nurse Kinash was awake at the switch and gave the constant abdominal pain the respect it deserved, and she had telephoned Dr. Reynolds and given her full information about what she knew and was concerned about, Dr. Reynolds' response, like a reasonable and prudent general practitioner, would have been far different.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601</w:t>
      </w:r>
      <w:r>
        <w:rPr>
          <w:rFonts w:ascii="arial" w:eastAsia="arial" w:hAnsi="arial" w:cs="arial"/>
          <w:color w:val="000000"/>
          <w:sz w:val="20"/>
          <w:lang w:val="en-US" w:eastAsia="en-US" w:bidi="ar-SA"/>
        </w:rPr>
        <w:t>  Ms. Harper continued with the theory of the defence, saying that on the assumption that Dr. Reynolds would have arrived sooner and would have been able to "see" the constant abdominal pain, based on her evidence, she would have still done a complete assessment and her actions would then have depended on the results of the assessment. It is pure speculation to say that she would have called the obstetrician. Counsel emphasised that the plaintiffs cannot make a case against Nurse Kinash that delaying the call to Dr. Reynolds caused Dr. Reynolds not to call an obstetrician when she would have done so earlier.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Contraction Pattern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602</w:t>
      </w:r>
      <w:r>
        <w:rPr>
          <w:rFonts w:ascii="arial" w:eastAsia="arial" w:hAnsi="arial" w:cs="arial"/>
          <w:color w:val="000000"/>
          <w:sz w:val="20"/>
          <w:lang w:val="en-US" w:eastAsia="en-US" w:bidi="ar-SA"/>
        </w:rPr>
        <w:t>  Ms. Harper observed that the plaintiffs' position was that there was a failure on the part of Nurse Kinash to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to Dr. Reynolds a change in the contraction patterns, and that she failed to appropriately monitor contractions. This is the second argument against Nurse Kinash.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603</w:t>
      </w:r>
      <w:r>
        <w:rPr>
          <w:rFonts w:ascii="arial" w:eastAsia="arial" w:hAnsi="arial" w:cs="arial"/>
          <w:color w:val="000000"/>
          <w:sz w:val="20"/>
          <w:lang w:val="en-US" w:eastAsia="en-US" w:bidi="ar-SA"/>
        </w:rPr>
        <w:t>  Nurse Kinash did give evidence that the strip which commenced at 5:01 a.m. showed that contractions appeared to have been less frequent between 5:01 and 5:17 a.m. when Mrs. Strachan got up to go to the bathroom. Mr. Smith seemed to equate less frequent contractions to an incoordinate pattern of uterine activity. Ms. Harper said that Nurse Kinash was not asked about this. She argued in the alternative, that the decrease in contractions were not yet apparent at 5:10 a.m. when the doctor arrived. It seemed to me that Nurse Kinash did give this evidence. I observe that in any event Nurse Kinash could have told Dr. Reynolds about this on her arrival 20 minutes later, and the evidence appears that Dr. Reynolds did in fact confirm the information from the strip.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604</w:t>
      </w:r>
      <w:r>
        <w:rPr>
          <w:rFonts w:ascii="arial" w:eastAsia="arial" w:hAnsi="arial" w:cs="arial"/>
          <w:color w:val="000000"/>
          <w:sz w:val="20"/>
          <w:lang w:val="en-US" w:eastAsia="en-US" w:bidi="ar-SA"/>
        </w:rPr>
        <w:t>  Finally, Counsel said that on arriving at the Hospital, Dr. Reynolds looked at the strip which ended at 5:17 a.m., saw the contraction variations and thought they were normal. Her evidence was: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why had she been getting ... within the space of less than half an hour, why had she, having previously been three minutes apart, gone to eight minutes apart or more and was now suddenly back to two minutes apart? Did you not wonder what was going 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thought it was just a variation of labour.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Her own observation was that she was present when she thought that Mrs. Strachan had had a couple of contractions.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605</w:t>
      </w:r>
      <w:r>
        <w:rPr>
          <w:rFonts w:ascii="arial" w:eastAsia="arial" w:hAnsi="arial" w:cs="arial"/>
          <w:color w:val="000000"/>
          <w:sz w:val="20"/>
          <w:lang w:val="en-US" w:eastAsia="en-US" w:bidi="ar-SA"/>
        </w:rPr>
        <w:t>  Ms. Harper then submitted that there was evidence that Demerol, given at about 4:45 a.m. in this case, could cause contractions to become less frequent. Further, there was evidence that the transducer does not always pick up contractions, particularly in an obese woman. And Nurse Grixti gave evidence that one of the most common reasons for a change in contraction patterns is a full bladder.</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Failure To Have The Toco On After Rupture Of The Membrane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606</w:t>
      </w:r>
      <w:r>
        <w:rPr>
          <w:rFonts w:ascii="arial" w:eastAsia="arial" w:hAnsi="arial" w:cs="arial"/>
          <w:color w:val="000000"/>
          <w:sz w:val="20"/>
          <w:lang w:val="en-US" w:eastAsia="en-US" w:bidi="ar-SA"/>
        </w:rPr>
        <w:t>  This submission is based on the evidence of Nurse Grixti, who was not critical of the nurses in this regard. She said that one of the reasons for a change in the contraction pattern is a full bladder. She also indicated in cross-examination that it was not necessary to have the monitor on to assess contractions. This submission is akin to those based on the evidence of the defendants' experts, that there are all kinds of other benign causes of uterine rupture, but which missed the point that uterine rupture and its elimination as a possible cause was the focus, not benign causes. In my view, it was important to have the Toco on at all times, given the context, including the constant abdominal pain being experienced by a VBAC patient. Finally, failure to run to toco is simply more evidence of a loosely run monitoring system in the face of a clear warning that uterine rupture might be developing.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Fetal Heart Strips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607</w:t>
      </w:r>
      <w:r>
        <w:rPr>
          <w:rFonts w:ascii="arial" w:eastAsia="arial" w:hAnsi="arial" w:cs="arial"/>
          <w:color w:val="000000"/>
          <w:sz w:val="20"/>
          <w:lang w:val="en-US" w:eastAsia="en-US" w:bidi="ar-SA"/>
        </w:rPr>
        <w:t>  Counsel suggested that Nurse Radmanovic's view that the first portion of the strip beginning at 3:51 a.m. was non-reassuring, and that it should have been continued, should be rejected. This view was not held by any of the defendant expert obstetricians, nor Nurse Grixti and Dr. McTaggart. She submitted that Nurse Kinash surely cannot be faulted for having a view of the strips which accords with a significant number of highly qualified experts. I observe that she can be faulted where the experts' view of the strips were out of context. They should have been questioned in the face of the constant abdominal pain for at least 40 minutes, and its association with a developing uterine rupture. I also observe that Nurse Kinash observed the changes in the contractions in the strip before she telephoned Dr. Reynolds.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608</w:t>
      </w:r>
      <w:r>
        <w:rPr>
          <w:rFonts w:ascii="arial" w:eastAsia="arial" w:hAnsi="arial" w:cs="arial"/>
          <w:color w:val="000000"/>
          <w:sz w:val="20"/>
          <w:lang w:val="en-US" w:eastAsia="en-US" w:bidi="ar-SA"/>
        </w:rPr>
        <w:t>  Counsel then pointed out that the opinions of Dr. Doersam and Dr. Feinstadt that a portion of the strip which was run from 3:50 a.m. was not reassuring, was not shared by Dr. McTaggart, Dr. Cooper, Dr. Hudson or Dr. Williams. She submitted again that Nurse Kinash cannot be faulted for having a view of the strip which accords not only with that of Dr. Reynolds, but with that expressed by "a significant number of well qualified physicians, including three obstetricians". I observe here that it is not a matter of numbers, and that I prefer the evidence of Dr. Doersam and Dr. Feinstadt over that of the defendants' experts for reasons already given.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609</w:t>
      </w:r>
      <w:r>
        <w:rPr>
          <w:rFonts w:ascii="arial" w:eastAsia="arial" w:hAnsi="arial" w:cs="arial"/>
          <w:color w:val="000000"/>
          <w:sz w:val="20"/>
          <w:lang w:val="en-US" w:eastAsia="en-US" w:bidi="ar-SA"/>
        </w:rPr>
        <w:t>  Counsel summarized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submitted that Ms. Kinash, on the evidence, met the standard of care with regard to the fetal heart monitor strips, furthermore, the evidence does not support the proposition that the outcome would have been any different had she held a different view of the fetal heart monitor strips, nor is there any evidence that prior to 0545 hours additional monitoring would have revealed anything of significance.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610</w:t>
      </w:r>
      <w:r>
        <w:rPr>
          <w:rFonts w:ascii="arial" w:eastAsia="arial" w:hAnsi="arial" w:cs="arial"/>
          <w:color w:val="000000"/>
          <w:sz w:val="20"/>
          <w:lang w:val="en-US" w:eastAsia="en-US" w:bidi="ar-SA"/>
        </w:rPr>
        <w:t>  It is seen that I am unable to agree with these submissions. While much time was spent on the monitor strip, and Mr. Smith eventually did say that the evidence was marginally relevant, it is my view that they are important only as evidencing other signs, which, in the context of the constant abdominal pain, should have been critically considered as possibly being caused by a developing uterine rupture, the same possible cause for the constant abdominal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SUMMARY AND DISPOSITION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611</w:t>
      </w:r>
      <w:r>
        <w:rPr>
          <w:rFonts w:ascii="arial" w:eastAsia="arial" w:hAnsi="arial" w:cs="arial"/>
          <w:color w:val="000000"/>
          <w:sz w:val="20"/>
          <w:lang w:val="en-US" w:eastAsia="en-US" w:bidi="ar-SA"/>
        </w:rPr>
        <w:t xml:space="preserve">  In my opinion, the evidence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both Nurse Kinash and Dr. Reynolds is overwhelming. It began when each in turn failed to recognize the possibility that a developing uterine rupture was the cause of the constant abdominal pain of which Mrs. Strachan was complaining. It was the primary concern which they were on the look out for, or should have been, while monitoring Mrs. Strachan to the end of her trial of labour. This possibility never entered their respective minds until the actual full rupture occurred. Their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then continued right up to that point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612</w:t>
      </w:r>
      <w:r>
        <w:rPr>
          <w:rFonts w:ascii="arial" w:eastAsia="arial" w:hAnsi="arial" w:cs="arial"/>
          <w:color w:val="000000"/>
          <w:sz w:val="20"/>
          <w:lang w:val="en-US" w:eastAsia="en-US" w:bidi="ar-SA"/>
        </w:rPr>
        <w:t>  I refer again to Dr. Reynolds' evidence pertaining to the knowledge and responsibility of the prudent or average general practitioner caring for a VBAC patient during her trial of labour, which counsel referred to as "some general principles". It is to be observed that virtually none of the duties outlined therein were discharged by Dr. Reynolds. She did not bring to her task the skills of a prudent general practitioner, including a high degree of vigilance and a high index of suspicion. With regard to Nurse Kinash, I do not think that there is any dispute, on the evidence, that the prudent or reasonable nurse in her situation was required to be just as vigilant, to identify the threat of a developing uterine rupture as a cause of the constant abdominal pain, and to fully report to the physician immediately. She did not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613</w:t>
      </w:r>
      <w:r>
        <w:rPr>
          <w:rFonts w:ascii="arial" w:eastAsia="arial" w:hAnsi="arial" w:cs="arial"/>
          <w:color w:val="000000"/>
          <w:sz w:val="20"/>
          <w:lang w:val="en-US" w:eastAsia="en-US" w:bidi="ar-SA"/>
        </w:rPr>
        <w:t>  And as I have said, everything which Nurse Kinash and Dr. Reynolds did and did not do, with knowledge of the complaint of constant abdominal pain, must be viewed in light of the fact that neither of them ever directed their mind to the question of whether a developing uterine rupture might be the cause of the constant abdominal pain.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Nurse Kinash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614</w:t>
      </w:r>
      <w:r>
        <w:rPr>
          <w:rFonts w:ascii="arial" w:eastAsia="arial" w:hAnsi="arial" w:cs="arial"/>
          <w:color w:val="000000"/>
          <w:sz w:val="20"/>
          <w:lang w:val="en-US" w:eastAsia="en-US" w:bidi="ar-SA"/>
        </w:rPr>
        <w:t>  In my opinion, on the evidence before me, including that of Nurse Radmanovic, Nurse Kinash's primary duty to Mrs. Strachan was to recognize the possible risk of a developing uterine rupture, and to report the finding of constant abdominal pain immediately to Dr. Reynolds. In my opinion her delay in doing so, for at least 40 minutes, had a crucial impact on subsequent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615</w:t>
      </w:r>
      <w:r>
        <w:rPr>
          <w:rFonts w:ascii="arial" w:eastAsia="arial" w:hAnsi="arial" w:cs="arial"/>
          <w:color w:val="000000"/>
          <w:sz w:val="20"/>
          <w:lang w:val="en-US" w:eastAsia="en-US" w:bidi="ar-SA"/>
        </w:rPr>
        <w:t>  As I stated earlier, it is my opinion that had Nurse Kinash telephoned Dr. Reynolds around 4:45 a.m. and fully informed her of the constant abdominal pain that Mrs. Strachan was experiencing, Dr. Reynolds would have been aware of her limitations, that is, that she had no knowledge or experience with uterine rupture in a VBAC patient in her trial of labour.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Hence, she would have brought in a person with expertise on the subject matter, the obstetrician. I am satisfied that whatever steps the obstetrician and Dr. Reynolds would have taken, that in the end a speedy emergency caesarean section would have taken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616</w:t>
      </w:r>
      <w:r>
        <w:rPr>
          <w:rFonts w:ascii="arial" w:eastAsia="arial" w:hAnsi="arial" w:cs="arial"/>
          <w:color w:val="000000"/>
          <w:sz w:val="20"/>
          <w:lang w:val="en-US" w:eastAsia="en-US" w:bidi="ar-SA"/>
        </w:rPr>
        <w:t>  Even if Dr. Reynolds went to the Hospital alone, or with the obstetrician, (who would have expected to be notified of the constant abdominal pain) the constant abdominal pain would have been present. I am fully satisfied that at that time an emergency caesarean section would have been quickly performed, absent any reasonable and persuasive finding eliminating uterine rupture as a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617</w:t>
      </w:r>
      <w:r>
        <w:rPr>
          <w:rFonts w:ascii="arial" w:eastAsia="arial" w:hAnsi="arial" w:cs="arial"/>
          <w:color w:val="000000"/>
          <w:sz w:val="20"/>
          <w:lang w:val="en-US" w:eastAsia="en-US" w:bidi="ar-SA"/>
        </w:rPr>
        <w:t>  I am satisfied that Nurse Kinash's conduct complained of caused or contributed to the infant's injuries.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Reynolds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618</w:t>
      </w:r>
      <w:r>
        <w:rPr>
          <w:rFonts w:ascii="arial" w:eastAsia="arial" w:hAnsi="arial" w:cs="arial"/>
          <w:color w:val="000000"/>
          <w:sz w:val="20"/>
          <w:lang w:val="en-US" w:eastAsia="en-US" w:bidi="ar-SA"/>
        </w:rPr>
        <w:t>  I am equally satisfied that when Dr. Reynolds was telephoned by Nurse Kinash and advised that Mrs. Strachan had been experiencing constant abdominal pain for some time, she should have brought in the obstetrical specialist to deal with the situation, given her lack of knowledge and experience with regard to the threat of uterine rupture in a VBAC patient, particularly near the end of the trial of labour. As Dr. Doersam said, she should have arranged to have the obstetrician meet her at the Hospital and then give him a report that the VBAC trial of labour was off the rails. I am equally satisfied that the doctors would have quickly arranged for an emergency caesarean 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619</w:t>
      </w:r>
      <w:r>
        <w:rPr>
          <w:rFonts w:ascii="arial" w:eastAsia="arial" w:hAnsi="arial" w:cs="arial"/>
          <w:color w:val="000000"/>
          <w:sz w:val="20"/>
          <w:lang w:val="en-US" w:eastAsia="en-US" w:bidi="ar-SA"/>
        </w:rPr>
        <w:t>  In failing to recognize the fact that a developing uterine rupture might be the cause of the constant abdominal pain, and in failing to bring in the obstetrician after receiving the telephone call from Nurse Kinash, Dr. Reynolds breached her duty of care to Mrs. Strachan and Travis, and is responsible for any injury suffered and loss occurred as a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620</w:t>
      </w:r>
      <w:r>
        <w:rPr>
          <w:rFonts w:ascii="arial" w:eastAsia="arial" w:hAnsi="arial" w:cs="arial"/>
          <w:color w:val="000000"/>
          <w:sz w:val="20"/>
          <w:lang w:val="en-US" w:eastAsia="en-US" w:bidi="ar-SA"/>
        </w:rPr>
        <w:t xml:space="preserve">  Finally, if in the circumstances, Dr. Reynolds was not obligated to bring in the obstetrician on receiving the telephone call, then consideration must be given to her conduct on arriving at the Hospital at 5:25 or 5:30 a.m. In my opinion, she should have immediately brought in the specialist for the same reason stated. And any attempt to assess the cause of the constant abdominal pain, whether or not they were told at that time it had stopped, would have been done under the specialist's guidance. And had she done so, I am satisfied that the specialist would have quickly arranged for an emergency caesarean section to be performed in the circumstances, and absent clear evidence excluding uterine rupture as a cause of the constant abdominal pain. Dr. Reynolds did none of these things and again was, in my opinion, guilty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which caused, or contributed to the cause of the infant's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621</w:t>
      </w:r>
      <w:r>
        <w:rPr>
          <w:rFonts w:ascii="arial" w:eastAsia="arial" w:hAnsi="arial" w:cs="arial"/>
          <w:color w:val="000000"/>
          <w:sz w:val="20"/>
          <w:lang w:val="en-US" w:eastAsia="en-US" w:bidi="ar-SA"/>
        </w:rPr>
        <w:t>  The plaintiffs are entitled to recover against both Nurse Kinash and Dr. Reynolds for the injuries suffered by Travis and the resulting damages, and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622</w:t>
      </w:r>
      <w:r>
        <w:rPr>
          <w:rFonts w:ascii="arial" w:eastAsia="arial" w:hAnsi="arial" w:cs="arial"/>
          <w:color w:val="000000"/>
          <w:sz w:val="20"/>
          <w:lang w:val="en-US" w:eastAsia="en-US" w:bidi="ar-SA"/>
        </w:rPr>
        <w:t>  Damages which the parties could not settle were hotly contested as well. The evidence and submissions were quite detailed. The parties managed to agree on a number of heads of damages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228"/>
        <w:gridCol w:w="355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Loss of Future Earning Capacity</w:t>
            </w:r>
          </w:p>
        </w:tc>
        <w:tc>
          <w:tcPr>
            <w:tcW w:w="348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$300,000</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4915"/>
        <w:gridCol w:w="386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81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Additional Housing Costs</w:t>
            </w:r>
          </w:p>
        </w:tc>
        <w:tc>
          <w:tcPr>
            <w:tcW w:w="378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$120,000</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751"/>
        <w:gridCol w:w="303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63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In-Trust Claim to Mr. &amp; Mrs. Strachan</w:t>
            </w:r>
          </w:p>
        </w:tc>
        <w:tc>
          <w:tcPr>
            <w:tcW w:w="297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$75,000</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4392"/>
        <w:gridCol w:w="439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30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Special Damages</w:t>
            </w:r>
          </w:p>
        </w:tc>
        <w:tc>
          <w:tcPr>
            <w:tcW w:w="430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$8,000</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623</w:t>
      </w:r>
      <w:r>
        <w:rPr>
          <w:rFonts w:ascii="arial" w:eastAsia="arial" w:hAnsi="arial" w:cs="arial"/>
          <w:color w:val="000000"/>
          <w:sz w:val="20"/>
          <w:lang w:val="en-US" w:eastAsia="en-US" w:bidi="ar-SA"/>
        </w:rPr>
        <w:t>  The heads of damages yet to be determined are: Non-Pecuniary Damages, and Cost of Future Care, which is to be assessed on the basis of a ten year life expectancy. I have already set out the nature and extent of Travis' injuries. On March 10, 2003 his treating paediatrician, Dr. Mark Duncan,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(Travis) has severe spastic quadriplegic cerebral palsy seizures. Travis is non-verbal. He is able to appreciate social contact and comfort. He appears to recognize family and familiar care-givers. He can respond to social contact by settling and occasionally smiling. Travis is unable to roll or re-position himself, he is unable to sit. Recently, increasing spasticity has made positioning and feeding more of a challenge. Travis is unable to clear his oral secretions. He has an absent, or very weak cough. As a result, he needs frequent suctioning of his oral airway to prevent aspiration and secondary respiratory complications.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December 2002, Travis suffered a prolonged seizure that led to additional brain damage. At the time this was expected to be fatal and he was sent for palliative care. Contrary to expectations, he survived, but much of the development progress he had made earlier was reversed.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624</w:t>
      </w:r>
      <w:r>
        <w:rPr>
          <w:rFonts w:ascii="arial" w:eastAsia="arial" w:hAnsi="arial" w:cs="arial"/>
          <w:color w:val="000000"/>
          <w:sz w:val="20"/>
          <w:lang w:val="en-US" w:eastAsia="en-US" w:bidi="ar-SA"/>
        </w:rPr>
        <w:t>  More recently there have some positive changes. He no longer needs continuous feeds through his G-tube, but can be fed three times a day. However, he still needs frequent suctioning, either by his parents or his care-givers. Mr. and Mrs. Strachan both gave evidence that he recently appears more alert and aware of his surroundings.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625</w:t>
      </w:r>
      <w:r>
        <w:rPr>
          <w:rFonts w:ascii="arial" w:eastAsia="arial" w:hAnsi="arial" w:cs="arial"/>
          <w:color w:val="000000"/>
          <w:sz w:val="20"/>
          <w:lang w:val="en-US" w:eastAsia="en-US" w:bidi="ar-SA"/>
        </w:rPr>
        <w:t>  Mr. Smith also said:</w:t>
      </w:r>
      <w:r>
        <w:rPr>
          <w:rFonts w:ascii="arial" w:eastAsia="arial" w:hAnsi="arial" w:cs="arial"/>
          <w:sz w:val="20"/>
          <w:lang w:val="en-US" w:eastAsia="en-US" w:bidi="ar-SA"/>
        </w:rPr>
        <w:cr/>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Whatever may be seen on a given day, he remains in a fragile medical condition. Dr. Armstrong, a witness called by the defendant agreed that the fact that Travis appears improved or stable at a given time does not mean that condition can be assumed in the future. For example, he agreed that the fact Travis can not tolerate bolus feedings three times a day does not mean continuous feeding will become necessary at some point in the future. Similarly, any lessening in his suctioning requirements can never be assumed to be permanent.</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Both of Travis' parents gave evidence of the intense and constant care Travis needs. He requires tube feeding, numerous administrations of medication throughout the day and frequent "chest" physio to help clear secretions and reduce the risk of aspiration. He frequently needs administration of oxygen. Mrs. Strachan has only been able to obtain in-home nursing care for Travis to allow her to work three days a week. Travis' needs dominate their family life, leaving little time for Mr. and Mrs. Strachan to spend with each other or with their older son, Callum.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626</w:t>
      </w:r>
      <w:r>
        <w:rPr>
          <w:rFonts w:ascii="arial" w:eastAsia="arial" w:hAnsi="arial" w:cs="arial"/>
          <w:color w:val="000000"/>
          <w:sz w:val="20"/>
          <w:lang w:val="en-US" w:eastAsia="en-US" w:bidi="ar-SA"/>
        </w:rPr>
        <w:t>  Counsel have provided me with the recent law applicable to both heads of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627</w:t>
      </w:r>
      <w:r>
        <w:rPr>
          <w:rFonts w:ascii="arial" w:eastAsia="arial" w:hAnsi="arial" w:cs="arial"/>
          <w:color w:val="000000"/>
          <w:sz w:val="20"/>
          <w:lang w:val="en-US" w:eastAsia="en-US" w:bidi="ar-SA"/>
        </w:rPr>
        <w:t>  I have carefully considered the submissions of counsel on this topic, and the evidence of the medical experts, and of Mr. and Mrs. Strachan, with particular regard to Travis' state of awareness.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628</w:t>
      </w:r>
      <w:r>
        <w:rPr>
          <w:rFonts w:ascii="arial" w:eastAsia="arial" w:hAnsi="arial" w:cs="arial"/>
          <w:color w:val="000000"/>
          <w:sz w:val="20"/>
          <w:lang w:val="en-US" w:eastAsia="en-US" w:bidi="ar-SA"/>
        </w:rPr>
        <w:t>  Mr and Mrs. Strachan, who are with Travis on a daily basis, suggest that since June 2003 there has been some improvement in his cognition and his expression of enjoyment. He enjoys walking, being placed in his swing and being cuddled. He laughs and giggles more, but this is said to be seizure-related.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629</w:t>
      </w:r>
      <w:r>
        <w:rPr>
          <w:rFonts w:ascii="arial" w:eastAsia="arial" w:hAnsi="arial" w:cs="arial"/>
          <w:color w:val="000000"/>
          <w:sz w:val="20"/>
          <w:lang w:val="en-US" w:eastAsia="en-US" w:bidi="ar-SA"/>
        </w:rPr>
        <w:t>  Most of the medical evidence is to the contrary, and suggests a minimal degree of awareness. Dr. Josehko, the defence psychologist, said that Travis' ability to express discomfort or content was limited to the realm of the physical. Dr. Armstrong, the defence paediatrician, said that he did not think that Travis had any awareness of his condition, and that the quality of his life will continue to deteriorate. Dr. Hahn, the plaintiffs' specialist said that cognitively, Travis does not have any level of an environmental awareness to appreciate a particular degree of quality of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630</w:t>
      </w:r>
      <w:r>
        <w:rPr>
          <w:rFonts w:ascii="arial" w:eastAsia="arial" w:hAnsi="arial" w:cs="arial"/>
          <w:color w:val="000000"/>
          <w:sz w:val="20"/>
          <w:lang w:val="en-US" w:eastAsia="en-US" w:bidi="ar-SA"/>
        </w:rPr>
        <w:t xml:space="preserve">  The defendants say that an award of $50,000 to $75,000 for non-pecuniary damages would be appropriate. They rely on the traditional cases, for example the classic decision of Dickson J. in Andrews v. Grand &amp; Toy Alberta Ltd., </w:t>
      </w:r>
      <w:hyperlink r:id="rId16"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xml:space="preserve">. Mr. Smith says that the award should be the "maximum award for non-pecuniary damages that is usually given in cases of catastrophic injury", in the amount of $290,000, noting that both Dr. Josehko and Dr. Armstrong confirmed that Travis is not comatose, and that Dr. Hahn said he was not "vegetative". He relies on the observations of Mr. Justice Hall, in dissent, in Brimacombe v. Matthews, </w:t>
      </w:r>
      <w:hyperlink r:id="rId103" w:history="1">
        <w:r>
          <w:rPr>
            <w:rFonts w:ascii="arial" w:eastAsia="arial" w:hAnsi="arial" w:cs="arial"/>
            <w:i/>
            <w:color w:val="0077CC"/>
            <w:sz w:val="20"/>
            <w:u w:val="single"/>
            <w:shd w:val="clear" w:color="auto" w:fill="FFFFFF"/>
            <w:lang w:val="en-US" w:eastAsia="en-US" w:bidi="ar-SA"/>
          </w:rPr>
          <w:t>[2001] B.C.J. No. 538</w:t>
        </w:r>
      </w:hyperlink>
      <w:r>
        <w:rPr>
          <w:rFonts w:ascii="arial" w:eastAsia="arial" w:hAnsi="arial" w:cs="arial"/>
          <w:color w:val="000000"/>
          <w:sz w:val="20"/>
          <w:lang w:val="en-US" w:eastAsia="en-US" w:bidi="ar-SA"/>
        </w:rPr>
        <w:t xml:space="preserve"> (C.A.) at p. 69. He also pointed out that in Guerineau, where the infant plaintiff suffered similar injuries, and "may have been marginally better off than Travis in terms of his level of alertness and awareness, but was functioning at an extremely low level", Madam Justice Boyd awarded $200,000 for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631</w:t>
      </w:r>
      <w:r>
        <w:rPr>
          <w:rFonts w:ascii="arial" w:eastAsia="arial" w:hAnsi="arial" w:cs="arial"/>
          <w:color w:val="000000"/>
          <w:sz w:val="20"/>
          <w:lang w:val="en-US" w:eastAsia="en-US" w:bidi="ar-SA"/>
        </w:rPr>
        <w:t>  It may be that the higher Courts should re-visit the awarding of damages in similar cases. In any event, I am in the invidious position referred to by Mr. Justice Hall, from which there appears to be no relief for the moment. Doing the best that I can, I award Travis non-pecuniary damages in the amount of $175,000.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632</w:t>
      </w:r>
      <w:r>
        <w:rPr>
          <w:rFonts w:ascii="arial" w:eastAsia="arial" w:hAnsi="arial" w:cs="arial"/>
          <w:color w:val="000000"/>
          <w:sz w:val="20"/>
          <w:lang w:val="en-US" w:eastAsia="en-US" w:bidi="ar-SA"/>
        </w:rPr>
        <w:t xml:space="preserve">  This claim is hotly disputed. There appears to be some differences of opinion as to the principles to be applied as well. The test laid down in Thorton (Next Friend) v. Prince George School District 57, </w:t>
      </w:r>
      <w:hyperlink r:id="rId104" w:history="1">
        <w:r>
          <w:rPr>
            <w:rFonts w:ascii="arial" w:eastAsia="arial" w:hAnsi="arial" w:cs="arial"/>
            <w:i/>
            <w:color w:val="0077CC"/>
            <w:sz w:val="20"/>
            <w:u w:val="single"/>
            <w:shd w:val="clear" w:color="auto" w:fill="FFFFFF"/>
            <w:lang w:val="en-US" w:eastAsia="en-US" w:bidi="ar-SA"/>
          </w:rPr>
          <w:t>[1978] 2 S.C.R. 267</w:t>
        </w:r>
      </w:hyperlink>
      <w:r>
        <w:rPr>
          <w:rFonts w:ascii="arial" w:eastAsia="arial" w:hAnsi="arial" w:cs="arial"/>
          <w:color w:val="000000"/>
          <w:sz w:val="20"/>
          <w:lang w:val="en-US" w:eastAsia="en-US" w:bidi="ar-SA"/>
        </w:rPr>
        <w:t xml:space="preserve"> at p. 9, appears to remain in good stead. It was followed in Guerineau. Is the expense one that a reasonably minded person of ample means, would be prepared to incur in caring for Travis? It must not amount to a squandering of funds. The test for determining the appropriate award is said to be an objective one based on medical evidence. The medical evidence must show that the future care claimed is reasonably necessary, and not merely beneficial. See Milina v. Bartsch </w:t>
      </w:r>
      <w:hyperlink r:id="rId105"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(S.C.), a decision of McLachlin J., as she then was; also Shobridge v. Thomas </w:t>
      </w:r>
      <w:hyperlink r:id="rId106" w:history="1">
        <w:r>
          <w:rPr>
            <w:rFonts w:ascii="arial" w:eastAsia="arial" w:hAnsi="arial" w:cs="arial"/>
            <w:i/>
            <w:color w:val="0077CC"/>
            <w:sz w:val="20"/>
            <w:u w:val="single"/>
            <w:shd w:val="clear" w:color="auto" w:fill="FFFFFF"/>
            <w:lang w:val="en-US" w:eastAsia="en-US" w:bidi="ar-SA"/>
          </w:rPr>
          <w:t>(1999), 47 C.C.L.T. (2d) 73</w:t>
        </w:r>
      </w:hyperlink>
      <w:r>
        <w:rPr>
          <w:rFonts w:ascii="arial" w:eastAsia="arial" w:hAnsi="arial" w:cs="arial"/>
          <w:color w:val="000000"/>
          <w:sz w:val="20"/>
          <w:lang w:val="en-US" w:eastAsia="en-US" w:bidi="ar-SA"/>
        </w:rPr>
        <w:t>, a decision of Madam Justice Kirkpatrick of this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633</w:t>
      </w:r>
      <w:r>
        <w:rPr>
          <w:rFonts w:ascii="arial" w:eastAsia="arial" w:hAnsi="arial" w:cs="arial"/>
          <w:color w:val="000000"/>
          <w:sz w:val="20"/>
          <w:lang w:val="en-US" w:eastAsia="en-US" w:bidi="ar-SA"/>
        </w:rPr>
        <w:t>  I do not propose to go through each counsel's detailed submission and deal with each minute issue raised. Nor do I intend (hopefully) to deal with each item claimed. There is no dispute that Travis requires a high level of care by trained care-givers. The differences between the parties relate to the exact amount, and costs of, the care. I accept counsel's suggestion that I should simply make findings in relation to Travis' care needs, leaving it to counsel to deal with the precise calculations. To that end I propose to express my views on Travis' care needs, and what I consider to be the preferred methodology.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634</w:t>
      </w:r>
      <w:r>
        <w:rPr>
          <w:rFonts w:ascii="arial" w:eastAsia="arial" w:hAnsi="arial" w:cs="arial"/>
          <w:color w:val="000000"/>
          <w:sz w:val="20"/>
          <w:lang w:val="en-US" w:eastAsia="en-US" w:bidi="ar-SA"/>
        </w:rPr>
        <w:t>  The plaintiffs rely on the recommendations and opinion of Janice K. Landy, a highly experienced and trained rehabilitation consultant. Mr. Smith notes that her opinions are based on a detailed review of Travis' day-to-day and hour-by-hour needs. He submitted that there was nothing in Ms. Landy's recommendation that can be remotely considered as "a squandering of money". Her recommendations, he says, provide a reasonable level of care to meet a tragic situation and are specifically endorsed by Dr. Hahn, who is a specialized developmental paediatrician, with one exception which is not relevant.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635</w:t>
      </w:r>
      <w:r>
        <w:rPr>
          <w:rFonts w:ascii="arial" w:eastAsia="arial" w:hAnsi="arial" w:cs="arial"/>
          <w:color w:val="000000"/>
          <w:sz w:val="20"/>
          <w:lang w:val="en-US" w:eastAsia="en-US" w:bidi="ar-SA"/>
        </w:rPr>
        <w:t>  The defence relies on the recommendations of an equally qualified R.N., Ms. L.M. Mageau, who conducted an observation/assessment of Travis at his home on April 25,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636</w:t>
      </w:r>
      <w:r>
        <w:rPr>
          <w:rFonts w:ascii="arial" w:eastAsia="arial" w:hAnsi="arial" w:cs="arial"/>
          <w:color w:val="000000"/>
          <w:sz w:val="20"/>
          <w:lang w:val="en-US" w:eastAsia="en-US" w:bidi="ar-SA"/>
        </w:rPr>
        <w:t>  At the present time Travis' nursing care is provided through government funding. Both Ms. Landy and Ms. Mageau said that such funding would cease if Travis had other resources provided by judgment of the Court. Ms. Mageau's recommendation was therefore made on the basis that government benefits would not continue.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637</w:t>
      </w:r>
      <w:r>
        <w:rPr>
          <w:rFonts w:ascii="arial" w:eastAsia="arial" w:hAnsi="arial" w:cs="arial"/>
          <w:color w:val="000000"/>
          <w:sz w:val="20"/>
          <w:lang w:val="en-US" w:eastAsia="en-US" w:bidi="ar-SA"/>
        </w:rPr>
        <w:t>  The defendants apparently assert as well that Travis will continue to be eligible for funds from the palliative care program, even though Dr. Hahn says that Travis no longer meets any medical definition of palliative. The defendants rely on the assertion by Ms. Mageau that the palliative care program has no administrative review process to remove recipients who no longer qualify. Hence, her position is that Travis will always be entitled to the funds. I would not determine that Travis is entitled to these public funds on that basis. They could be withdrawn at any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638</w:t>
      </w:r>
      <w:r>
        <w:rPr>
          <w:rFonts w:ascii="arial" w:eastAsia="arial" w:hAnsi="arial" w:cs="arial"/>
          <w:color w:val="000000"/>
          <w:sz w:val="20"/>
          <w:lang w:val="en-US" w:eastAsia="en-US" w:bidi="ar-SA"/>
        </w:rPr>
        <w:t>  At the present time, an agency called Resource Ability provides registered nurses who care for Travis three days a week during the daytime hours, allowing Mrs. Strachan to work part-time. For the fall, the in-home hours have been reduced on the assumption that Travis will be attending pre-school for ten hours a week and the nurse will attend there. Mrs. Strachan feels that she is being forced into sending Travis to pre-school and is, rightly, concerned about his susceptibility to colds and other infections. Some doctors support her. They also say that the evidence is that Travis will not obtain any educational or social benefits from going to school. The purpose for his attending school apparently is to allow his family to obtain respite through a publicly funded school system. I agree with Mr. Smith, that Travis' costs should not be calculated on the basis that he will be attending the school in order to obtain the public funds.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639</w:t>
      </w:r>
      <w:r>
        <w:rPr>
          <w:rFonts w:ascii="arial" w:eastAsia="arial" w:hAnsi="arial" w:cs="arial"/>
          <w:color w:val="000000"/>
          <w:sz w:val="20"/>
          <w:lang w:val="en-US" w:eastAsia="en-US" w:bidi="ar-SA"/>
        </w:rPr>
        <w:t>  Ms. Mageau suggests a less expensive care system that primarily relies on unlicensed care-givers. These care givers are not regulated by any professional body and have less training, skill and medical judgment that either registered nurses or licensed practical nurses. Mr. Smith said that Ms. Mageau's recommendation to use unlicensed care-givers is based on the assumption that Travis' suctioning needs will be reduced to the point that he will no longer need suctioning deep into his airway, but only suctioning from the mouth. Deep suctioning cannot be done by an unlicensed care-giver unless the parents are in the home to take responsibility.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640</w:t>
      </w:r>
      <w:r>
        <w:rPr>
          <w:rFonts w:ascii="arial" w:eastAsia="arial" w:hAnsi="arial" w:cs="arial"/>
          <w:color w:val="000000"/>
          <w:sz w:val="20"/>
          <w:lang w:val="en-US" w:eastAsia="en-US" w:bidi="ar-SA"/>
        </w:rPr>
        <w:t>  I am not satisfied on the evidence that it can be established with any certainty that Travis will not longer need deep suctioning into his airways in the future. It is common ground that his health is going to deteriorate, and this includes the worsening of his chronic reactive airway disease as he gets older.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641</w:t>
      </w:r>
      <w:r>
        <w:rPr>
          <w:rFonts w:ascii="arial" w:eastAsia="arial" w:hAnsi="arial" w:cs="arial"/>
          <w:color w:val="000000"/>
          <w:sz w:val="20"/>
          <w:lang w:val="en-US" w:eastAsia="en-US" w:bidi="ar-SA"/>
        </w:rPr>
        <w:t>  Ms. Mageau also suggests that deep suctioning could be delegated to an unlicensed care-giver as long as one parent was present. Mr. Smith says" "she ignores the needs of Mr. and Mrs. Strachan to be outside the home for employment purposes, for respite, and for engaging in activities with their older child". I agree. It is important that the older child has some time with his parents outside of their domination by his younger brother, as are the other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642</w:t>
      </w:r>
      <w:r>
        <w:rPr>
          <w:rFonts w:ascii="arial" w:eastAsia="arial" w:hAnsi="arial" w:cs="arial"/>
          <w:color w:val="000000"/>
          <w:sz w:val="20"/>
          <w:lang w:val="en-US" w:eastAsia="en-US" w:bidi="ar-SA"/>
        </w:rPr>
        <w:t>  Mr. Smith notes that there was no suggestion that the rates charged by Resource Ability were unreasonable. The Court is therefore entitled to conclude that the hourly rates currently being paid or being paid by the same agency for care-givers of different qualifications, are in fact the appropriate rates to get stable and consciousness care for Travis. Resource Ability also provides supervision of the care-givers by a registered nurse, which is recommended by both Ms. Landy and Ms. Mageau.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643</w:t>
      </w:r>
      <w:r>
        <w:rPr>
          <w:rFonts w:ascii="arial" w:eastAsia="arial" w:hAnsi="arial" w:cs="arial"/>
          <w:color w:val="000000"/>
          <w:sz w:val="20"/>
          <w:lang w:val="en-US" w:eastAsia="en-US" w:bidi="ar-SA"/>
        </w:rPr>
        <w:t>  I need not deal with the At Home Program issue. I am satisfied that there is no guarantee that the government may not terminate or cut back public funds. In this regard I agree with Mr. Smith that it is for the defendants to establish that in effect the public funds are guarantees. It is not for the plaintiffs to "prove the negative". In any event, the Court simply cannot assume the funds are available.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644</w:t>
      </w:r>
      <w:r>
        <w:rPr>
          <w:rFonts w:ascii="arial" w:eastAsia="arial" w:hAnsi="arial" w:cs="arial"/>
          <w:color w:val="000000"/>
          <w:sz w:val="20"/>
          <w:lang w:val="en-US" w:eastAsia="en-US" w:bidi="ar-SA"/>
        </w:rPr>
        <w:t>  Evidence was given with regard to the less expensive care system referred to, by a witness called on behalf of Dr. Reynolds, Ms. M. Lynn. She is the owner of the agency, Able Nannies Care-givers, which is a placement agency that supplies care-givers to families with special needs children. Her evidence was not based on any knowledge of or familiarity with Travis, or his family, and in this regard Mr. Smith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was provided as purely factual evidence about that agency, with no attempt to qualify Ms. Lynn as an expert able to speak to the needs of Travis Strachan. There was no expert opinion that this agency is appropriate or capable of doing the job in this case, with this child. It is significant that none of the defendants' experts endorsed this agency.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645</w:t>
      </w:r>
      <w:r>
        <w:rPr>
          <w:rFonts w:ascii="arial" w:eastAsia="arial" w:hAnsi="arial" w:cs="arial"/>
          <w:color w:val="000000"/>
          <w:sz w:val="20"/>
          <w:lang w:val="en-US" w:eastAsia="en-US" w:bidi="ar-SA"/>
        </w:rPr>
        <w:t>  Apparently, the rates are lower than those suggested by either Ms. Mageau or Ms. Landy. In this regard, Mr. Smith notes that rates used by Ms. Landy are those of Resource Ability, the agency that is already providing some care for Travis, and which both expert nurses recommend. That agency provides a roster of experienced paediatric nurses who are familiar with Travis and his subtle signs of distress, under the supervision of Leanne Johnson, a registered nurse who also knows Travis. Resource Ability also employ licensed practical nurses, if that is considered the appropriate level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646</w:t>
      </w:r>
      <w:r>
        <w:rPr>
          <w:rFonts w:ascii="arial" w:eastAsia="arial" w:hAnsi="arial" w:cs="arial"/>
          <w:color w:val="000000"/>
          <w:sz w:val="20"/>
          <w:lang w:val="en-US" w:eastAsia="en-US" w:bidi="ar-SA"/>
        </w:rPr>
        <w:t>  Mr. Smith also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fact, Ms. Mageau noted the importance of such care as being provided in the past by Resource Ability - an agency that has established a long working relationship with this family. A continuity of care is an important consideration for Travis. This was considered an important factor in Delaronde et al v. H.M.T.Q. et al, </w:t>
      </w:r>
      <w:hyperlink r:id="rId107" w:history="1">
        <w:r>
          <w:rPr>
            <w:rFonts w:ascii="arial" w:eastAsia="arial" w:hAnsi="arial" w:cs="arial"/>
            <w:i/>
            <w:color w:val="0077CC"/>
            <w:sz w:val="20"/>
            <w:u w:val="single"/>
            <w:shd w:val="clear" w:color="auto" w:fill="FFFFFF"/>
            <w:lang w:val="en-US" w:eastAsia="en-US" w:bidi="ar-SA"/>
          </w:rPr>
          <w:t>[2000] B.C.J. No. 915</w:t>
        </w:r>
      </w:hyperlink>
      <w:r>
        <w:rPr>
          <w:rFonts w:ascii="arial" w:eastAsia="arial" w:hAnsi="arial" w:cs="arial"/>
          <w:color w:val="000000"/>
          <w:sz w:val="20"/>
          <w:lang w:val="en-US" w:eastAsia="en-US" w:bidi="ar-SA"/>
        </w:rPr>
        <w:t xml:space="preserve">, </w:t>
      </w:r>
      <w:hyperlink r:id="rId107" w:history="1">
        <w:r>
          <w:rPr>
            <w:rFonts w:ascii="arial" w:eastAsia="arial" w:hAnsi="arial" w:cs="arial"/>
            <w:i/>
            <w:color w:val="0077CC"/>
            <w:sz w:val="20"/>
            <w:u w:val="single"/>
            <w:shd w:val="clear" w:color="auto" w:fill="FFFFFF"/>
            <w:lang w:val="en-US" w:eastAsia="en-US" w:bidi="ar-SA"/>
          </w:rPr>
          <w:t>2000 BCSC 700</w:t>
        </w:r>
      </w:hyperlink>
      <w:r>
        <w:rPr>
          <w:rFonts w:ascii="arial" w:eastAsia="arial" w:hAnsi="arial" w:cs="arial"/>
          <w:color w:val="000000"/>
          <w:sz w:val="20"/>
          <w:lang w:val="en-US" w:eastAsia="en-US" w:bidi="ar-SA"/>
        </w:rPr>
        <w:t xml:space="preserve"> at 20. In Guerineau, the Court also stressed a need for continuity of care and the need for the parents to be relieved as much as possible of the task of screening, hiring and training care givers. The Court in Guerineau accepted Ms. Landy's recommendation which was the highest rate proposed in that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647</w:t>
      </w:r>
      <w:r>
        <w:rPr>
          <w:rFonts w:ascii="arial" w:eastAsia="arial" w:hAnsi="arial" w:cs="arial"/>
          <w:color w:val="000000"/>
          <w:sz w:val="20"/>
          <w:lang w:val="en-US" w:eastAsia="en-US" w:bidi="ar-SA"/>
        </w:rPr>
        <w:t>  I too accept the recommendations and opinions of Ms. Landy as being reasonable. They meet the test of reasonableness and they cannot be characterized as a "squandering" of money. While Able Nannies may be less costly, I am not satisfied that their services are equivalent to those provided at the present time by Resource Ability. Nor am I satisfied that continuity, which is so important, should be broken in order to see what Able Nannies can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648</w:t>
      </w:r>
      <w:r>
        <w:rPr>
          <w:rFonts w:ascii="arial" w:eastAsia="arial" w:hAnsi="arial" w:cs="arial"/>
          <w:color w:val="000000"/>
          <w:sz w:val="20"/>
          <w:lang w:val="en-US" w:eastAsia="en-US" w:bidi="ar-SA"/>
        </w:rPr>
        <w:t>  Two other matters which I have failed to refer to are the "friendly" service provided by the registered nurse, Leanne Johnson, on the weekends, and the Strachans' use of the facility at Canuck Place. I agree with Mr. Smith's submissions that the costs of weekend respite should not be calculated on the basis of the very small amount Ms. Johnson charges for weekend respite. The Court must allow sufficient costs to enable the Strachans to get the care when needed without relying on the continued availability of a single individual who likes what she does and is compassionate towards Travis.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649</w:t>
      </w:r>
      <w:r>
        <w:rPr>
          <w:rFonts w:ascii="arial" w:eastAsia="arial" w:hAnsi="arial" w:cs="arial"/>
          <w:color w:val="000000"/>
          <w:sz w:val="20"/>
          <w:lang w:val="en-US" w:eastAsia="en-US" w:bidi="ar-SA"/>
        </w:rPr>
        <w:t>  I have not touched on all of the points raised by counsel, especially Mr. Samtani and Ms. Harper, although I have carefully considered their submissions; and have responded to them indirectly in setting out my preference to the services recommended and opinions given by Ms. Landy, and my views on the other subject matters, such as the public funding issue and double funding.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650</w:t>
      </w:r>
      <w:r>
        <w:rPr>
          <w:rFonts w:ascii="arial" w:eastAsia="arial" w:hAnsi="arial" w:cs="arial"/>
          <w:color w:val="000000"/>
          <w:sz w:val="20"/>
          <w:lang w:val="en-US" w:eastAsia="en-US" w:bidi="ar-SA"/>
        </w:rPr>
        <w:t>  The onus is on the defendants to satisfy me that even after judgment comes down, Travis will be entitled to funds through the At Home Program, the Palliative Care program and through Canuck Place, and over his estimated ten year life span. The defendants have not been able to satisfy me that this is the case. Canuck Place provides free services within their discretion. Travis is not eligible under the Palliative Care program, and under the Home program, according to Ms. Landy, Travis will not be entitled to any benefits in light of his award, and according to Ms. Mageau, it is a policy decision. Both are probably giving hearsay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651</w:t>
      </w:r>
      <w:r>
        <w:rPr>
          <w:rFonts w:ascii="arial" w:eastAsia="arial" w:hAnsi="arial" w:cs="arial"/>
          <w:color w:val="000000"/>
          <w:sz w:val="20"/>
          <w:lang w:val="en-US" w:eastAsia="en-US" w:bidi="ar-SA"/>
        </w:rPr>
        <w:t>  It is never easy to assess damages in cases where the injuries are so catastrophic, where the injured party's condition will deteriorate so that his condition one month may be dramatically different from his condition on the next month, when there are so many variables to consider, some of which may not be predictable or capable of precise determination, while others are controlled entirely by third parties. In this case, Mr. Samtani's double recovery argument is simply a matter of evidence. The defendants have not established that the funds will always be available and that there, in fact, will be double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652</w:t>
      </w:r>
      <w:r>
        <w:rPr>
          <w:rFonts w:ascii="arial" w:eastAsia="arial" w:hAnsi="arial" w:cs="arial"/>
          <w:color w:val="000000"/>
          <w:sz w:val="20"/>
          <w:lang w:val="en-US" w:eastAsia="en-US" w:bidi="ar-SA"/>
        </w:rPr>
        <w:t>  I agree that it is the duty of the Court to ensure that Travis is provided with the care that will meet his needs, and allow him to live out his life expectancy with the greatest safety and comfort. This is provided for in the recommendations of Ms. Landy.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653</w:t>
      </w:r>
      <w:r>
        <w:rPr>
          <w:rFonts w:ascii="arial" w:eastAsia="arial" w:hAnsi="arial" w:cs="arial"/>
          <w:color w:val="000000"/>
          <w:sz w:val="20"/>
          <w:lang w:val="en-US" w:eastAsia="en-US" w:bidi="ar-SA"/>
        </w:rPr>
        <w:t>  I agree also with Mr. Smith's submission with regard to the necessity of highly trained caregivers,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need for highly trained caregivers arises from the complex and fragile nature of Travis' condition, including the need for deep suctioning, which can only be done by an R.N. or a L.P.N. The evidence about Mr. and Mrs. Strachan is that Travis requires suctioning that goes beyond his mouth and to at least the top of his airway ... . The fact established by all of the evidence is that the amount and nature of suctioning that Travis will need with vary widely depending on his condition. The evidence also establishes that the need for suctioning may be shown only by very subtle signs that may only be recognized by a caregiver who is very familiar with Travis. Subtle signs were described with phrases like 'drifting off' or 'looking sleepy'. These would not be picked up by a caregiver who is either unfamiliar with Travis or who was asleep.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654</w:t>
      </w:r>
      <w:r>
        <w:rPr>
          <w:rFonts w:ascii="arial" w:eastAsia="arial" w:hAnsi="arial" w:cs="arial"/>
          <w:color w:val="000000"/>
          <w:sz w:val="20"/>
          <w:lang w:val="en-US" w:eastAsia="en-US" w:bidi="ar-SA"/>
        </w:rPr>
        <w:t>  I believe that I have expressed my views in relation to Travis' care needs sufficiently to enable counsel to deal with the precise calculations. If this is not the case, counsel have liberty to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HOOD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54" style="position:absolute;z-index:25176576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08"/>
          <w:headerReference w:type="default" r:id="rId109"/>
          <w:footerReference w:type="even" r:id="rId110"/>
          <w:footerReference w:type="default" r:id="rId111"/>
          <w:headerReference w:type="first" r:id="rId112"/>
          <w:footerReference w:type="first" r:id="rId11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14" w:history="1">
        <w:r>
          <w:rPr>
            <w:rFonts w:ascii="arial" w:eastAsia="arial" w:hAnsi="arial" w:cs="arial"/>
            <w:b/>
            <w:bCs/>
            <w:i/>
            <w:color w:val="0077CC"/>
            <w:kern w:val="32"/>
            <w:sz w:val="28"/>
            <w:szCs w:val="32"/>
            <w:u w:val="single"/>
            <w:shd w:val="clear" w:color="auto" w:fill="FFFFFF"/>
            <w:lang w:val="en-US" w:eastAsia="en-US" w:bidi="ar-SA"/>
          </w:rPr>
          <w:t>Van Gaalen v. Janif, [2000] B.C.J. No. 201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Coultas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11,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1,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B964231</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[2000] B.C.J. No. 201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2000 BCSC 192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Gary Van Gaalen, Lori Van Gaalen, Matthew Van Gaalen, by his Guardian ad litem, Lori Van Gaalen, plaintiffs, and Shakeel Mohammed Janif, defendant, and Insurance Corporation of British Columbia, third party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55" style="position:absolute;z-index:2516643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46" w:name="Keywords_4"/>
      <w:bookmarkEnd w:id="46"/>
      <w:r>
        <w:rPr>
          <w:rFonts w:ascii="arial" w:eastAsia="arial" w:hAnsi="arial" w:cs="arial"/>
          <w:b/>
          <w:color w:val="000000"/>
          <w:sz w:val="20"/>
          <w:lang w:val="en-US" w:eastAsia="en-US" w:bidi="ar-SA"/>
        </w:rPr>
        <w:t xml:space="preserve">Practice — Applications and motions — Applications — On affidavit evidence — Torts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 standard of care of driver.</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47" w:name="Case Summary_4"/>
            <w:bookmarkEnd w:id="4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Van Gaalens for a finding that Janif's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sole cause of a motor vehicle accident. On April 26,1996, Canning was driving north on the Pattullo Bridge. There were four other passengers in his car, including the Van Gaalens. Janif was travelling southbound at the time. Several witnesses later stated that Janif had been travelling over 100km/hour. They also stated that he was weaving in and out of traffic, cutting other drivers off and narrowly missing other vehicles. Janif crossed the centre line and hit Canning's car head on. Canning died in the hospital shortly thereafter. Janif had a high blood alcohol and drug level. He pleaded guilty to criminal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causing death of Canning, and two counts of criminal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causing bodily harm to Gary Van Gaalen and Matthew Van Gaalen.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48" w:name="Holdings of Court_4"/>
            <w:bookmarkEnd w:id="48"/>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This was a suitable case for judgment under Rule 18A on the issue of liability for the accident. Based on the affidavit evidence, Janif's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sole cause of the accident.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49" w:name="Legislation Cited_4"/>
      <w:bookmarkEnd w:id="4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56" style="position:absolute;z-index:2517155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Rules 18A, 35(3), 35(4).</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50" w:name="Counsel_5"/>
      <w:bookmarkEnd w:id="50"/>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57" style="position:absolute;z-index:2517667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David H. Doig, for the plaintiffs. The defendant was not represented. William N. Fritz, for the third party.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51" w:name="Judgment_5"/>
      <w:bookmarkEnd w:id="51"/>
      <w:r>
        <w:pict>
          <v:line id="_x0000_s1058" style="position:absolute;z-index:25181696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0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52" w:name="COULTAS J."/>
            <w:bookmarkEnd w:id="52"/>
            <w:r>
              <w:rPr>
                <w:rFonts w:ascii="arial" w:eastAsia="arial" w:hAnsi="arial" w:cs="arial"/>
                <w:b/>
                <w:color w:val="000000"/>
                <w:sz w:val="30"/>
                <w:lang w:val="en-US" w:eastAsia="en-US" w:bidi="ar-SA"/>
              </w:rPr>
              <w:t>COULTAS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trial in this Action is fixed to commence on April 3, 2000 and 15 days have been set aside for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Action arises from a very serious motor vehicle accident occurring on the Pattullo Bridge on April 26, 1996 (the "accident"). The plaintiffs were passengers in a vehicle driven by Kenneth Walter Canning and they claim damages for injuries and loss suffered by them in the accident. Mr. Canning died the day following the accident from his injuries suffered in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defendant Shakeel Mohammed Janif ("Janif") was the driver of the vehicle which struck the Canning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Insurance Corporation of British Columbia has intervened as third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Before me is an Application brought by the plaintiffs for a finding pursuant to Rules 18A and 35(3) and (4) of the Rules of Court that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Janif was the sole cause of the accident. The plaintiffs also seek an order that the defendant pay to the plaintiffs: damages to be assessed.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Fritz, counsel for the third party takes no position on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plaintiffs have tendered a lengthy affidavit containing: reports of R.C.M.P. members investigating the accident, statements of numerous witnesses to the accident, an Autopsy Report relating to the deceased Kenneth Canning, a Coroner's Report titled "Circumstances as a Result of an Inquiry" and a transcript of the remarks of the Honourable Judge Collingwood, P.C.J. at the sentencing of Mr. Janif on September 25,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Mr. Janif was charged with multiple criminal offences arising from the accident. He pled guilty before Judge Collingwood to charges of: criminal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causing the death of Kenneth Canning, and two counts of criminal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causing bodily harm to Gary Van Gaalen and Matthew Van Gaalen respectively, plaintiffs in this action. Mr. Janif was sentenced to prison for four years on the charge of criminal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causing death and one year concurrent on each of the two charges of criminal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causing bodily harm. He was prohibited from driving in Canada for ten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 Notice to Admit dated March 17, 1999 was sent to Corrections Canada for service on Mr. Janif seeking these admissions:</w:t>
      </w:r>
      <w:r>
        <w:rPr>
          <w:rFonts w:ascii="arial" w:eastAsia="arial" w:hAnsi="arial" w:cs="arial"/>
          <w:sz w:val="20"/>
          <w:lang w:val="en-US" w:eastAsia="en-US" w:bidi="ar-SA"/>
        </w:rPr>
        <w:cr/>
      </w:r>
    </w:p>
    <w:p>
      <w:pPr>
        <w:numPr>
          <w:numId w:val="7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on April 26, 1996, Janif was driving a 1991 Ford Mustang across the Pattullo Bridge when he crossed the double solid centre line and struck head-on a Volkswagen Jetta driven by Kenneth Canning and carrying Gary, Lori and Matthew Van Gaalen;</w:t>
      </w:r>
    </w:p>
    <w:p>
      <w:pPr>
        <w:numPr>
          <w:numId w:val="7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That the incident referred to in paragraph 1 was caused as a result of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documents, the authenticity of which admission is requested are:</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Certified copy of R.C.M.P. File No. 96-39584.</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Excerpt from Proceedings (Reasons for Sentence) in R. v. Janif, File No. 82653-01D, September 15, (sic)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Mr. Janif has not responded to the Notice which was provided to him by L. Bayne of Corrections Canada on March 14,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 have read all the material provided to the court in the affidavit. The Coroner's Report given by Ms. Liana Wright, Coroner, on September 14, 1996, accurately summarizes the character of the defendant's driving immediately before the collision and the collision itself. The Coroner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INVESTIGATION: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26 April 1996, at approximately 1830 hours, Mr. CANNING was driving his Volkswagen Jetta northbound on the Pattullo Bridge. There were four other passengers in his vehicle including two children. Travelling southbound at that time was a Ford Mustang GT Cobra, with a lone male driver. Several witnesses were later to state that the Mustang had been travelling at speed estimated at over 100 km/h. They also stated that the Mustang was weaving in and out of traffic, cutting other drivers off and narrowly missing hitting other vehicles. The paved road was dry with traffic described as medium to heavy. The Mustang was observed to cross the centre line and hit the Volkswagen Jetta head on. Alcohol has since been determined to be a contributing factor in regards to the driver of the Mustang. Mr. CANNING, who had been wearing his set belt, had to be extricated with the Jaws of Life, this taking a total of 40 minutes. He was removed from the passenger side as the driver's side was described as being "totally caved in". Mr. CANNING was then airlifted by helicopter and transferred to Vancouver Hospital arriving at 1949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defendant Janif was the driver of the Mustang G.T. Cobra.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Before surgery, the doctors were hopeful that Mr. Canning would survive it. Tragically, he died on the operating table due to a tear in his thoracic aorta sustained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When sentencing Mr. Janif, Judge Collingwood accurately related the circumstances of the accident, accurately related the observations of witnesses given in their respective statements to the police and the impairment of the accused (defendant) caused by alcohol and a drug. Judge Collingwood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These are extremely serious charges. They arise from a motor-vehicle collision on the Pattullo Bridge at approximately 6:24 p.m. on April 26th, 1996, when the accused, who was driving a Mustang, crossed the double-solid centre line and struck head-on, a Volkswagen Jetta, driven by Mr. Canning and carrying passengers, including the two Vangaalans (sic).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Because of the violent nature of the collision, two other vehicles were involved. A Mercury Topaz, driven by June Piat, (sic) who also suffered significant injuries, and a Chevrolet which, in itself was damaged, but resulted in no injuries to the occupants.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was approximately forty-six thousand dollars in property damage resulting from the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Prior to the collision, the Volkswagen was travelling towards New Westminster. The Mustang, driven by the accused, was driving towards Surrey. The manner in which the Mustang was being driven was described by various witnesses as being "erratic" and "just out of control", "one hundred plus kilometres per hour", "showing off". Again, "an extremely high rate of speed". It caused one individual driver to "slow down" fearing that an accident was inevitable. The Mustang was weaving through traffic and had crossed the double centre line at least on one occasion, prior to the collision itself.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the time, traffic was relatively heavy, at the tail-end of rush hour. The streets were dry, visibility was normal and it was still daylight. The Pattullo Bridge is posted at a speed limit of sixty kilometres per hour.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actions of the accused on April the 26th, 1996, are significantly aggravated by the fact that he had been consuming alcohol to the degree that his blood contained two hundred and thirteen milligrams in one hundred millilitres of blood. A toxicology report revealed his blood also contained T.H.C., the active ingredient in cannabis marihuana. T.H.C. was present to a level suggesting use of that drug two to four hours before the collision itself and in such that, in combination with the alcohol, it would have a combined effect upon his ability to drive. The accused admits the use of marihuana on the previous evening.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This is a suitable case for judgment under Rule 18A on the issue of liability for the accident. I find that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Shakeel Mohammed Janif, was the sole cause of the accident of April 26, 1996 and give judgment accordingly.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 order that the defendant Janif pay to the plaintiffs damages for their injuries and losses, such damages to be assessed, and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COULTAS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59" style="position:absolute;z-index:25186611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15"/>
          <w:headerReference w:type="default" r:id="rId116"/>
          <w:footerReference w:type="even" r:id="rId117"/>
          <w:footerReference w:type="default" r:id="rId118"/>
          <w:headerReference w:type="first" r:id="rId119"/>
          <w:footerReference w:type="first" r:id="rId12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21" w:history="1">
        <w:r>
          <w:rPr>
            <w:rFonts w:ascii="arial" w:eastAsia="arial" w:hAnsi="arial" w:cs="arial"/>
            <w:b/>
            <w:bCs/>
            <w:i/>
            <w:color w:val="0077CC"/>
            <w:kern w:val="32"/>
            <w:sz w:val="28"/>
            <w:szCs w:val="32"/>
            <w:u w:val="single"/>
            <w:shd w:val="clear" w:color="auto" w:fill="FFFFFF"/>
            <w:lang w:val="en-US" w:eastAsia="en-US" w:bidi="ar-SA"/>
          </w:rPr>
          <w:t>X v. R.D.M., [2004] B.C.J. No. 2044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Cohen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December 1 - 5, 8 and 11, 2003, and</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September 23,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1,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S012573</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[2004] B.C.J. No. 2044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2004 BCSC 1273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134 A.C.W.S. (3d) 95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X, plaintiff, and R.D.M. and The Queen in Right of the Province of British Columbia,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(262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60" style="position:absolute;z-index:2516654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53" w:name="Keywords_5"/>
      <w:bookmarkEnd w:id="53"/>
      <w:r>
        <w:rPr>
          <w:rFonts w:ascii="arial" w:eastAsia="arial" w:hAnsi="arial" w:cs="arial"/>
          <w:b/>
          <w:color w:val="000000"/>
          <w:sz w:val="20"/>
          <w:lang w:val="en-US" w:eastAsia="en-US" w:bidi="ar-SA"/>
        </w:rPr>
        <w:t>Prisons — Actions against prison officers and authorities — Torts — Trespass — Assault and battery — Sexual assault — Damages — Limits of compensatory damages — Remoteness, torts — Predisposition to damage (Thin skull rule) — "Thin skull" or "crumbling skull" — General damages — Elements of general damages — Loss of wages — Mental distress or emotional upset — Loss of enjoyment of life — Torts affecting the person — Assault — Abuse or sexual assault.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54" w:name="Case Summary_5"/>
            <w:bookmarkEnd w:id="5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X for damages for sexual assault. In 1988, X was an 18-year-old male correctional centre inmate and RDM was a male classification officer at the centre. On two occasions RDM used a promise of a transfer to another institution combined with threats of violence to force X to allow RDM to perform oral sex on him. Prior to his incarceration X was addicted to cocaine, but did not have an extensive criminal history nor had he displayed any signs of personality disorder or extreme antisocial behaviour. After the assaults X became addicted to heroin and his criminal behaviour began to escalate, spending most of the next 15 years behind bars. His time in jail was characterized by intense hostility toward corrections staff, which usually resulted in lengthy periods of solitary confinement in maximum security institutions and in receiving very little early releases. His relationships outside of jail were damaged by his own sexual dysfunction. He ultimately disclosed the assaults to a counsellor and to police after reading a newspaper advertisement seeking information about sexual abuse at the correctional centre. The Crown admitted liability but denied that all of X's difficulties were caused by the sexual assaults. X presented evidence from his counsellor and from a psychologist that he had symptoms of post-traumatic stress disorder. The psychologist testified that X's psychological functioning deteriorated significantly after the assaults and that his problems later were largely attributable to the impact of those assaults. He had a severe drug dependency and a serious antisocial personality disorder. The psychologist attributed X's unrelenting bad attitude and oppositionalism in jails as evidence of his self-defeating tendencies. While not entirely attributable to the assaults, his drug dependence was significantly influenced by them. X was found to have a very high risk of drug relapse and future criminal offending. RDM presented only one witness, an addictions expert, who testified that people who become addicted to cocaine and heroin were neurologically different from people who were not susceptible to addiction. RDM argued that the evidence did not support a causal link between X's difficulties and the assaults. X sought damages totalling approximately $700,000 and RDM argued that he was only entitled to about $60,000.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55" w:name="Holdings of Court_5"/>
            <w:bookmarkEnd w:id="55"/>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There was no evidence from X's life before the assaults to support a conclusion that, notwithstanding the assaults, he would have spent a large part of his adult life in jail. X proved on a balance of probabilities that he suffered a myriad of psychological injuries as a result of the sexual assaults. He could not be characterized, as RDM argued, as a crumbling skull case. The assaults had a long lasting, deep and formative emotional impact on X that resulted in psychological and social problems, addictions and conflicts with persons in authority. He was entitled to $60,000 in general and aggravated damages. X was responsible for his own criminal behaviour. However, because of the impact the assaults had on him, X was unable to avail himself of the criminal law's mandate to take motivation into account and to tailor sentences to facilitate rehabilitation. Even if he would have been convicted of the same offences it was unlikely he would have been sentenced in the same way had the presiding judges been aware that X had been sexually abused by officer at the correctional centre. X was entitled to lost wages while incarcerated. Those wages were been lost because of X's illegal conduct, but that conduct was caused by or materially contributed to by RDM's wrongdoing. While the moral responsibility for his criminal behaviour remained with X, civil liability for his wage loss while incarcerated was attached to RDM. The best estimate of X's past wage loss was $150,000, and $50,000 for future wage loss. X was also awarded $15,000 for the cost of future counselling.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56" w:name="Legislation Cited_5"/>
      <w:bookmarkEnd w:id="5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61" style="position:absolute;z-index:2517166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Workers Compensation Act, R.S.B.C. 1996, c. 492, s. 98.</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57" w:name="Counsel_6"/>
      <w:bookmarkEnd w:id="57"/>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62" style="position:absolute;z-index:2517678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M.R. Ellis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the Queen in Right of the Province of British Columbia: K.L. Johnston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58" w:name="Judgment_6"/>
      <w:bookmarkEnd w:id="58"/>
      <w:r>
        <w:pict>
          <v:line id="_x0000_s1063" style="position:absolute;z-index:251817984"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 Corrigendum was released by the Court October 21, 2004; the correction has been made to the text and the Corrigendum is appended to this document.]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Table of Contents</w:t>
      </w:r>
      <w:r>
        <w:rPr>
          <w:rFonts w:ascii="arial" w:eastAsia="arial" w:hAnsi="arial" w:cs="arial"/>
          <w:sz w:val="20"/>
          <w:lang w:val="en-US" w:eastAsia="en-US" w:bidi="ar-SA"/>
        </w:rPr>
        <w:cr/>
      </w:r>
    </w:p>
    <w:p>
      <w:pPr>
        <w:numPr>
          <w:numId w:val="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claim</w:t>
      </w:r>
    </w:p>
    <w:p>
      <w:pPr>
        <w:numPr>
          <w:numId w:val="2"/>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defence</w:t>
      </w:r>
    </w:p>
    <w:p>
      <w:pPr>
        <w:numPr>
          <w:numId w:val="4"/>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issue</w:t>
      </w:r>
    </w:p>
    <w:p>
      <w:pPr>
        <w:numPr>
          <w:numId w:val="5"/>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life situation prior to and during his incarceration in Oakalla</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life situation following the assaults and his release from Oakalla</w:t>
      </w:r>
    </w:p>
    <w:p>
      <w:pPr>
        <w:numPr>
          <w:numId w:val="8"/>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psychological status</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Ms. Peterson</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Dr. Ley</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Dr. Sobey</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How significantly in dollar terms has the plaintiff's life been impacted by the sexual assaults?</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Causation</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position</w:t>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defence position</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Decision on causation</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General and aggravated damages</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position</w:t>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defence position</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Decision on General and Aggravated Damages</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Past and future wage loss</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position</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defence position</w:t>
      </w:r>
    </w:p>
    <w:p>
      <w:pPr>
        <w:numPr>
          <w:numId w:val="22"/>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Plaintiff's reply to the defence position</w:t>
      </w:r>
    </w:p>
    <w:p>
      <w:pPr>
        <w:numPr>
          <w:numId w:val="2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Decision on past and future wage loss</w:t>
      </w:r>
    </w:p>
    <w:p>
      <w:pPr>
        <w:numPr>
          <w:numId w:val="24"/>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Cost of future care</w:t>
      </w:r>
    </w:p>
    <w:p>
      <w:pPr>
        <w:numPr>
          <w:numId w:val="25"/>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Conclusion</w: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6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r>
              <w:rPr>
                <w:rFonts w:ascii="arial" w:eastAsia="arial" w:hAnsi="arial" w:cs="arial"/>
                <w:b/>
                <w:color w:val="000000"/>
                <w:sz w:val="30"/>
                <w:lang w:val="en-US" w:eastAsia="en-US" w:bidi="ar-SA"/>
              </w:rPr>
              <w:t>COHEN J</w:t>
            </w:r>
          </w:p>
        </w:tc>
      </w:tr>
    </w:tbl>
    <w:p>
      <w:pPr>
        <w:numPr>
          <w:numId w:val="26"/>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X, is seeking damages sustained by him as a result of two sexual assaults in 1988 committed by the defendant, R.D.M. Both assaults consisted of R.D.M. performing oral sex on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At the time of the assaults the plaintiff was eighteen years old and incarcerated at the Lower Mainland Regional Correctional Centre ("Oakalla"). R.D.M. was employed at Oakalla by the Crown as a classification officer. The Crown admits liability. This action is brought by the plaintiff to quantify his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Prior to his incarceration at Oakalla the plaintiff was heavily addicted to cocaine. Subsequent to the assaults and his incarceration at Oakalla, the plaintiff's addiction to illicit drugs escalated to include dependence upon heroin. The plaintiff's addiction to drugs, and his repeated criminal activities to support his drug addiction, have resulted in him spending most of the past fifteen years of his life behind bars. The plaintiff's time in jail has been characterized by intense hostility to corrections staff, which has resulted in him spending much time in solitary confinement and maximum security institutions, and receiving very little early release. He is currently incarcerated at a federal penal institution where he is nearing the mandatory supervision date of a four year sentence for robbery, in the summer of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It is the position of the plaintiff that the effect of the sexual assaults was to demolish his self-esteem and sense of manhood. The plaintiff claims that as a result of the sexual assaults he developed problems which were different in degree and in kind from those which preceded the assaults. He submits that his position is supported by the evidence of Dr. Robert Ley, a Clinical and Consulting Psychologist, retained jointly by the plaintiff and the Crown to undertake an assessment of the plaintiff. Dr. Ley testified in the plaintiff's case as an expert in the assessment of injuries suffered by sexual abuse victims, with special expertise in the area of prison inmates.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seeks general and aggravated damages in the range of $70,000 to $95,000; past wage loss of $411,000; loss of future earning capacity of $200,000; an undetermined amount for past counselling (ongoing); $13,680 to $20,160 for future counselling; $700 to $1,400 for couples therapy.</w:t>
      </w:r>
      <w:r>
        <w:rPr>
          <w:rFonts w:ascii="arial" w:eastAsia="arial" w:hAnsi="arial" w:cs="arial"/>
          <w:sz w:val="20"/>
          <w:lang w:val="en-US" w:eastAsia="en-US" w:bidi="ar-SA"/>
        </w:rPr>
        <w:cr/>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Crown's position is that the upper range of damages in cases of the most serious and prolonged sexual abuse is $150,000 to $180,000. The Crown submits that at the less serious end, damages have been awarded in the range of $10,000 to $30,000, which the Crown contends would include cases of sexual touching or non-invasive sexual abuse, such as submission to oral sex.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the instant case, the Crown submits that the plaintiff should receive general and aggravated damages in the range of $40,000 to $60,000, and that the cost of future care for counselling should not exceed $3,000. The Crown also submits that the plaintiff has not made out a case for past or future wage loss compensation.</w:t>
      </w:r>
      <w:r>
        <w:rPr>
          <w:rFonts w:ascii="arial" w:eastAsia="arial" w:hAnsi="arial" w:cs="arial"/>
          <w:sz w:val="20"/>
          <w:lang w:val="en-US" w:eastAsia="en-US" w:bidi="ar-SA"/>
        </w:rPr>
        <w:cr/>
      </w:r>
    </w:p>
    <w:p>
      <w:pPr>
        <w:numPr>
          <w:numId w:val="2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central issue for the Court to decide is the extent of the injuries sustained by the plaintiff as a result of the sexual assaults, and their quantification in financial terms. Counsel are on common ground that in deciding this issue the Court must determine and consider:</w:t>
      </w:r>
      <w:r>
        <w:rPr>
          <w:rFonts w:ascii="arial" w:eastAsia="arial" w:hAnsi="arial" w:cs="arial"/>
          <w:sz w:val="20"/>
          <w:lang w:val="en-US" w:eastAsia="en-US" w:bidi="ar-SA"/>
        </w:rPr>
        <w:cr/>
      </w:r>
    </w:p>
    <w:p>
      <w:pPr>
        <w:numPr>
          <w:numId w:val="2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life situation prior to and during his incarceration in Oakalla.</w:t>
      </w:r>
    </w:p>
    <w:p>
      <w:pPr>
        <w:numPr>
          <w:numId w:val="2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life situation following the assaults and his release from Oakalla.</w:t>
      </w:r>
    </w:p>
    <w:p>
      <w:pPr>
        <w:numPr>
          <w:numId w:val="2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present condition and circumstances, and the evidence of his current psychological status.</w:t>
      </w:r>
    </w:p>
    <w:p>
      <w:pPr>
        <w:numPr>
          <w:numId w:val="2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Finally, the life that the plaintiff would have lived, but for the sexual assaults, and how significantly in dollar terms his life has been impacted by the sexual assaults.</w:t>
      </w:r>
    </w:p>
    <w:p>
      <w:pPr>
        <w:numPr>
          <w:numId w:val="30"/>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life situation prior to and during his incarceration in Oakalla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Turning first to the plaintiff's background, he was born May 29, 1970, in N. His father and mother separated when he was a year old. He did not see his natural mother again until he was eleven years old. He has three siblings: his natural brother K., who is six years older; his step-brother N., who is three years older; and his step-sister S., who is thirteen years older.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After his parents' separation, the plaintiff lived with his father and K., and later on with his father, K., his step-mother, Ms. J.E., and her son, N. S. lived with the plaintiff's natural mother. The plaintiff has always been very close to K., and remains so to this day. However, he has not been in contact with N. or S. for many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plaintiff's father, who worked all his life in the dredging industry, died of cancer in 1998. His mother was murdered in 1994.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family background was reviewed in some considerable detail in a June 1973 report made by the Superintendent of Child Welfare in connection with custody and access issues. The report indicates that by the time the plaintiff was three years old his father had taken up residence with Ms. 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report describes the plaintiff's father as a stable and hard working man who exhibited warmth for his children and concern for their stability. Ms. E. was described as appearing to love all of the children. The report observes that the children appeared secure in their relationship with their father and Ms. 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Neighbours reported that the plaintiff's father was a good provider and a capable parent who cared for his children as well as any children could be cared for. The report describes the plaintiff's mother as an attractive and well-dressed woman who had an obvious affection for her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Both the plaintiff's father and Ms. E. were reluctant to allow continuing contact between the plaintiff and K., and their mother, a position supported by the report which concluded that the children were happy and well-adjusted in the care of the plaintiff's father and Ms. E. Because the children had adjusted well to being in their father's care and because at the time the children's mother did not consider herself able to care for them, the report recommended that neither custody nor access be awarded to the plaintiff's mother.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K. is now married, has two children and lives with his family in Langley. He operates a business that manufactures plant food and sells horticultural supplies. K. used cocaine for a period of fourteen months between 1985 and 1986. He has not had a problem with drug abuse since that time. He does not have problems with alcohol. He reported seeing S. drink alcohol and use cocaine in the mid 1980's. N. has worked for K. in the past. According to K., N. has moved to Alberta to work in the oil industry. K. believes that N. has been incarcerated, but he could not recall when.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As for the plaintiff, he recalled having a happy childhood growing up in C. and Y., where the family moved in 1978. He got along well with K. and N., although there was some friction between the children and Ms. E. over her household rules about snacking and eating between meals. It reached a point where she would hit the children with a wooden spoon and other weapons.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plaintiff testified that the members of his family engaged in many activities together, including camping and fishing in the summer and visiting the local sports centre on weekends.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elementary school the plaintiff got along well with his teachers and his classmates, and apart from one incident, there do not appear to have been any serious discipline or other issues in those years. He was very active in all school sports, and performed well in his school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It appears that a real disruption in the plaintiff's life came when he was about eleven years old. The plaintiff described his father as a nice, soft spoken, calm person who never used physical force in disciplining the children. However, the plaintiff's father and Ms. E. argued over her treatment of the children. When the plaintiff was eleven years old his father decided to separate from Ms. E. when, apparently, the plaintiff's father learned that Ms. E. was having a relationship with another 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Ms. E. left the family home, taking N. and the plaintiff to live with her in C. After about a month the plaintiff decided to return to live with his father and K. in Y. K., then seventeen years old, acted in a quasi-parental role to the plaintiff. As well, the plaintiff's father encouraged the plaintiff and K. to have contact with their mother. The plaintiff soon developed a relationship with his mother and S. He visited with them on weekends at their home in 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plaintiff explained that his father had a longstanding drinking problem. After the plaintiff moved back to Y. his father's drinking escalated. He met another woman who moved into the family home. She also drank heavily.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junior high school the plaintiff continued his interest with sports activities and he joined some youth clubs. He got along well with the other children in the school, and most of his teachers. He had no social or significant behavioural problems while attending school in Y. His school performance was average. Outside of school hours he earned income berry picking and collecting eggs at local farms.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When the plaintiff was thirteen years old, K. left the family home to work on Vancouver Island.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grade nine the plaintiff was suspended from school for possession of marijuana. He then left school in Y. and moved out of the family home. He went to live in N. where he attended an alternate school and resided by turns with his mother and S., and his father and 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plaintiff dropped out of high school in grade ten. He worked in a variety of manual labour jobs, and ended up doing landscaping work earning approximately $100 per day in cash, eventually operating his own landscaping firm with a partner.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At about the age of fifteen the plaintiff moved in to live with his girlfriend T. He described his relationship with her as excellent. They enjoyed each other's company and had frequent sexual relations.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plaintiff explained that he started smoking marijuana as early as grade seven. However, in high school, after he moved to N., he used acid and mushrooms and drank alcohol. He said that he was seventeen years old when he started to use cocaine and he developed a serious cocaine habit. This habit ruined his ability to work and earn an income. He turned to crime. He was arrested for breaking and entering, convicted and sent to Oakalla in the summer of 1988. Shortly after he arrived there he witnessed another inmate stabbed in the eye. The plaintiff described his incarceration at Oakalla as "scary".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As mentioned earlier, R.D.M. was a classification officer at Oakalla. His role was to decide where prisoners in the system spent their incarceration. For this apparent reason he invited the plaintiff to his office. The plaintiff told R.D.M. that he was scared. When R.D.M. asked the plaintiff about the stabbing incident the plaintiff did not want to tell him anything because he was afraid for his own safety if he spoke about the incident. That is when R.D.M. told the plaintiff that he could get him out of Oakalla. When the plaintiff asked R.D.M. how, R.D.M. told the plaintiff that he would have to do him favours.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According to the plaintiff, R.D.M. told him that he wanted to give the plaintiff a "blow job". The plaintiff refused, stating that he would rather remain in Oakalla. R.D.M. told the plaintiff that if he did not comply with his demands he had persons who could "get to him". The plaintiff took this to mean that R.D.M. would have him hurt, or even killed. R.D.M. also intimated to the plaintiff that these persons would rape him and not be as nice to him as R.D.M. would treat him. When the plaintiff repeated that he did not want to accede to R.D.M.'s demands, R.D.M. told him that he did not have a choice.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R.D.M. then performed oral sex on the plaintiff. The plaintiff ejaculated. R.D.M. warned the plaintiff that if he told anyone he would have someone get to him, and that if he spoke about it no one would believe him. The plaintiff said that he believed R.D.M.'s threats.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plaintiff testified that after the assault he felt "small" and "stupid". He did not tell anyone what had happened - he did not want his friends to find out and he was afraid to tell the guards. Looking back he feels that he was an "idiot" and that he was "stupid to fall for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A few weeks later, the plaintiff was again required to attend R.D.M.'s office. R.D.M. said he was pleased that the plaintiff had not said anything, and that he did not have to have the plaintiff hurt. R.D.M. told the plaintiff that there was a space for him at a forestry work camp in Chilliwack. R.D.M. told the plaintiff he could be moved there but that he would have to let R.D.M. perform oral sex on him again. The plaintiff refused. R.D.M. said that he was the boss and that he decided what happened. He warned the plaintiff that if he did not comply with his demands he could still have the plaintiff hurt. At that point he performed oral sex on the plaintiff for a second time. The plaintiff ejaculated. R.D.M. reminded him not to tell anyone or he would be hurt. He told the plaintiff that he would be leaving Oakalla in a week or two.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Shortly after the second assault, the plaintiff was moved to the forestry work camp at Ford Mountain, near Chilliwack. When he arrived he could not stop thinking about what had happened to him in Oakalla. Whenever someone looked at him he thought they knew about what had happened - he felt that it was written all over his face. After about a day, the plaintiff waited until nightfall and then ran away. He said that he wanted to get far away from anybody that knew him; he felt small and alienated. However, he did not manage to get very far away before the guards located him and returned him to the camp. The following day he was returned to Oakalla to serve the rest of his sentence. He was released in 1989 after spending about a year in jail. Upon his release he moved in with his father and then eventually got back together with his girlfriend T.</w:t>
      </w:r>
      <w:r>
        <w:rPr>
          <w:rFonts w:ascii="arial" w:eastAsia="arial" w:hAnsi="arial" w:cs="arial"/>
          <w:sz w:val="20"/>
          <w:lang w:val="en-US" w:eastAsia="en-US" w:bidi="ar-SA"/>
        </w:rPr>
        <w:cr/>
      </w:r>
    </w:p>
    <w:p>
      <w:pPr>
        <w:numPr>
          <w:numId w:val="3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life situation following the assaults and his release from Oakalla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After his release from Oakalla the plaintiff did not see very much of his father or K. Although he reunited with T., the plaintiff found that their relationship had changed. He became shy with her, and was less motivated to have sex with her. He said that whenever she wanted to perform oral sex on him he was not comfortable. It started arguments between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plaintiff returned to landscaping, but a few weeks after his release he was arrested for breaking and entering. After being in custody for several months the charge was stayed. He was released in November 1989. There was not much landscaping work available at the time so the plaintiff sold some marijuana. He was again arrested, this time for breaking and entering and fraud, and was sentenced to six months in Oakalla. He was released in early 1990. Upon his release he went to work for 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plaintiff did not adjust well to life after Oakalla. He started to drink heavily, became abusive, at times hostile, and his relationship with T. deteriorated. As well, he harboured hostility towards gay men, and would start fights with men he thought were gay.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plaintiff said that during this period he was with a woman friend who had been a heroin addict in the years before they met. She had been raped and afterwards turned to heroin use. He was at her place when she told him what had happened to her. She was very emotional, and the plaintiff came close to telling her what had happened to him in Oakalla. When she injected heroin in front of him he decided to try heroin by injection for the first time. He continued to use it after that and became dependent on the drug.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To maintain his heroin habit the plaintiff turned to crime. In 1991 he was again arrested for breaking and entering. He was also charged with exposing himself to male security guards at the New Westminster Sky Train Station. He was sent to the Fraser Regional Correctional Centre ("FRCC"). He used heroin while incarcerated. He was released after about a year and returned to work for K. He continued to use heroin.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plaintiff then entered a relationship with another woman. However, his sexual relationship with her was strained. He testified that he feels anxiety that the women he is with will find out about the assaults, or that they somehow actually know what happened to him in Oakalla.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In 1994, when the plaintiff's mother was murdered, his use of heroin escalated. According to him, his drug use "went over the hill". He started to combine heroin with cocaine. He was arrested again, this time for robbing a gas station. He was sentenced to eighteen months and sent to Wilkinson Road Jail. While incarcerated he completed the 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Just before he arrived at Wilkinson Road Jail, while he was being held at the FRCC, the plaintiff took a drug counselling program. It did not go well. The woman counsellor invited him to have sex with her, which he did during the counselling sessions. The plaintiff said that he was disappointed that someone who was in a position of authority would abuse her position in such a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plaintiff was released from jail in 1994. He immediately returned to his life of using drugs, and turning to crime to support his habit. He was arrested again, this time for robbing a bank. He was sentenced to two years and was sent to Kent. He used heroin while incarcerated at Kent, and clashed with the guards.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While at Kent the plaintiff was visited by a woman by the name of A.L. Upon his release in 1996 he lived with her and her four year old daughter. He testified that while they got along very well he was having trouble getting close to her. In fact he was having trouble getting close to anybody. He continued to use heroin, was arrested for robbing a jewellery store and was sentenced to three years consecutive. He was sent back to Kent where he spent a year and was then transferred to Mission Institution ("Mission"), a medium security facility. It was during his incarceration at Mission that the plaintiff decided he wanted to turn his life around.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plaintiff used heroin at Mission for five or six months. However, he learned that a counsellor by the name of Ms. Irene Peterson was coming to visit another prisoner. She had students with her who were doing their practicums and initially the plaintiff saw one of the students for three months, once a week. They talked about his drug addiction. When her practicum ended she continued to counsel him on her own time once a week for an hour on her lunch break. This routine continued for about four months and was a most positive experience for the plaintiff. He then decided that he had to deal with the assaults.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While at Mission the plaintiff saw a newspaper article seeking information from persons who knew about assaults in Oakalla in the 1980's. The article provided the number of a police officer to call. When Ms. Peterson next came to Mission the plaintiff decided to tell her about what happened to him, but she told him to first call the police, whereupon the plaintiff contacted a Sergeant Brown. When Sergeant Brown heard the plaintiff mention the name R.D.M., he decided to attend at Mission and take a statement from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plaintiff testified that the two main reasons he decided to tell the police about the assaults was that he could not live with himself anymore and wanted to "get it done and over with", and he wanted to prevent R.D.M., who was a person in authority, from placing himself in a position where he would be able to assault other vulnerable young persons.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At the time of his disclosure of the assaults to the police the plaintiff was not using drugs, and he arranged to start on a methadone program the day he was released from Mission. However, there was an incident while the plaintiff was staying at a half-way house, and he was returned to jail for four weeks. He was released in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On his release, the plaintiff got high on cocaine. He said that this drug makes him paranoid. He explained that he was on his way to a half-way house when he thought he overheard people talking about killing him. He stole a car, was chased by the police and arrested. He was charged with robbery and sent to the Surrey Pre-Trial Centre. He spent one year there during which time he was using methadone, and then he was sent to the FRCC.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While at the FRCC the plaintiff testified at the preliminary hearing into the charges against R.D.M. He had conflicts with the guards and was locked down with no recreational time. He was not receiving methadone.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R.D.M.'s first trial ended with a hung jury, which depressed and disappointed the plaintiff. The plaintiff was then convicted on the charges against him and received an eighteen month conditional sentence, but he was returned to Mission to serve the remainder of his three year sentence. He saw Ms. Peterson for counselling sessions during his incarceration, and he saw her after his release. When he was released he went to work for K. He was not using drugs.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plaintiff explained that when his federal sentence ended so did his free methadone treatments. To receive methadone he had to pay $10 per day, seven days a week, plus a monthly fee to a doctor authorized to administer the methadone program. The plaintiff was living in a half-way house in May 2000, and working for K. He said that on a Monday he had spent his last $10 for methadone. His extended medical coverage had not started. He had been refused financial help by the Ministry of Human Resources. He was not going to be paid again until Friday. Although he was feeling quite sick without his methadone dose, he continued to work for the balance of the week. He was paid on Friday. However, when he arrived at the pharmacy, the pharmacist wanted a new prescription because there was a requirement for one if it had been three days since he picked up his last dose. The plaintiff said that by that time of day he could not access a doctor who was authorized to prescribe methadone.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plaintiff was desperate for methadone so he went to see a person who sold methadone and bought a supply to last him over the weekend. While he was there he met a friend who was also on the methadone program. This person offered the plaintiff cocaine and by the next day the plaintiff was back in jail after being arrested following a high speed car chase. He pled guilty to the charge and was sentenced to three years, commencing July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plaintiff was sent to the Matsqui Institution ("Matsqui"). He was placed on the methadone program and continued to see Ms. Peterson. He testified at R.D.M.'s second trial, after which R.D.M. was convicted.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While at Matsqui, the plaintiff completed grade twelve. He also underwent a cognitive skills program. He said that he now reads many books, some of which are self-help books on personal improvement that Ms. Peterson has given him. He also likes to read the Bible and fiction.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plaintiff was released to a halfway house in June 2003. However, the plaintiff had an argument with his parole officer and was returned to Matsqui in July. He was later sent to a federal penal institution as a result of an incident between the plaintiff and guards at Matsqui.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plaintiff testified that he has a job lined up with K. upon his early release in March 2004. He continues to read, has taken up typing using a computer, and now draws. He has some plans to take a marketing course and start up his own business, putting his art on t-shirts. He is still seeing Ms. Peterson for counselling and will continue with his counselling sessions for as long as possible. However, he thinks he will have to find a new counsellor when he is released because he feels awkward talking to Ms. Peterson about sexual matters since she has become a sort of mother figure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In any event, the plaintiff does not think it will be convenient for him to travel to Ms. Peterson's office in Abbotsford when he is released to a half-way house in Vancouver, or even if he eventually resides in Langley or Mission, which are his areas of choice to reside. However, he said that he has carried around a huge sense of worthlessness arising out of the assaults, and he feels that Ms. Peterson's counselling allows him to work through his feelings. He has never told any of his women friends about what happened to him, and he needs to be able to open up his feelings to others. He is also trying to forgive R.D.M., which is an important goal for him at this time. In addition, Ms. Peterson has helped him with his drug addiction. He feels that he must continue with counselling sessions once he is released.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When the plaintiff is released he will receive methadone at no cost while he is living at the half-way house until August 2004. When he has to purchase it himself it will cost around $7 to $11 per day, plus a $65 monthly fee to a doctor. While he would prefer not to be released to a half-way house which is in an area of downtown Vancouver frequented by addicts and drug dealers, he thinks that this will likely be his place of residence until he is able to relocate to Langley or Maple Ridge.</w:t>
      </w:r>
      <w:r>
        <w:rPr>
          <w:rFonts w:ascii="arial" w:eastAsia="arial" w:hAnsi="arial" w:cs="arial"/>
          <w:sz w:val="20"/>
          <w:lang w:val="en-US" w:eastAsia="en-US" w:bidi="ar-SA"/>
        </w:rPr>
        <w:cr/>
      </w:r>
    </w:p>
    <w:p>
      <w:pPr>
        <w:numPr>
          <w:numId w:val="3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psychological status</w:t>
      </w:r>
    </w:p>
    <w:p>
      <w:pPr>
        <w:numPr>
          <w:numId w:val="3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Ms. Peterson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In her intake assessment report dated September 11, 2000, Ms. Peterson, a registered clinical counsellor who has provided counselling services to inmates in federal institutions since 1995, notes that the plaintiff, whom she first met when he requested to see her about sexual abuse, presented with symptoms of post-traumatic stress disorder ("PTSD"), that he was angry, anxious, fearful, struggling with shame and guilt, and unable to trust males. She had him complete the "Beck Depression Inventory". The results indicated to her that the plaintiff was moderately depressed at the time. On the "Impact of Events Scale" the plaintiff indicated that his feelings about the sexual assaults and their impact were, at that time, very present in his life. Ms. Petersen noted that the impact was "severe".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Ms. Peterson testified that she engaged the plaintiff in some sessions of rapid eye movement therapy which alleviated some of his symptoms. In her notes, Ms. Peterson reports an ongoing commitment on the plaintiff's part to address the effects of the assaults. The "Impact of Events Scale" administered one and a half years into therapy indicates that the impact had lessened to "high moderate".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Ms. Peterson's notes record the plaintiff as being "anxious, tearful at times, when dealing with thoughts of perpetrator he must face in court within a few weeks, re his sexual abuse." She testified that in the three years that she has worked with the plaintiff he has undergone changes and feels better about himself. She said that this shows in his hygiene, how he holds his head up and he does not have as many intrusive memories. The biggest change is that the plaintiff no longer experiences the nightmares he once did centered around the sexual abuse. He is also more trusting of males.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Ms. Peterson, who is still counselling the plaintiff, is prepared to continue having him as her patient. She said that he needs assistance to learn coping and life skills and that she would like to assess the plaintiff after the litigation is over and help him adjust back into the community.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In cross-examination, Ms. Peterson said that she had the impression that the plaintiff was frank with her and she was satisfied that he told her the truth. She also felt that while relapse for drug abuse and criminal re-offending were a risk for the plaintiff upon his release, she noted that he had periods in the past where he did not abuse drugs or re-offend for some time after release, so in her opinion there was reasonable hope for his future in the community.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Ms. Peterson felt that the plaintiff should remain in counselling for six to twelve months, but she noted that she had not seen the plaintiff for about three weeks at the time of the trial, and she would like to do a more current assessment of his condition. She also explained that the plaintiff wants strongly to be able to forgive R.D.M. and that as a Christian this is a huge factor for him and something that he must work through for himself.</w:t>
      </w:r>
      <w:r>
        <w:rPr>
          <w:rFonts w:ascii="arial" w:eastAsia="arial" w:hAnsi="arial" w:cs="arial"/>
          <w:sz w:val="20"/>
          <w:lang w:val="en-US" w:eastAsia="en-US" w:bidi="ar-SA"/>
        </w:rPr>
        <w:cr/>
      </w:r>
    </w:p>
    <w:p>
      <w:pPr>
        <w:numPr>
          <w:numId w:val="3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Dr. 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reports of Dr. Ley were tendered by the plaintiff to substantiate the extent of psychological damage suffered by him due to the assaults. While Dr. Ley was not tendered nor qualified as an addiction medicine specialist, the defence conceded that he has experience conducting psychological counselling and assessment of persons who have heroin and cocaine addictions.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In his report dated June 16, 2003, Dr. Ley states that it is his impression that the plaintiff has a criminal record that often typifies individuals who are drug addicted. He also states that quite commonly, the plaintiff has been under the influence of drugs (particularly cocaine) and alcohol when he has committed crimes.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For the purpose of conducting his psychological assessment of the plaintiff, Dr. Ley met with him on June 6, 2003, for a four and one-quarter hour interview at Matsqui. He interviewed the plaintiff again on June 13, 2003, for four and three-quarter hours at the plaintiff's counsel's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In addition to the interviews, the plaintiff completed several psychological tests, including two tests specific to sexual abuse and trauma. One of the psychological tests administered by Dr. Ley was the MMPI-2. In his evidence in chief, he described this test as the most commonly used personality test in North America. It essentially provides a profile of the test taker's psychological state and psychological functioning at the time he takes the test. As well, it provides information regarding more enduring aspects of the individual's personality and character.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Under the heading "Personality Assessment and the Results of Psychological Testing" Dr. Ley reports,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Although Mr. X's childhood and early adolescent adjustment was apparently normal, in that, he seems to have been a reasonably happy, active and optimistic child and youth, his </w:t>
      </w:r>
      <w:r>
        <w:rPr>
          <w:rFonts w:ascii="arial" w:eastAsia="arial" w:hAnsi="arial" w:cs="arial"/>
          <w:color w:val="000000"/>
          <w:sz w:val="20"/>
          <w:u w:val="single"/>
          <w:lang w:val="en-US" w:eastAsia="en-US" w:bidi="ar-SA"/>
        </w:rPr>
        <w:t>psychological functioning deteriorated significantly after being sexually assaulted in 1988, and Mr. X's adult adjustment has become a very negative one. Although Mr. X had a very serious phase of crack cocaine abuse for about three months prior to being incarcerated at LMRCC, his post Oakalla maladjustment, as well as his negative mood and self concept is largely attributable to the impact of the sexual assaults upon him</w:t>
      </w:r>
      <w:r>
        <w:rPr>
          <w:rFonts w:ascii="arial" w:eastAsia="arial" w:hAnsi="arial" w:cs="arial"/>
          <w:color w:val="000000"/>
          <w:sz w:val="20"/>
          <w:lang w:val="en-US" w:eastAsia="en-US" w:bidi="ar-SA"/>
        </w:rPr>
        <w:t xml:space="preserve">. Since Mr. X was sexually assaulted, his psychological functioning has been organized around a psychological core of very low self-esteem. As is very common for victims of sexual abuse, Mr. X has experienced strong feelings of shame and embarrassment, as well as guilt associated with Mr. X's sense of responsibility for capitulating to the sexual assault. Similar to most victims of sexual abuse, Mr. X blames himself for the occurrence of the abuse. </w:t>
      </w:r>
      <w:r>
        <w:rPr>
          <w:rFonts w:ascii="arial" w:eastAsia="arial" w:hAnsi="arial" w:cs="arial"/>
          <w:color w:val="000000"/>
          <w:sz w:val="20"/>
          <w:u w:val="single"/>
          <w:lang w:val="en-US" w:eastAsia="en-US" w:bidi="ar-SA"/>
        </w:rPr>
        <w:t>That negative attitude towards himself has been expressed in much self-criticism, and indirectly self-destructive behaviour such as bombarding himself with drugs, constant criminality, and reckless, dangerous behaviour</w:t>
      </w:r>
      <w:r>
        <w:rPr>
          <w:rFonts w:ascii="arial" w:eastAsia="arial" w:hAnsi="arial" w:cs="arial"/>
          <w:color w:val="000000"/>
          <w:sz w:val="20"/>
          <w:lang w:val="en-US" w:eastAsia="en-US" w:bidi="ar-SA"/>
        </w:rPr>
        <w:t xml:space="preserve"> (such as engaging in high speed chases with pursuing police). Allied with Mr. X's negative self-concept are strong feelings of insecurity and inferiority. He has had great difficulty regulating his self-esteem, and Mr. X is very vulnerable to rejection and other sorts of interpersonal frustrations or life stresses. Mr. X copes poorly with even some of the more benign stresses of life.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Although Mr. X was not an interpersonally aggressive or violent child and youth, after he was sexually assaulted, he experienced much anger about his victimization. However, Mr. X has characteristically strived to suppress and avoid angry feelings. But, in the aftermath of being sexually assaulted at LMRCC, it is easy to see that Mr. X became a much more overtly angry and frequently violent individual, particularly when he was drinking alcohol. Alcohol abuse served to disinhibit Mr. X's anger, such that he became predisposed to belligerence and fighting. Prior to being sexually assaulted, there is little evidence to suggest that Mr. X was oppositional or defiant towards authority figures. However, in the aftermath of being sexually assaulted, Mr. X became very rebellious and hostile towards authority, particularly in the personage of correctional officers in jails and prisons. Obviously, Mr. X's hostility towards, and extreme conflict with authority figures was caused by his experience of being sexually assaulted by a correctional officer.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X has a significant self-defeating trait in his personality, which as been strongly influenced by his experience of being sexually assaulted. Although he is very needy emotionally, Mr. X has been reluctant to become emotionally involved with others, as he fears being hurt by them. Mr. X's deficits in intimacy, and his profound mistrust are legacies of being sexually assaulted. Although he would like to be nurtured by others, he is fearful of such vulnerability, such that he is more inclined to be shy and avoidant of involvement with others. Mr. X's relationships have become very superficial since he was sexually assaulted.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During adulthood, Mr. X has experienced rather chronic, intense underlying emotional turmoil, which he has strived to ignore, repress, or suppress via drug abuse. However, Mr. X's correctional file, and his own reports of interpersonal aggression and hostility towards authority reveal the extent to which Mr. X has been largely unsuccessful in managing his emotional distress, which dates from the 1988 sexual assaults at LMRCC.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psychological test results for Mr. X are very interesting, as they reveal a marked defensiveness in Mr. X, and the extent to which he avoids recognizing and reporting his emotional distress and psychological disturbance. For example, Mr. X's psychological profile on the MMPI-II indicates that he was very invested in conveying an impression of normalcy and good self control, while denying any significant problems or emotional upset in his life. Yet, when I conducted my first interview with Mr. X, he was very fragile emotionally, and he had great difficulty managing his strong emotional reactions to many different issues that were canvassed in that interview. </w:t>
      </w:r>
      <w:r>
        <w:rPr>
          <w:rFonts w:ascii="arial" w:eastAsia="arial" w:hAnsi="arial" w:cs="arial"/>
          <w:color w:val="000000"/>
          <w:sz w:val="20"/>
          <w:u w:val="single"/>
          <w:lang w:val="en-US" w:eastAsia="en-US" w:bidi="ar-SA"/>
        </w:rPr>
        <w:t>In fact, I would rate Mr. X (in my first interview with him) as being perhaps the most emotional individual that I recall interviewing amongst hundreds over the last few years</w:t>
      </w:r>
      <w:r>
        <w:rPr>
          <w:rFonts w:ascii="arial" w:eastAsia="arial" w:hAnsi="arial" w:cs="arial"/>
          <w:color w:val="000000"/>
          <w:sz w:val="20"/>
          <w:lang w:val="en-US" w:eastAsia="en-US" w:bidi="ar-SA"/>
        </w:rPr>
        <w:t>. However, when one examines some of the MMPI-II subscales, they show that Mr. X was experiencing underlying states of depression and anger, that he was not reporting directly.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Both the MMPI-II and the STAXI-II show that Mr. X makes much effort to monitor and prevent the outward experience and expression of anger. Although the control of anger may be desirable in many circumstances, oftentimes the persistent overcontrol of anger leads to passivity, depression, social withdrawal, or a so-called "pressure cooker" effect, which can lead to outbursts of extreme rage or violence, if the individual is provoked or disinhibited, such as by alcohol or drugs. These tendencies and outcomes with respect to anger management are readily seen in Mr. X's adult adjustment. Somewhat similarly Mr. X expends a great deal of energy in calming down and in trying to reduce his anger as much as possible. Again, developing good controls over anger is usually a positive attribute, but if this tendency is too extreme (as it is now for Mr. X), he may be lacking in appropriate assertiveness, which would better help him cope with, or resolve frustrating circumstances.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Although it was my clinical impression during the interviews that Mr. X was showing some of the psychophysical signs that are indicative of the hyper-arousal that typifies PTSD, the two psychological tests that directly reflect symptoms of trauma and abuse (namely, the TSI and the DTS) showed that Mr. X did not have the symptom constellation or clinical picture that constitutes PTSD. The strength of this conclusion (i.e., that Mr. X does not have PTSD) is attenuated somewhat by Mr. X's tendency to minimize and underreport psychological distress and disturbance in his psychological test responses. Although Mr. X did report in both the TSI and DTS, some of the intrusive experiences (e.g., painful images or memories and distressing dreams about the sexual assaults), as well as defensive avoidance of thoughts or feelings about the sexual assaults, nonetheless the frequency and severity of Mr. X's trauma-related symptoms are not sufficient to substantiate a diagnosis of PTSD.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More generally, the results of the psychological testing taken in total reinforced my clinical impressions of Mr. X as a relatively shy, inhibited, and insecure person, who avoids emotional investment in others. As well, the psychological test results substantiated Mr. X's historic hostility towards authority, with expectable problems and conflicts with authority figures. Furthermore, the psychological testing showed Mr. X to be relatively lacking in insight and self-understanding.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In his report, under the heading "Impressions, Findings, Opinion, and Recommendations", Dr. Ley states,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Diagnostically, Mr. X has a severe drug dependence for heroin and cocaine (with physiological dependence upon heroin). At present, Mr. X's substance dependence is moderately controlled by the use of methadone. However, Mr. X has had two previous releases from prison to the community on methadone programs, yet he resumed drug abuse. </w:t>
      </w:r>
      <w:r>
        <w:rPr>
          <w:rFonts w:ascii="arial" w:eastAsia="arial" w:hAnsi="arial" w:cs="arial"/>
          <w:color w:val="000000"/>
          <w:sz w:val="20"/>
          <w:u w:val="single"/>
          <w:lang w:val="en-US" w:eastAsia="en-US" w:bidi="ar-SA"/>
        </w:rPr>
        <w:t>Mr. X is also diagnosable with a serious antisocial personality disorder</w:t>
      </w:r>
      <w:r>
        <w:rPr>
          <w:rFonts w:ascii="arial" w:eastAsia="arial" w:hAnsi="arial" w:cs="arial"/>
          <w:color w:val="000000"/>
          <w:sz w:val="20"/>
          <w:lang w:val="en-US" w:eastAsia="en-US" w:bidi="ar-SA"/>
        </w:rPr>
        <w:t>, although seemingly Mr. X did not have a childhood conduct disorder, which is the usual behavioural precursor for adult antisocial characters. Obviously, much of Mr. X's antisocial behaviour, particularly his criminality, has been in the service of supporting the cost of his substance abuse, and/or for the purpose of personal support. Mr. X has experienced brief periods of clinical depression, and frequently he is dysthymic, but at the time of my assessment, Mr. X was not experiencing clinical states of depression or anxiety.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In my opinion Mr. X's adult adjustment and characteristic psychological functioning is best understood as both reflecting and being caused by the sexual assaults that Mr. X experienced at LMRCC in 1988. As I have described above, Mr. X's woefully low self-esteem and chronically poor self-concept are directly reflective of the sexual assaults that he experienced. Prior to being sexually assaulted, Mr. X's self concept and self-esteem were reasonably stable and positive. He was sociable and he had good interpersonal confidence. As well, prior to being sexually assaulted, Mr. X seemingly experienced normal sexual functioning, but since being sexually assaulted, he has experienced chronic sexual anxieties</w:t>
      </w:r>
      <w:r>
        <w:rPr>
          <w:rFonts w:ascii="arial" w:eastAsia="arial" w:hAnsi="arial" w:cs="arial"/>
          <w:color w:val="000000"/>
          <w:sz w:val="20"/>
          <w:lang w:val="en-US" w:eastAsia="en-US" w:bidi="ar-SA"/>
        </w:rPr>
        <w:t xml:space="preserve">. Since being sexually abused by Mr. R.D.M., Mr. X has experienced strong feelings of shame, guilt, and embarrassment, which are just now beginning to attenuate, as a result of receiving counselling. Characteristically, Mr. X is mistrusting and emotionally cautious or detached from other people. </w:t>
      </w:r>
      <w:r>
        <w:rPr>
          <w:rFonts w:ascii="arial" w:eastAsia="arial" w:hAnsi="arial" w:cs="arial"/>
          <w:color w:val="000000"/>
          <w:sz w:val="20"/>
          <w:u w:val="single"/>
          <w:lang w:val="en-US" w:eastAsia="en-US" w:bidi="ar-SA"/>
        </w:rPr>
        <w:t>In particular, Mr. X is anxious about intimacy and sexual engagement with women. These anxieties can be directly related to the sexual assaults he experienced</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For much of Mr. X's adult life, he has experienced strong underlying feelings of anger and hostility, which he has endeavoured to avoid or suppress. However, while incarcerated and when under the disinhibiting effects of alcohol or cocaine, Mr. X has been interpersonally aggressive and violent. Similar attitudes and behaviours have been shown rather constantly during the course of Mr. X's incarceration. </w:t>
      </w:r>
      <w:r>
        <w:rPr>
          <w:rFonts w:ascii="arial" w:eastAsia="arial" w:hAnsi="arial" w:cs="arial"/>
          <w:color w:val="000000"/>
          <w:sz w:val="20"/>
          <w:u w:val="single"/>
          <w:lang w:val="en-US" w:eastAsia="en-US" w:bidi="ar-SA"/>
        </w:rPr>
        <w:t>As I noted above, without doubt, Mr. X's resentment and rebelliousness towards correctional officers can be directly linked to his experience of being sexually assaulted by a correctional officer at LMRCC in 1988</w:t>
      </w:r>
      <w:r>
        <w:rPr>
          <w:rFonts w:ascii="arial" w:eastAsia="arial" w:hAnsi="arial" w:cs="arial"/>
          <w:color w:val="000000"/>
          <w:sz w:val="20"/>
          <w:lang w:val="en-US" w:eastAsia="en-US" w:bidi="ar-SA"/>
        </w:rPr>
        <w:t>. Prior to being sexually assaulted, it does not seem that Mr. X was unduly or abnormally aggressive or violent as a child or young adolescent. However, after he was sexually assaulted, he became very combative with peers, particularly while abusing alcohol. As well, after being sexually assaulted Mr. X engaged in at least one act of "spousal violence", when he "smacked T.", who he had not hit previously.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Since being sexually assaulted, and throughout Mr. X's adult life, he has engaged in much self-defeating behaviour. For example, immediately after being transferred from LMRCC to Ford Mountain (and immediately after he was sexually assaulted for a second time by Mr. R.D.M.), Mr. X escaped from Ford Mountain, which served to immediately propel him back to Oakalla, as well as to prolong his sentence. Mr. X's rather unrelenting "bad attitude" and oppositionalism in jails and prisons is further evidence of this self defeating tendency, as such misconduct will prolong Mr. X's sentence, as he would be unlikely to qualify for early release. Another illustration of Mr. X's self defeating behaviour, which can be linked to his experience of sexual assault, was his inclination to avoid contact with his family members after he was sexually assaulted and released from LMRCC. Mr. X was disinclined to contact family members, due to strong feelings of shame and transparency despite his need for social support, and the likelihood that his family could be of assistance to him in the community. </w:t>
      </w:r>
      <w:r>
        <w:rPr>
          <w:rFonts w:ascii="arial" w:eastAsia="arial" w:hAnsi="arial" w:cs="arial"/>
          <w:color w:val="000000"/>
          <w:sz w:val="20"/>
          <w:u w:val="single"/>
          <w:lang w:val="en-US" w:eastAsia="en-US" w:bidi="ar-SA"/>
        </w:rPr>
        <w:t>Another dramatic example of self defeating behaviour and which clearly reflects Mr. X's experience of being sexually assaulted was the act of exposing his genitals to arresting police officers and taunting them, while he (Mr. X) demanded oral sex from them. In fact, Mr. X's "exhibitionism" resulted in his being convicted for a sexual offence, and that crime would no doubt create greater hardship for him while he was imprisoned</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Given that Mr. X showed a substantial dependence upon crack cocaine for about three months prior to being incarcerated at LMRCC, and furthermore, given that Mr. X had a well established marijuana dependency from the ages of about 16 to 18 years old (at which age he entered LMRCC), </w:t>
      </w:r>
      <w:r>
        <w:rPr>
          <w:rFonts w:ascii="arial" w:eastAsia="arial" w:hAnsi="arial" w:cs="arial"/>
          <w:color w:val="000000"/>
          <w:sz w:val="20"/>
          <w:u w:val="single"/>
          <w:lang w:val="en-US" w:eastAsia="en-US" w:bidi="ar-SA"/>
        </w:rPr>
        <w:t>one cannot attribute Mr. X's adult drug dependence to the impact of being sexually assaulted. However, there are particular aspects to Mr. X's drug dependence in adulthood that have been significantly influenced by the sexual assaults he experienced</w:t>
      </w:r>
      <w:r>
        <w:rPr>
          <w:rFonts w:ascii="arial" w:eastAsia="arial" w:hAnsi="arial" w:cs="arial"/>
          <w:color w:val="000000"/>
          <w:sz w:val="20"/>
          <w:lang w:val="en-US" w:eastAsia="en-US" w:bidi="ar-SA"/>
        </w:rPr>
        <w:t xml:space="preserve">. First, it is notable that after being released from LMRCC that Mr. X began drinking heavily, and abusing alcohol on a daily basis, and as well, he was frequently violent while intoxicated. Given that Mr. X had not been an abuser of alcohol prior to his incarceration and sexual assault at Oakalla, </w:t>
      </w:r>
      <w:r>
        <w:rPr>
          <w:rFonts w:ascii="arial" w:eastAsia="arial" w:hAnsi="arial" w:cs="arial"/>
          <w:color w:val="000000"/>
          <w:sz w:val="20"/>
          <w:u w:val="single"/>
          <w:lang w:val="en-US" w:eastAsia="en-US" w:bidi="ar-SA"/>
        </w:rPr>
        <w:t>it is my opinion that Mr. X had a greater need to obliterate himself after he was sexually assaulted, and initially he used copious amounts of alcohol to submerge his unsettling feelings about being sexually assaulted</w:t>
      </w:r>
      <w:r>
        <w:rPr>
          <w:rFonts w:ascii="arial" w:eastAsia="arial" w:hAnsi="arial" w:cs="arial"/>
          <w:color w:val="000000"/>
          <w:sz w:val="20"/>
          <w:lang w:val="en-US" w:eastAsia="en-US" w:bidi="ar-SA"/>
        </w:rPr>
        <w:t xml:space="preserve">. Second, within two years of being released from Oakalla, Mr. X was addicted to heroin. He had not used heroin or other intravenous drugs prior to being incarcerated and sexually assaulted at LMRCC. </w:t>
      </w:r>
      <w:r>
        <w:rPr>
          <w:rFonts w:ascii="arial" w:eastAsia="arial" w:hAnsi="arial" w:cs="arial"/>
          <w:color w:val="000000"/>
          <w:sz w:val="20"/>
          <w:u w:val="single"/>
          <w:lang w:val="en-US" w:eastAsia="en-US" w:bidi="ar-SA"/>
        </w:rPr>
        <w:t>It is my opinion that Mr. X found the anesthetising numbing and blissfully soporific effects of heroin to effectively assuage his distress about being sexually assaulted. In short, I have no doubt that Mr. X's experience of being sexually assaulted greatly exacerbated his drug dependence, and most likely, significantly influenced the selection of heroin as his drug of choice</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Obviously, it is most difficult to prognosticate, let alone speculate, about Mr. X's vocational pathway were he to not have been sexually assaulted and drug dependent. Equally obviously, Mr. X's drug dependence and associated criminality has dramatically interfered with his ability to establish a semblance of vocational stability. Certainly, it seems to be the case that Mr. X established a good work ethic and work record during his adolescence, up until the age of about 18 years, when he became addicted to crack cocaine. Since the time when Mr. X was incarcerated at LMRCC in 1988, despite having employable vocational skills, by and large, Mr. X has not had any sustained employment over the last 15 years. Certainly, there was nothing about his family life or childhood experiences, which were unduly traumatic or sufficiently negative to predict his adult vocational failures. As well, Mr. X's older brother K., who seemingly experienced a similar childhood and family environment to D., has become a successful businessman. </w:t>
      </w:r>
      <w:r>
        <w:rPr>
          <w:rFonts w:ascii="arial" w:eastAsia="arial" w:hAnsi="arial" w:cs="arial"/>
          <w:color w:val="000000"/>
          <w:sz w:val="20"/>
          <w:u w:val="single"/>
          <w:lang w:val="en-US" w:eastAsia="en-US" w:bidi="ar-SA"/>
        </w:rPr>
        <w:t>In my opinion, obviously Mr. X's substance dependence and criminality has most directly interfered with his employment and vocational prospects, and as I noted above, I firmly believe that Mr. X's substance abuse was significantly exacerbated by virtue of being sexually assaulted</w:t>
      </w:r>
      <w:r>
        <w:rPr>
          <w:rFonts w:ascii="arial" w:eastAsia="arial" w:hAnsi="arial" w:cs="arial"/>
          <w:color w:val="000000"/>
          <w:sz w:val="20"/>
          <w:lang w:val="en-US" w:eastAsia="en-US" w:bidi="ar-SA"/>
        </w:rPr>
        <w:t xml:space="preserve">. Additionally, Mr. X's experience of sexual abuse would most likely contribute to probable difficulties with employers and "bosses", or any individuals who were in an authority position in the workplace relative to Mr. X. It is quite likely that Mr. X would show some similar defiance, uncooperativeness, and a likely "bad attitude" in a job situation to that which he has shown in correctional settings. </w:t>
      </w:r>
      <w:r>
        <w:rPr>
          <w:rFonts w:ascii="arial" w:eastAsia="arial" w:hAnsi="arial" w:cs="arial"/>
          <w:color w:val="000000"/>
          <w:sz w:val="20"/>
          <w:u w:val="single"/>
          <w:lang w:val="en-US" w:eastAsia="en-US" w:bidi="ar-SA"/>
        </w:rPr>
        <w:t>In my opinion, Mr. X is likely to have significant difficulties performing well on the job, and sustaining employment in the immediate future (for the next two or three years), unless he is gradually weaned off methadone and remains drug abstinent</w:t>
      </w:r>
      <w:r>
        <w:rPr>
          <w:rFonts w:ascii="arial" w:eastAsia="arial" w:hAnsi="arial" w:cs="arial"/>
          <w:color w:val="000000"/>
          <w:sz w:val="20"/>
          <w:lang w:val="en-US" w:eastAsia="en-US" w:bidi="ar-SA"/>
        </w:rPr>
        <w:t>. It must be remembered that Mr. X is highly institutionalized. Essentially, he has spent almost one-half of his life to date in correctional settings. In short, full time employment will be very demanding and perhaps overly challenging for Mr. X for the next year or so, and I would recommend that he commence working on a part-time basis.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regards to Mr. X's more general prognosis, although he has been drug free for approximately three years, and despite his best intentions to gradually discontinue methadone, Mr. X represents a very high risk of drug relapse and future criminal offending. All risk predicators for Mr. X, both clinical and actuarial, yield an estimate that he represents a very high risk of recidivism. Retrospectively, such an estimate is readily evidenced by virtue of Mr. X's rapid resumption of drug use and criminality whenever he has been returned to the community in the last few years. Although Mr. X has begun to make some important psychological gains, and increased his emotional stability since being in counselling over the last couple of years, his future adjustment remains highly precarious, despite D.'s good motivation to succeed.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With respect to specific recommendations for Mr. X, </w:t>
      </w:r>
      <w:r>
        <w:rPr>
          <w:rFonts w:ascii="arial" w:eastAsia="arial" w:hAnsi="arial" w:cs="arial"/>
          <w:color w:val="000000"/>
          <w:sz w:val="20"/>
          <w:u w:val="single"/>
          <w:lang w:val="en-US" w:eastAsia="en-US" w:bidi="ar-SA"/>
        </w:rPr>
        <w:t>I would strongly encourage him to continue his psychological treatment with Mrs. Irene Peterson. In my opinion, Mr. X should be seen at least once weekly. I would estimate that he will require at least two to three years of such therapy, at that frequency</w:t>
      </w:r>
      <w:r>
        <w:rPr>
          <w:rFonts w:ascii="arial" w:eastAsia="arial" w:hAnsi="arial" w:cs="arial"/>
          <w:color w:val="000000"/>
          <w:sz w:val="20"/>
          <w:lang w:val="en-US" w:eastAsia="en-US" w:bidi="ar-SA"/>
        </w:rPr>
        <w:t xml:space="preserve">. Naturally, if Mr. X significantly improves and stabilizes over a shorter time frame, then his therapy can be accordingly decreased in frequency. However, Mr. X's therapist would be the best judge of whether to decrease his therapy. In my experience of treating individuals similar to Mr. X, usually they require much more therapy, rather than less. It is a very common mistake to decrease the frequency of their therapy once they attain a modicum of stability. Individuals such as Mr. X remain quite vulnerable to stress and frustration, and thus, it is best if they are engaged in a therapeutic relationship, on an ongoing basis, even if the frequency of the therapy is no greater than once monthly sessions. I believe that Mr. X still needs a great deal of therapy. In my view, he does not yet have a very adequate understanding of the effects of these sexual assaults upon him. More generally, he has a limited understanding of the general effects of sexual abuse and assault. I would strongly encourage him to read Judith Herman's book Trauma and Recovery, and other similar works. In the short run, I perceive Mr. X to be very vulnerable to stress. He is starting a new relationship, and he will be very susceptible to rejection. If Mr. X feels rejected, his self-esteem will plummet, and he will represent a sizable risk of drug relapse. </w:t>
      </w:r>
      <w:r>
        <w:rPr>
          <w:rFonts w:ascii="arial" w:eastAsia="arial" w:hAnsi="arial" w:cs="arial"/>
          <w:color w:val="000000"/>
          <w:sz w:val="20"/>
          <w:u w:val="single"/>
          <w:lang w:val="en-US" w:eastAsia="en-US" w:bidi="ar-SA"/>
        </w:rPr>
        <w:t>Given Mr. X's seriousness about his current, but relatively new found relationship, he and his girlfriend should probably have some sessions of couples therapy such that Mr. X can reveal his history of sexual assault and its implications for their relationship</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addition to Mr. X's therapy with Irene Peterson, I would encourage him to become involved with an organization such as Cocaine Anonymous, or some similar group, which is based upon a so-called 12 step model. The social support of such organizations will be beneficial for Mr. X, and as well, these organizations create an ongoing forum and quasi therapeutic setting for Mr. X that he can access at any time.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regards to Mr. X's vocational needs, although he has various employable skills, Mr. X impresses me as an individual who is receptive to learning, and I would recommend that he undertake some specific vocational courses or training, perhaps in the area of landscaping or heavy equipment operation. Frankly at Mr. X's current state of adjustment and community reintegration, I believe that he would be better off in a vocational training program than he would be in full time employment.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a final recommendation, I would encourage Mr. X to establish a physical fitness and exercise regimen. He was a good athlete in his youth, and regular exercise is an excellent stress management technique.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In a letter to plaintiff's counsel dated July 7, 2003, Dr. Ley states,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reading my report, it occurred to me that I had failed to explicitly address two issues that are quite important to cases which feature so-called "historical abuse". These issues are the question of malingering, and the extent to which other negative life events might account for Mr. X's adult adjustment, in the aftermath of being sexually assaulted by former correctional officer Mr. R.D.M. in 1988, while Mr. X was an inmate at the Lower Mainland Regional Correctional Centre (LMRCC) where Mr. R.D.M. was employed.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First, in regards to the issue of malingering, although it was likely implicit in my report that I did not find Mr. X to be malingering, I wish to make my opinion clear. As I noted in my June 16, 2003 report, </w:t>
      </w:r>
      <w:r>
        <w:rPr>
          <w:rFonts w:ascii="arial" w:eastAsia="arial" w:hAnsi="arial" w:cs="arial"/>
          <w:color w:val="000000"/>
          <w:sz w:val="20"/>
          <w:u w:val="single"/>
          <w:lang w:val="en-US" w:eastAsia="en-US" w:bidi="ar-SA"/>
        </w:rPr>
        <w:t>I perceived Mr. X to be open and credible, particularly in regards to his account of the sexual assaults of him. I do not believe that he was malingering. To the contrary, and as I described in my report, Mr. X was not inclined to exaggerate his subjective description of emotional distress or psychological disturbance, either in the interviews or in his responses to psychological tests. In fact, Mr. X was strongly oriented towards minimizing his psychological distress and the problems that he has had in his life</w:t>
      </w:r>
      <w:r>
        <w:rPr>
          <w:rFonts w:ascii="arial" w:eastAsia="arial" w:hAnsi="arial" w:cs="arial"/>
          <w:color w:val="000000"/>
          <w:sz w:val="20"/>
          <w:lang w:val="en-US" w:eastAsia="en-US" w:bidi="ar-SA"/>
        </w:rPr>
        <w:t>. As I noted in the section of my report in which I summarized the results of psychological testing, it was my impression that Mr. X was "under reporting" his emotional concerns and life difficulties.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Second, as I asserted in my June 16, 2003 report, </w:t>
      </w:r>
      <w:r>
        <w:rPr>
          <w:rFonts w:ascii="arial" w:eastAsia="arial" w:hAnsi="arial" w:cs="arial"/>
          <w:color w:val="000000"/>
          <w:sz w:val="20"/>
          <w:u w:val="single"/>
          <w:lang w:val="en-US" w:eastAsia="en-US" w:bidi="ar-SA"/>
        </w:rPr>
        <w:t>it was my opinion that Mr. X's poor psychosocial adjustment in adulthood was best accounted for by his experience of being sexually assaulted as an 18 year old</w:t>
      </w:r>
      <w:r>
        <w:rPr>
          <w:rFonts w:ascii="arial" w:eastAsia="arial" w:hAnsi="arial" w:cs="arial"/>
          <w:color w:val="000000"/>
          <w:sz w:val="20"/>
          <w:lang w:val="en-US" w:eastAsia="en-US" w:bidi="ar-SA"/>
        </w:rPr>
        <w:t xml:space="preserve">. Mr. X has had other negative life events, such as a relative loss of contact with his mother between the ages of 7 and 11 years; physical abuse by his stepmother; his older brother's move out of the family home when D. was 13 years old; his mother's murder in 1994; and his father's early death from cancer in 1998. </w:t>
      </w:r>
      <w:r>
        <w:rPr>
          <w:rFonts w:ascii="arial" w:eastAsia="arial" w:hAnsi="arial" w:cs="arial"/>
          <w:color w:val="000000"/>
          <w:sz w:val="20"/>
          <w:u w:val="single"/>
          <w:lang w:val="en-US" w:eastAsia="en-US" w:bidi="ar-SA"/>
        </w:rPr>
        <w:t>However, I do not believe that these events are either foundational or significantly influential upon Mr. X's psychological nature as an adult, which is most consistent with the negative effects of sexual abuse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Dr. Ley testified, in chief, regarding the internal conflict generated in the plaintiff by his submission to oral sex by R.D.M.: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 general, My Lord, the significance of a man ejaculating while being sexually assaulted by another male pertains to the victim's - or individual - individual's perception of first experiencing sexual arousal in the context of that homosexual act. So the fact that the individual who is being fellated develops an erection causes a conflict, psychological conflict for - I will use the word "victim," in the context of a criminal sexual assault - it causes conflict for the victim because the individual construes himself as having experienced sexual arousal in the context of a homosexual act while being heterosexual, as is the case for Mr. X.</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fact that the individual then ejaculates essentially just intensifies the person's conflict and other related psychological reactions in terms of the degree of sexual arousal experienced. So, for example, when a male is sexually assaulted by another male, experiences an erection, and then ejaculates in the context of that sexual assault, it causes conflicted beliefs or self-perceptions for the individual of the following kind: a doubt about his sexual orientation. For example, causing thoughts or worries that the person may be homosexual. Second, self-doubt - not just in terms of sexual orientation, but also the degree to which the person was participating in the event by virtue of becoming sexually aroused and ejaculating. And then, those self-perceptions tend to be quite enduring, and despite the fact that the individual perceives himself as primarily heterosexual and has continued heterosexual activities in his lifetime, the reality of developing an erection and ejaculating in the context of homosexual activity, tends to be very disturbing and distressing to the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Dr. Ley also testified, in chief, that the plaintiff still lacks an understanding of the impact of the sexual assaults on him, and has a tendency to underreport his difficulties: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 but you say at the bottom of page 22 - and this is the second to last line: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In fact, I would rate Mr. X in my first interview with him as being perhaps the most emotional individual that I recall interviewing amongst hundreds over the last few years.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How does that fit with what you just said about being slightly more emotionally repressive?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characterization I have made of Mr. X there really references what I have just described in terms of the relationship, or counter point, between being emotionally composed and being emotionally overwhelmed. This is what was quite remarkable about my interview with Mr. X. Within just the first few minutes of the interview, Mr. X was sobbing, crying uncontrollably. He would quite quickly recompose himself and then be able to continue with the interview. But then whenever we touched upon any kind of emotionally sensitive issues or material in the interview, he was invariably overwhelmed by sadness and sobbed uncontrollably to a degree that I did - do not recall seeing in many individuals over the last few years.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So it was quite dramatic, the compare - the contrast between those periods and episodes when Mr. X was completely overwhelmed by his feelings and essentially just unravelling emotionally, decomposing. And then he would kind of muster his resources and become quite composed and calm himself again.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So, what we see there is really opposite sides of the same coin. This is the emotional style that I described and which I also believe is reflected in some of the psychological test results. When Mr. X would complete the psychological testing he would be sitting by himself, the psychological tests are not interactive. Many of the items are not personally significant or sensitive or emotionally provoking. And so he appears in the psychological test results much as he did during the interview when he was more composed and we weren't touching upon emotionally sensitive material; issues that related to his family history, or issues that related to the sexual assaults and his experience of them. So we really see someone who - it's not a Jekyll and Hyde, My Lord, in the sense of someone who's a normal doctor by day, and a monster by night. But it - the reference is somewhat similar in the sense that you see this real dichotomous presentation.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Perhaps I can just illustrate it from my notes. It's one of the ways in which I can maybe make this most clear because I noted the times and periods when Mr. X started to cry.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Just for ease of reference, My Lord, typically when I would do any psychological interview, one begins with fairly straightforward background information in terms of the person's date of birth and height and weight, present circumstances. I review the reason for referral, some of the background - brief background information. But within about five minutes of my interview with Mr. X, after I asked him about his understanding of why I was assessing him and the purpose of these interviews, and he said, I am suing that guy R.D.M., I then asked him about - in a very brief way, what had occurred, just in a very superficial way, because my intention always is to come back and examine this in some detail later in the interview.</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And Mr. X simply provided some very brief background information about this. He said he was sexually abused by R.D.M. That was a word that he used. I asked where it occurred. He said Oakalla. I said what was the date, he said 1988. I asked him his age then and he said 18 years old. He said, it started when I was awaiting trial. Then, I dealt with my charges and I was doing time there. I asked him what were his offences at that time, he said, B&amp;E, possession of stolen property and fraud. I asked him what his sentence was, and he said about 15 months.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then wanted to just simply ask him quite briefly about these incidents, as I said, and I said, how many incidents were there? And he said two. I said, just in brief, a sentence or two, who happened? He said he gave me a blow job. Right at that point he began - he became instantly teary, I noted in my notes. I then asked him when he first disclosed this, and he started to say in 1999 while he was at Mission Institution on another sentence. He then began to cry, and I noted that he was choked with emotion, unable to speak, continued crying. He began to talk about how this disclosure came about, because he had another friend, a fellow inmate who had been sexually abused, and he was seeing Ms. Peterson for counselling. And by this time, Mr. X, I have noted, was now crying and sobbing, at which point he apologized. He said, I'm sorry. Apologizing for the emotional display. But that was within about five minutes of the commencement of my first interview, My Lord. And that style continued throughout.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So he recomposes himself, and we go on for probably another few minutes, and he then talked about seeing another counsellor at Mission Institution, and he said, this was a major turning point in my life. And he then broke down again and started to cry. And I noted that he continued to cry, he recomposes himself.</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And so that style continued really throughout the interview, My Lord. And what we see there is exactly the kind of coping strategy that I tried to describe where someone holds it together, appears quite calm, composed, normal if you like, outwardly managing things, and then these underlying emotions break through and overwhelm a person, and they unravel emotionally.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So that's why I have described in my report that Mr. X was one of the most emotional people I recall interviewing amongst hundreds in the last few years, because of how extremely overwhelmed he was. And he literally cried, then sobbed, was choked with emotion, really couldn't speak, and that happened repeatedly throughout the nine hours of interviews that I had with him.</w:t>
      </w:r>
    </w:p>
    <w:p>
      <w:pPr>
        <w:numPr>
          <w:numId w:val="3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Dr. Sobey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only witness called by the defence on the subject of the plaintiff's psychological status was Dr. Paul Sobey. He testified as a clinical expert in addiction medicine, with special reference to heroin and cocaine addiction. He testified, in chief,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Dr. Sobey, we have now reviewed the portion - those portions of the report which refer to Mr. X's drug history,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on the basis of that history, can you say whether in your experience it is unusual for someone with a drug history like that to begin using heroin as well?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Taking into account the entirety of this report.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I am not at all surprised that an individual with the addictive - with the medical history as presented in this report began using heroin. I am not at all surprised with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Why do you say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For really what are two reasons: the first reason is that substance dependence is a disease that is characterized by use of a mood-altering substance, because in essence it works. Individuals who activate a dependence syndrome on a mood-altering substance activate it because they are neurologically different than individuals that don't activate, including using a mood-altering substance.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So issue number one is that substance dependence is a disease that is not so much characterized by what substance the individual becomes dependent on, but much more by the clinical course. There is a final common end pathway in the brain for all mood-altering drugs to act. This final end common pathway, called the "mesolimbic dopamine reward system," is well described. All mood-altering drugs act in that system. That is issue number one.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Issue number two is, it's my experience, it's the experience of individuals working in the addictions field, and the literature, and the literature backs up the fact that individuals who are substance dependent choose a substance based on what's available.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If an individual lives in Vancouver, Vancouver is a unique city in the sense that there are a - there is a plethora of pure, cheap, mood-altering drugs available in this city like no other that I have come across in my experience. Vancouver has cheap, pure heroin, cocaine, methamphetamine, marijuana, alcohol, et cetera. They are readily available. And therefore, an individual who has already activated their disease with - in Mr. X's case likely with marijuana and definitively with cocaine activated a severe form of cocaine dependence - the likelihood of that individual being exposed to heroin, considering the life Mr. X lives, is highly likely. And the likelihood that heroin would work in that circumstance, I think, is also highly likely based on the fact that other mood-altering drugs worked and based on the fact that cocaine - the literature demonstrates, that cocaine places individuals at risk of other mood-altering drugs working secondary to its effect in destroying certain receptors in the brain. These receptors, called dopamine D2 receptors, when they are present in small amounts code for a pleasurable response to mood-altering drugs, specifically stimulants.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literature backs this up. It is my opinion that substance dependence, once again, is a disease that is characterized by activating a specific behaviour in exposure to a mood-altering drug, the mood-altering drug that is chosen is dependent on the environment.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But, Dr. Sobey, there is a difference between the effect of cocaine and the effect of heroin. Is that not the case?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There is.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 and we know that the plaintiff here began using cocaine, which has, as I say, a different effect. And I would like you to comment on - what I don't - how is one to understand the fact that Mr. X went from cocaine use to heroin use, when those drugs act so differently, is what I am asking?</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I think the issue is that they don't act so differently. The mechanism of action are where in the brain that target sites in the brain of heroin and cocaine are somewhat different in that cocaine acts directly on the pleasure centre, the nucleus accumbens in the front of the brain.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But how it acts a little back of that pleasure centre, and in individuals who are pre-disposed, causes stimulation of the pleasure centre. Regardless of what mood-altering drug is used, the neuroimaging studies demonstrate increasing levels of dopamine, the neurotransmitter, in the nucleus accumbens, the pleasure centre. They all act in this matter.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So, I think that the real issue is the experience of euphoria, the pleasurable experience that is derived from mood-altering drugs, is pro [inaudible]. It's not a singular event. It has some gradation to it.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But the issue is that in individuals that are pre-disposed, a positive emotional response will occur on exposure to these mood-altering drugs, or in the least, in an individual who has a negative emotional state, will have that state altered to a less negative emotional state. But if the neurological, biological precepts aren't there in that person's brain, the mood-altering drug will not work.</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literature unequivocally points to that, especially recent literature looking at - especially recent literature looking at the concentration of a receptor in the brain, as I have mentioned, called "dopamine D2 receptors".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very interesting study done recently imaged the concentration of these receptors in the brain of a number of individuals in the study, 16 or so. And then they were given intravenous - an intravenous stimulant, similar to cocaine, called "methylphenidate". The concentration of those receptors directly correlated to a pleasurable response. The lower the number of receptors, the higher the pleasurable response. And then we look at dopamine D2 receptors in heroin addicts, speed addicts, cocaine addicts, alcohol addicts, marijuana addicts, and we find they all have low concentrations of those D2 receptors.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Now, did those pre-exist? Did that finding pre-exist their becoming addicted on those drugs? Well, we know that all of those drugs cause reduction in D2 receptor populations. Therefore, if I activate on cocaine, it's more likely - likely that heroin is going to work.</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But regardless, if I were genetically pre-disposed because I had that specific brain and makeup, or not, the mood-altering drug use causes it to occur, so to say. It causes a specific form of brain damage that pre-disposes the individual to receive a beneficial response to further mood-altering drugs.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are talking about damage to the receptors?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How significantly in dollar terms has the plaintiff's life been impacted by the sexual assaults?</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Causation</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On this issue, plaintiff's counsel relied upon the decision in W.R.B. v. Plint </w:t>
      </w:r>
      <w:hyperlink r:id="rId122" w:history="1">
        <w:r>
          <w:rPr>
            <w:rFonts w:ascii="arial" w:eastAsia="arial" w:hAnsi="arial" w:cs="arial"/>
            <w:i/>
            <w:color w:val="0077CC"/>
            <w:sz w:val="20"/>
            <w:u w:val="single"/>
            <w:shd w:val="clear" w:color="auto" w:fill="FFFFFF"/>
            <w:lang w:val="en-US" w:eastAsia="en-US" w:bidi="ar-SA"/>
          </w:rPr>
          <w:t>(2001), 93 B.C.L.R. (3d) 228</w:t>
        </w:r>
      </w:hyperlink>
      <w:r>
        <w:rPr>
          <w:rFonts w:ascii="arial" w:eastAsia="arial" w:hAnsi="arial" w:cs="arial"/>
          <w:color w:val="000000"/>
          <w:sz w:val="20"/>
          <w:lang w:val="en-US" w:eastAsia="en-US" w:bidi="ar-SA"/>
        </w:rPr>
        <w:t xml:space="preserve"> (S.C.), reversed on other grounds, </w:t>
      </w:r>
      <w:hyperlink r:id="rId123" w:history="1">
        <w:r>
          <w:rPr>
            <w:rFonts w:ascii="arial" w:eastAsia="arial" w:hAnsi="arial" w:cs="arial"/>
            <w:i/>
            <w:color w:val="0077CC"/>
            <w:sz w:val="20"/>
            <w:u w:val="single"/>
            <w:shd w:val="clear" w:color="auto" w:fill="FFFFFF"/>
            <w:lang w:val="en-US" w:eastAsia="en-US" w:bidi="ar-SA"/>
          </w:rPr>
          <w:t>(2003) 235 D.L.R. (4th) 60</w:t>
        </w:r>
      </w:hyperlink>
      <w:r>
        <w:rPr>
          <w:rFonts w:ascii="arial" w:eastAsia="arial" w:hAnsi="arial" w:cs="arial"/>
          <w:color w:val="000000"/>
          <w:sz w:val="20"/>
          <w:lang w:val="en-US" w:eastAsia="en-US" w:bidi="ar-SA"/>
        </w:rPr>
        <w:t xml:space="preserve"> (C.A.). In that case, Brenner C.J.S.C. reviewed the principles to be applied in determining causation in cases involving allegations of historical sexual abuse. Using Athey v. Leonati, </w:t>
      </w:r>
      <w:hyperlink r:id="rId12"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as his starting point, His Lordship stated at paras. 360 to 365, as follows:</w:t>
      </w:r>
      <w:r>
        <w:rPr>
          <w:rFonts w:ascii="arial" w:eastAsia="arial" w:hAnsi="arial" w:cs="arial"/>
          <w:sz w:val="20"/>
          <w:lang w:val="en-US" w:eastAsia="en-US" w:bidi="ar-SA"/>
        </w:rPr>
        <w:cr/>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Athey at paras. 13-15, 23, the Supreme Court set out the following principles to be applied in determining causation:</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Causation is established where the plaintiff proves to the civil standard on a balance of probabilities that the defendant caused or contributed to the injury;</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general, but not conclusive, test for causation is the "but for" test, which requires the plaintiff to show that the injury would not have occurred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"but for" test is unworkable in some circumstances, so the courts have recognized that causation is established where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"materially contributed" to the occurrence of the injury;</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Apportionment between tortious and non-tortious causes is contrary to the principles of tort law, because the defendant would escape full liability even though he or she caused or contributed to the plaintiff's entire injuries. The plaintiff would not be adequately compensated, since the plaintiff would not be placed in the position he or she would have been in absent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pre-disposition to a problem is not sufficient to diminish liability. The Court continued at paragraph 34-35 to note that the "thin skull" rule makes: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The tortfeasor liable for the plaintiff's injuries even if the injuries are unexpectedly severe owing to a pre-existing condition.</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contrast, the "crumbling skull" rule recognizes that: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defendant is liable for the injuries caused, even if they are extreme, but need not compensate the plaintiff for any debilitating effects of the pre-existing condition which the plaintiff would have experienced anyway. The defendant is liable for the additional damages but not the pre-existing damage ... </w:t>
      </w:r>
      <w:r>
        <w:rPr>
          <w:rFonts w:ascii="arial" w:eastAsia="arial" w:hAnsi="arial" w:cs="arial"/>
          <w:color w:val="000000"/>
          <w:sz w:val="20"/>
          <w:u w:val="single"/>
          <w:lang w:val="en-US" w:eastAsia="en-US" w:bidi="ar-SA"/>
        </w:rPr>
        <w:t xml:space="preserve">Likewise, if there is a measurable risk that the pre-existing condition would have detrimentally affected the plaintiff in the future, regardless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u w:val="single"/>
          <w:lang w:val="en-US" w:eastAsia="en-US" w:bidi="ar-SA"/>
        </w:rPr>
        <w:t>, then this can be taken into account in reducing the overall award</w:t>
      </w:r>
      <w:r>
        <w:rPr>
          <w:rFonts w:ascii="arial" w:eastAsia="arial" w:hAnsi="arial" w:cs="arial"/>
          <w:color w:val="000000"/>
          <w:sz w:val="20"/>
          <w:lang w:val="en-US" w:eastAsia="en-US" w:bidi="ar-SA"/>
        </w:rPr>
        <w:t>.</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How are these principles to be applied in this case? Once a sexual assault has been proven, the court must consider (a) the extent to which that act has caused the plaintiff an injury and, further, (b) whether that injury has caused the plaintiff a loss. The former is concerned with establishing the existence of liability; the latter with the extent of that liability.</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this classification, "injury" refers to the initial physical or mental impairment of the plaintiff's person as a result of the sexual assault, while "loss" refers to the pecuniary or non-pecuniary consequences of that impairment. In other words, the issue of causation applies both to considerations of establishing liability for a specific injury and to considerations of establishing damages for that injury.</w:t>
      </w:r>
    </w:p>
    <w:p>
      <w:pPr>
        <w:numPr>
          <w:numId w:val="4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 cases of historical sexual assault, the plaintiff is likely to be claiming for chronic injuries, often psychological in nature. It is not uncommon for the life history of a victim of a historical sexual assault to include numerous stressful, unpleasant experiences unrelated to the sexual assault. Individuals, such as the plaintiffs in these matters, come before the courts with diagnoses of post-traumatic stress disorder, depression, substance abuse and other psychological conditions. Unravelling the question of causation in these cases arising as they do from torts committed so long ago is a daunting task.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After determining that no new principles of law arose from the decision in Athey, supra, the Chief Justice went on to apply Major J.'s restatement of the law of causation to cases involving allegations of historical sexual abuse at paras. 370 to 375, as follows:</w:t>
      </w:r>
      <w:r>
        <w:rPr>
          <w:rFonts w:ascii="arial" w:eastAsia="arial" w:hAnsi="arial" w:cs="arial"/>
          <w:sz w:val="20"/>
          <w:lang w:val="en-US" w:eastAsia="en-US" w:bidi="ar-SA"/>
        </w:rPr>
        <w:cr/>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Athey, after he set out the "General Principles" at paragraphs 13-20 of his reasons, Major J. applied them to the facts of that case. His formulation at para. 41 of the ramifications of these "General Principles" can be adapted here where the plaintiffs allege psychological injury arising from sexual assaults in the presence of other psychologically traumatic circumstances in their lives:</w:t>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psychological injury would have occurred at the same time, without the injuries sustained in the sexual assault, then causation is not proven;</w:t>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it was necessary to have both the sexual assaults and the other life circumstances for the psychological injury to occur, then causation is proven since the psychological injury would not have occurred but for the sexual assaults;</w:t>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sexual assaults alone could have been a sufficient cause, and the other life circumstances alone could have been a sufficient cause, then it is unclear which was the cause in fact of the psychological injury. The trial judge must determine, on a balance of probabilities, whether the defendant's sexual assault(s) materially contributed to the psychological injury.</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How are the Athey principles to be applied in the case at bar? The desired approach would be to first identify the separate psychological injuries proven by the plaintiff. Then, for each one, the three questions set out above could be posed to determine whether the plaintiff has proven on the balance of probabilities that each particular psychological injury was caused by the proven sexual assault; i.e. that liability for that injury has been established.</w:t>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approach is seen in V.(J.L.) v. H.(P.) </w:t>
      </w:r>
      <w:hyperlink r:id="rId124" w:history="1">
        <w:r>
          <w:rPr>
            <w:rFonts w:ascii="arial" w:eastAsia="arial" w:hAnsi="arial" w:cs="arial"/>
            <w:i/>
            <w:color w:val="0077CC"/>
            <w:sz w:val="20"/>
            <w:u w:val="single"/>
            <w:shd w:val="clear" w:color="auto" w:fill="FFFFFF"/>
            <w:lang w:val="en-US" w:eastAsia="en-US" w:bidi="ar-SA"/>
          </w:rPr>
          <w:t>(1997), 31 B.C.L.R. (3d) 155</w:t>
        </w:r>
      </w:hyperlink>
      <w:r>
        <w:rPr>
          <w:rFonts w:ascii="arial" w:eastAsia="arial" w:hAnsi="arial" w:cs="arial"/>
          <w:color w:val="000000"/>
          <w:sz w:val="20"/>
          <w:lang w:val="en-US" w:eastAsia="en-US" w:bidi="ar-SA"/>
        </w:rPr>
        <w:t xml:space="preserve"> (S.C.) where Stromberg-Stein J. found separate and distinct psychological injuries in a sexual assault case: borderline personality disorder and post-traumatic stress disorder. She found the former to have been caused by the sexual assault but the latter to have been a distinct injury caused by a different event. She assessed damages accordingly.</w:t>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But often these injuries are not such discrete events in the plaintiff's life history. Particularly in cases of this nature such compartmentalization often cannot be achieved. It is frequently virtually impossible to differentiate specific psychological ailments caused by sexual abuse from specific psychological ailments caused by other life events. This is especially so when the time period under consideration spans decades.</w:t>
      </w:r>
    </w:p>
    <w:p>
      <w:pPr>
        <w:numPr>
          <w:numId w:val="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Athey Major J. considered instances where it would be appropriate to limit the plaintiff's entitlement to damages, even where causation has been proven with respect to liability. In doing so, Major J. restated the following fundamental principle at para. 32:</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essential purpose and most basic principle of tort law is that the plaintiff must be placed in the position he or she would have been in absent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"original position"). However, the plaintiff is not to be placed in a position better than his or her original one. It is therefore necessary not only to determine the plaintiff's position after the tort but also to assess what the "original position" would have been. It is the difference between these positions, the "original position" and the "injured position", which is the plaintiff's loss.</w:t>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proposition is simple to articulate: the measure of the plaintiffs' damages is the difference between the position they would have been in absent the sexual abuse, and the position they occupy now given the occurrence of the sexual abuse. The challenge lies in its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Smith J.A., at para. 149 of the appeal decision, expressly approved the law set out in paras. 374 and 375 of the above quote as a "correct statement of 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At paras. 381 to 385 of the trial decision, the Chief Justice distinguished between "thin skull" plaintiffs, i.e., those extraordinarily sensitive to tortious injury, and "crumbling skull" plaintiffs, i.e., plaintiffs already likely to suffer injury in the absence of any tortious act:</w:t>
      </w:r>
      <w:r>
        <w:rPr>
          <w:rFonts w:ascii="arial" w:eastAsia="arial" w:hAnsi="arial" w:cs="arial"/>
          <w:sz w:val="20"/>
          <w:lang w:val="en-US" w:eastAsia="en-US" w:bidi="ar-SA"/>
        </w:rPr>
        <w:cr/>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Athey also addresses the relevance of pre-existing conditions. In British Columbia the "thin skull" and "crumbling skull" principles have traditionally addressed the issue of a pre-existing condition. Although the two principles are related, they differ in terms of the assessment of damages.</w:t>
      </w:r>
    </w:p>
    <w:p>
      <w:pPr>
        <w:numPr>
          <w:numId w:val="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a thin skull case, a plaintiff will recover full damages for the injuries suffered. In a crumbling skull case, a reduction in the quantum of damages will be made to account for the plaintiff's pre-existing condition (Whitfield [v. Calhoun </w:t>
      </w:r>
      <w:hyperlink r:id="rId125" w:history="1">
        <w:r>
          <w:rPr>
            <w:rFonts w:ascii="arial" w:eastAsia="arial" w:hAnsi="arial" w:cs="arial"/>
            <w:i/>
            <w:color w:val="0077CC"/>
            <w:sz w:val="20"/>
            <w:u w:val="single"/>
            <w:shd w:val="clear" w:color="auto" w:fill="FFFFFF"/>
            <w:lang w:val="en-US" w:eastAsia="en-US" w:bidi="ar-SA"/>
          </w:rPr>
          <w:t>(1999), 242 A.R. 201</w:t>
        </w:r>
      </w:hyperlink>
      <w:r>
        <w:rPr>
          <w:rFonts w:ascii="arial" w:eastAsia="arial" w:hAnsi="arial" w:cs="arial"/>
          <w:color w:val="000000"/>
          <w:sz w:val="20"/>
          <w:lang w:val="en-US" w:eastAsia="en-US" w:bidi="ar-SA"/>
        </w:rPr>
        <w:t xml:space="preserve"> (Q.B.)] at para. 94).</w:t>
      </w:r>
    </w:p>
    <w:p>
      <w:pPr>
        <w:numPr>
          <w:numId w:val="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case of Pryor v. Bains and Johal </w:t>
      </w:r>
      <w:hyperlink r:id="rId126" w:history="1">
        <w:r>
          <w:rPr>
            <w:rFonts w:ascii="arial" w:eastAsia="arial" w:hAnsi="arial" w:cs="arial"/>
            <w:i/>
            <w:color w:val="0077CC"/>
            <w:sz w:val="20"/>
            <w:u w:val="single"/>
            <w:shd w:val="clear" w:color="auto" w:fill="FFFFFF"/>
            <w:lang w:val="en-US" w:eastAsia="en-US" w:bidi="ar-SA"/>
          </w:rPr>
          <w:t>(1986), 69 B.C.L.R. 395</w:t>
        </w:r>
      </w:hyperlink>
      <w:r>
        <w:rPr>
          <w:rFonts w:ascii="arial" w:eastAsia="arial" w:hAnsi="arial" w:cs="arial"/>
          <w:color w:val="000000"/>
          <w:sz w:val="20"/>
          <w:lang w:val="en-US" w:eastAsia="en-US" w:bidi="ar-SA"/>
        </w:rPr>
        <w:t xml:space="preserve"> (C.A.) suggests that the distinction between thin and crumbling skull depends on whether the pre-existing condition was present and disabling at the time of the tort. The Court said at 399-400:</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I do not consider this to be a case for the application of the "thin skull" principle of assessing damages. The present case, where there was a pre-existing condition, as found by the trial judge, already manifest and presently disabling, must be distinguished from the "thin skull" cases where the weakness or latent susceptibility of the victim is quiescent but is activated into being as a result of the tortious conduct of another.</w:t>
      </w:r>
    </w:p>
    <w:p>
      <w:pPr>
        <w:numPr>
          <w:numId w:val="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Courts have struggled with this distinction when dealing with psychological or emotional injuries. As stated by Paperny J. in Whitfield at para. 97:</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The application of the thin skull and crumbling skull principles appears more difficult in terms of psychological or emotional injury than it is for physical injuries, which tend to be more easily identifiable or capable of diagnosis and categorization. The language historically used to distinguish between a thin and crumbling skull does not lend itself well to the issues before the court. Can paranoid or schizoid personality traits be adequately assessed in terms of whether they are latent or manifest prior to the accident? If manifested but untreated, do they subside or resolve? Do they endure but remain manageable absent exacerbating circumstances? In my view, Athey, supra, helps to simplify the analysis.</w:t>
      </w:r>
    </w:p>
    <w:p>
      <w:pPr>
        <w:numPr>
          <w:numId w:val="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Significantly, the discussion in Athey avoids this "thin skull/crumbling skull" terminology. Major J. outlined the principles at paras. 34-35:</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The "crumbling skull" doctrine is an awkward label for a fairly simple idea. It is named after the well-known "thin skull" rule, which makes the tortfeasor liable for the plaintiff's injuries even if the injuries are unexpectedly severe owing to a pre-existing condition. The tortfeasor must take his or her victim as the tortfeasor finds the victim, and is therefore liable even though the plaintiff's losses are more dramatic than they would be for the average person.</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so-called "crumbling skull" rule simply recognizes that the pre-existing condition was inherent in the plaintiff's "original position". The defendant need not put the plaintiff in a position better than his or her original position. </w:t>
      </w:r>
      <w:r>
        <w:rPr>
          <w:rFonts w:ascii="arial" w:eastAsia="arial" w:hAnsi="arial" w:cs="arial"/>
          <w:color w:val="000000"/>
          <w:sz w:val="20"/>
          <w:u w:val="single"/>
          <w:lang w:val="en-US" w:eastAsia="en-US" w:bidi="ar-SA"/>
        </w:rPr>
        <w:t>The defendant is liable for the injuries caused, even if they are extreme, but need not compensate the plaintiff for any debilitating effects of the pre-existing condition which the plaintiff would have experienced anyway</w:t>
      </w:r>
      <w:r>
        <w:rPr>
          <w:rFonts w:ascii="arial" w:eastAsia="arial" w:hAnsi="arial" w:cs="arial"/>
          <w:color w:val="000000"/>
          <w:sz w:val="20"/>
          <w:lang w:val="en-US" w:eastAsia="en-US" w:bidi="ar-SA"/>
        </w:rPr>
        <w:t xml:space="preserve">. The defendant is liable for the additional damage but not the pre-existing damage. ... Likewise, </w:t>
      </w:r>
      <w:r>
        <w:rPr>
          <w:rFonts w:ascii="arial" w:eastAsia="arial" w:hAnsi="arial" w:cs="arial"/>
          <w:color w:val="000000"/>
          <w:sz w:val="20"/>
          <w:u w:val="single"/>
          <w:lang w:val="en-US" w:eastAsia="en-US" w:bidi="ar-SA"/>
        </w:rPr>
        <w:t xml:space="preserve">if there is a measurable risk that the pre-existing condition would have detrimentally affected the plaintiff in the future, regardless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u w:val="single"/>
          <w:lang w:val="en-US" w:eastAsia="en-US" w:bidi="ar-SA"/>
        </w:rPr>
        <w:t>, then this can be taken into account in reducing the overall award</w:t>
      </w:r>
      <w:r>
        <w:rPr>
          <w:rFonts w:ascii="arial" w:eastAsia="arial" w:hAnsi="arial" w:cs="arial"/>
          <w:color w:val="000000"/>
          <w:sz w:val="20"/>
          <w:lang w:val="en-US" w:eastAsia="en-US" w:bidi="ar-SA"/>
        </w:rPr>
        <w:t>. This is consistent with the general rule that the plaintiff must be returned to the position he would have been in, with all of its attendant risks and shortcomings, and not a better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In T.W.N.A. v. Clarke, </w:t>
      </w:r>
      <w:hyperlink r:id="rId127" w:history="1">
        <w:r>
          <w:rPr>
            <w:rFonts w:ascii="arial" w:eastAsia="arial" w:hAnsi="arial" w:cs="arial"/>
            <w:i/>
            <w:color w:val="0077CC"/>
            <w:sz w:val="20"/>
            <w:u w:val="single"/>
            <w:shd w:val="clear" w:color="auto" w:fill="FFFFFF"/>
            <w:lang w:val="en-US" w:eastAsia="en-US" w:bidi="ar-SA"/>
          </w:rPr>
          <w:t>[2003] B.C.J. No. 2747</w:t>
        </w:r>
      </w:hyperlink>
      <w:r>
        <w:rPr>
          <w:rFonts w:ascii="arial" w:eastAsia="arial" w:hAnsi="arial" w:cs="arial"/>
          <w:color w:val="000000"/>
          <w:sz w:val="20"/>
          <w:lang w:val="en-US" w:eastAsia="en-US" w:bidi="ar-SA"/>
        </w:rPr>
        <w:t xml:space="preserve">, Smith J.A., speaking for the Court, referred to the analysis of Newbury J.A. in York v. Johnston </w:t>
      </w:r>
      <w:hyperlink r:id="rId128" w:history="1">
        <w:r>
          <w:rPr>
            <w:rFonts w:ascii="arial" w:eastAsia="arial" w:hAnsi="arial" w:cs="arial"/>
            <w:i/>
            <w:color w:val="0077CC"/>
            <w:sz w:val="20"/>
            <w:u w:val="single"/>
            <w:shd w:val="clear" w:color="auto" w:fill="FFFFFF"/>
            <w:lang w:val="en-US" w:eastAsia="en-US" w:bidi="ar-SA"/>
          </w:rPr>
          <w:t>(1997), 37 B.C.L.R. (3d) 235</w:t>
        </w:r>
      </w:hyperlink>
      <w:r>
        <w:rPr>
          <w:rFonts w:ascii="arial" w:eastAsia="arial" w:hAnsi="arial" w:cs="arial"/>
          <w:color w:val="000000"/>
          <w:sz w:val="20"/>
          <w:lang w:val="en-US" w:eastAsia="en-US" w:bidi="ar-SA"/>
        </w:rPr>
        <w:t>. The plaintiff in that case suffered a relapse of her multiple sclerosis after being injured in an automobile accident. Her Ladyship characterized it as a "thin skull" case in which it was not appropriate to apportion liability, but held that the trial judge was nonetheless entitled to reduce the plaintiff's damages to reflect the risk of relapse that was inherent in her pre-accident state. His Lordship said that Newbury J.A.'s comments on the distinction between causation and compensation were apt in the context of T.W.N.A., and he quoted the following passage from paras. 5 and 6 of the York judgment:</w:t>
      </w:r>
      <w:r>
        <w:rPr>
          <w:rFonts w:ascii="arial" w:eastAsia="arial" w:hAnsi="arial" w:cs="arial"/>
          <w:sz w:val="20"/>
          <w:lang w:val="en-US" w:eastAsia="en-US" w:bidi="ar-SA"/>
        </w:rPr>
        <w:cr/>
      </w:r>
    </w:p>
    <w:p>
      <w:pPr>
        <w:numPr>
          <w:numId w:val="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certainly difficult to differentiate conceptually in a case such as this one, between the court's task with respect to causation - making findings as to past events which may result in the apportionment of damages - and the court's task with respect to the measurement of damages - a task that includes considering events that might have occurred in the future "but for" the accident and what may happen in the future in light of the accident, and which usually results in the discounting or reduction of damages ...</w:t>
      </w:r>
    </w:p>
    <w:p>
      <w:pPr>
        <w:numPr>
          <w:numId w:val="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Of course, the judgment as to the measure of damages is a much more subtle one than that as to causation, not only because it involves a consideration of mere contingencies as well as probabilities, but because of the range of results available in the discounting of the award, as opposed to the "all or nothing" choice that must be made with respect to causation. But the two issues do not operate at cross-purposes even where, as in this case, there is only one "cause" in tort law for the plaintiff's injury. The question is what award is appropriate to reflect the difference between the plaintiff's original state (including the risk, to which she was subject immediately prior to the accident, of the relapse of her latent condition) and the state in which she now finds herself.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Plaintiff's counsel said that it was important to note, however, that in Athey, supra, there was no finding of any measurable risk that the plaintiff's disc herniation would have occurred without the accident, and the award was not reduced.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Plaintiff's counsel submitted that, in the instant case, it continues to be a matter of fact whether or not there was some latent condition which had a measurable likelihood of becoming manifest. She said that in most cases that determination can only reasonably be made with reference to expert evidence on the issue. It is then the task of the trial judge to assess the damages based on the difference between the plaintiff's present condition and the likely trajectory in the absence of the sexual assaults.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On the issue of the extent to which the sexual assaults by R.D.M. contributed to the plaintiff's substance abuse problems, and particularly his addiction to heroin, Dr. Ley opined that it played a major role, stating, in part, at p. 21 of his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Although Mr. X had a very serious phase of crack cocaine abuse for about three months prior to being incarcerated at LMRCC, </w:t>
      </w:r>
      <w:r>
        <w:rPr>
          <w:rFonts w:ascii="arial" w:eastAsia="arial" w:hAnsi="arial" w:cs="arial"/>
          <w:color w:val="000000"/>
          <w:sz w:val="20"/>
          <w:u w:val="single"/>
          <w:lang w:val="en-US" w:eastAsia="en-US" w:bidi="ar-SA"/>
        </w:rPr>
        <w:t>his post Oakalla maladjustment, as well as his negative mood and self concept is largely attributable to the impact of the sexual assaults upon him</w:t>
      </w:r>
      <w:r>
        <w:rPr>
          <w:rFonts w:ascii="arial" w:eastAsia="arial" w:hAnsi="arial" w:cs="arial"/>
          <w:color w:val="000000"/>
          <w:sz w:val="20"/>
          <w:lang w:val="en-US" w:eastAsia="en-US" w:bidi="ar-SA"/>
        </w:rPr>
        <w:t xml:space="preserve">. Since Mr. X was sexually assaulted, his psychological functioning has been organized around a psychological core of very low self-esteem. As is very common for victims of sexual abuse, Mr. X has experienced strong feelings of shame and embarrassment, as well as guilt associated with Mr. X's sense of responsibility for capitulating to the sexual assault. Similar to most victims of sexual abuse, Mr. X blames himself for the occurrence of the abuse. </w:t>
      </w:r>
      <w:r>
        <w:rPr>
          <w:rFonts w:ascii="arial" w:eastAsia="arial" w:hAnsi="arial" w:cs="arial"/>
          <w:color w:val="000000"/>
          <w:sz w:val="20"/>
          <w:u w:val="single"/>
          <w:lang w:val="en-US" w:eastAsia="en-US" w:bidi="ar-SA"/>
        </w:rPr>
        <w:t>That negative attitude towards himself has been expressed in much self-criticism, and indirectly self-destructive behaviour such as bombarding himself with drugs, constant criminality, and reckless, dangerous behaviour (such as engaging in high speed chases with pursuing police)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Counsel argued that the only evidence that purports to contradict Dr. Ley's opinion that the plaintiff's involvement with heroin was a reaction to the sexual abuse by R.D.M. is the evidence of Dr. Sobey.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Plaintiff's counsel pointed out that Dr. Sobey, a medical doctor, testified that:</w:t>
      </w:r>
      <w:r>
        <w:rPr>
          <w:rFonts w:ascii="arial" w:eastAsia="arial" w:hAnsi="arial" w:cs="arial"/>
          <w:sz w:val="20"/>
          <w:lang w:val="en-US" w:eastAsia="en-US" w:bidi="ar-SA"/>
        </w:rPr>
        <w:cr/>
      </w:r>
    </w:p>
    <w:p>
      <w:pPr>
        <w:numPr>
          <w:numId w:val="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was certified in the area of addiction medicine three years ago;</w:t>
      </w:r>
    </w:p>
    <w:p>
      <w:pPr>
        <w:numPr>
          <w:numId w:val="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limits his practice to the treatment of people with addictive disorders;</w:t>
      </w:r>
    </w:p>
    <w:p>
      <w:pPr>
        <w:numPr>
          <w:numId w:val="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is primarily a clinician, not a researcher;</w:t>
      </w:r>
    </w:p>
    <w:p>
      <w:pPr>
        <w:numPr>
          <w:numId w:val="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had no special training in sexual abuse;</w:t>
      </w:r>
    </w:p>
    <w:p>
      <w:pPr>
        <w:numPr>
          <w:numId w:val="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had no special training in PTSD;</w:t>
      </w:r>
    </w:p>
    <w:p>
      <w:pPr>
        <w:numPr>
          <w:numId w:val="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has had no special training in neurology;</w:t>
      </w:r>
    </w:p>
    <w:p>
      <w:pPr>
        <w:numPr>
          <w:numId w:val="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had no training in forensic medicine;</w:t>
      </w:r>
    </w:p>
    <w:p>
      <w:pPr>
        <w:numPr>
          <w:numId w:val="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reviewed several hundred pages of documents which are not in evidence in this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Counsel noted that Dr. Sobey has never met the plaintiff. She also noted that Dr. Sobey did not offer an opinion that the plaintiff's addiction to heroin was not caused or materially contributed to by the sexual abuse by R.D.M. Counsel said that Dr. Sobey merely advised the Court that he was "not surprised" that an individual with the plaintiff's medical history began using heroin.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Dr. Sobey explained that there is a certain sector of the population who are neurologically predisposed to experience a pleasurable response to the use of drugs, and seemingly he believes the plaintiff was one of them because he developed a substance abuse disorder. Having developed a substance abuse disorder, in Dr. Sobey's opinion he chose a substance based on what was available. At the same time Dr. Sobey told the Court that Vancouver provided a plethora of pure, cheap, mood-altering drugs.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Plaintiff's counsel submitted that Dr. Sobey's views on this point are of no assistance to the Court. She said that whether or not he is surprised that a person such as the plaintiff became addicted to heroin is immaterial. She also submitted that it is similarly of no assistance to learn that a portion of the population are predisposed to experiencing a pleasurable reaction to drugs. There is no evidence either that it is only those people who become addicted to heroin, or that all or even most of those people become addicted to heroin. And, counsel noted, there is certainly no evidence that at the time the plaintiff became involved with heroin it was the only drug available; counsel said that indeed Dr. Sobey's own evidence suggests the opposite.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Lastly, counsel submitted, Dr. Sobey speculates that the plaintiff's brain may have become damaged, because of his prior use of cocaine, such that heroin would be more likely to create positive sensations. Counsel said this raises the question of what defect initiated the substance abuse disorder in the first place: Dr. Sobey did not say how or why it is that people without previously damaged D-2 receptors have a positive response to heroin. Counsel said, in short Dr. Sobey's evidence does not explain why the plaintiff moved from marijuana and cocaine to heroin.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Counsel submitted that Dr. Sobey's evidence does, however, help explain why it is that it is so hard for someone in the plaintiff's circumstances to give up heroin. Dr. Sobey said that for most people heroin would alleviate physical pain, and for about 15% of the population it would alleviate a negative emotional state. Dr. Sobey agreed that, assuming two people were neurologically the same, the one with lower self-esteem would be more vulnerable to embarking on a path that led to substance abuse. He agreed that copious amounts of alcohol can have the effect of submerging unsettling feelings about being sexually assaulted.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Dr. Sobey also stated that he had had an opportunity to review the literature on the relationship between post-traumatic stress disorder and substance abuse. He agreed that the sexually abused population has a higher incidence of opiate dependence, and substance abuse. He said that substance abusers with PTSD have poorer prognoses, and specifically higher rates of relapse and a lower success rate in recovery. Dr. Sobey agreed that if a patient had emotional distress which was addressed by using heroin, and they stopped using heroin to go on the methadone program, the emotional distress would surface. He agreed that people with post-traumatic stress disorders will re-experience drug cravings in response to a revival of those traumatic cues, and that trauma plays a role in an addicted person's ability to fight the addiction.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Counsel argued that it is important to note that Dr. Ley did testify that, given the plaintiff's drug abuse prior to Oakalla, he would likely have been a drug dependent individual for a period post Oakalla. However, she submitted that, absent the abuse, his pattern of drug dependence was more likely to follow that of K., i.e., a period of abuse of cocaine followed by abstinence. The plaintiff testified that he did not continue his drug use in Oakalla, or for some time after he left Oakalla, because he recognized that it was his drug problem which led to his imprisonment. But, counsel contended, his need to blot out the memories of his abuse caused him to turn to alcohol and later heroin, leaving the more stimulating world of cocaine behind.</w:t>
      </w:r>
      <w:r>
        <w:rPr>
          <w:rFonts w:ascii="arial" w:eastAsia="arial" w:hAnsi="arial" w:cs="arial"/>
          <w:sz w:val="20"/>
          <w:lang w:val="en-US" w:eastAsia="en-US" w:bidi="ar-SA"/>
        </w:rPr>
        <w:cr/>
      </w:r>
    </w:p>
    <w:p>
      <w:pPr>
        <w:numPr>
          <w:numId w:val="5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defence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Defence counsel submitted that the principle expressed in Athey and T.W.N.A., supra, and K.L.B. v. B.C., </w:t>
      </w:r>
      <w:hyperlink r:id="rId129" w:history="1">
        <w:r>
          <w:rPr>
            <w:rFonts w:ascii="arial" w:eastAsia="arial" w:hAnsi="arial" w:cs="arial"/>
            <w:i/>
            <w:color w:val="0077CC"/>
            <w:sz w:val="20"/>
            <w:u w:val="single"/>
            <w:shd w:val="clear" w:color="auto" w:fill="FFFFFF"/>
            <w:lang w:val="en-US" w:eastAsia="en-US" w:bidi="ar-SA"/>
          </w:rPr>
          <w:t>[2003] 2 S.C.R. 403</w:t>
        </w:r>
      </w:hyperlink>
      <w:r>
        <w:rPr>
          <w:rFonts w:ascii="arial" w:eastAsia="arial" w:hAnsi="arial" w:cs="arial"/>
          <w:color w:val="000000"/>
          <w:sz w:val="20"/>
          <w:lang w:val="en-US" w:eastAsia="en-US" w:bidi="ar-SA"/>
        </w:rPr>
        <w:t>, that a defendant does not have an obligation to put a plaintiff in a better position than he or she otherwise would have been absent the wrong, is of particular importance in the instant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Counsel contended that the plaintiff in the instant case suffered from both latent and active pre-existing conditions at the time of the sexual assaults, and that both of these "must be considered in assessing the plaintiff's original position": See T.W.N.A., supra, at para. 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The defence also claimed that the plaintiff has had intervening life events subsequent to the assaults that have adversely affected him and his ability to earn an income, and that these are limiting principles that directly affect the quantum of his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Defence counsel submitted that these limiting principles were discussed in Athey, supra, where the Court affirmed that the onus on a plaintiff in a personal injury action is to establish, on a balance of probabilities, that the defendant's conduct materially contributed to the plaintiff's injury. Counsel contended that the issue of causation need not be determined with scientific precision, but is "essentially a practical question of fact which can best be answered by ordinary common sense": Athey, supra, at para. 16. Counsel said that at the same time, the Court emphasized that a defendant need not compensate a plaintiff for injuries that resulted from other causes. He said that for this reason, the law separates out pre-existing conditions, and subsequent intervening events, when assessing damages: see Athey, supra, at para. 32: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essential purpose and most basic principle of tort law is that the plaintiff must be placed in the position he or she would have been absent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"original position"). However, the plaintiff is not to be placed in a position better than his or her original one. It is therefore necessary not only to determine the plaintiff's position after the tort but also to assess what the "original position" would have been. It is the difference between these positions, the "original position" and the "injured position", which is the plaintiff's loss. In the cases referred to above, the intervening event was unrelated to the tort and therefore affected the plaintiff's "original position". The net loss was therefore not as great as it might have otherwise seemed, so damages were reduced to reflect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Counsel also submitted that in K.L.B., supra, the Court held that it is correct when determining the damages to be awarded, to give particular attention to the plaintiff's early childhood experiences and life pre-abuse. Counsel argued that the same limiting principles apply to the instant case. He said that as noted by Chief Justice Brenner in W.R.B. v. Plint, supra, at para. 373, "it is frequently virtually impossible to differentiate specific psychological ailments caused by sexual abuse from specific psychological ailments caused by other life events. This is particularly so when the time period under consideration spans decades."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Defence counsel asserted that in the case at bar, it seems abundantly clear that the plaintiff was a "crumbling skull", rather than a "thin skull" plaintiff: he was engaging in criminal behaviour which caused him to be incarcerated at Oakalla in 1988; he was addicted to cocaine in the months preceding his incarceration at Oakalla; his cocaine use in the months preceding his incarceration was acknowledged to be "prodigious"; he was a regular user of marijuana from his early teens, and was trafficking in it by his high school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Defence counsel noted that Dr. Ley reported that the plaintiff, "seemingly did not have a conduct disorder" as a child. He also noted that Dr. Ley diagnosed the plaintiff as having a serious antisocial personality disorder in 2003, although childhood conduct disorder, which is the precursor for the latter, was not present in the plaintiff's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Defence counsel also submitted that the plaintiff seeks remedies that would place him in a better position than he otherwise could have expected. He said that the plaintiff's pre-existing drug abuse was such that there was a measurable risk it would have detrimentally affected him in the future. Counsel argued that that risk factor must serve to reduce the overall award of damages to the plaintiff. He said that, as noted in Athey, supra, at para. 35, this is "consistent with the general rule that the plaintiff must be returned to the position he would have been in, with all of its attendant risks and shortcomings, and not in a better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Defence counsel also noted that Dr. Ley concluded in his report that the plaintiff tended to underreport his symptoms and was very invested in conveying normalcy and good self control, while denying any significant problems or emotional upset in his life. And yet, counsel said, incongruously, Dr. Ley noted in his report that the plaintiff was emotionally fragile during his interviews to such an extent that he was "perhaps the most emotional individual that I recall interviewing amongst hundreds over the last few years." Counsel submitted that the cause of that fragility is not borne out by the objective test results.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Counsel also contended that this noted "emotional fragility" was in stark contrast to the manner in which the plaintiff testified in court, stating that the plaintiff maintained control of his emotions almost completely, and that he only lost his composure briefly during his direct examination concerning the assaults.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Defence counsel said that Dr. Ley acknowledged the multiple losses and sources of dysfunction in the plaintiff's past, including his having little or no contact with his mother from infancy to the age of eleven; the physical and emotional abuse administered by his stepmother; K.'s move from home when the plaintiff was thirteen; his mother's murder in 1994, and his father's early death from cancer in 1998. Counsel noted that the plaintiff reported to Dr. Ley that, "one of the saddest days of his childhood occurred when his brother K. moved from the family home when D. was about thirteen years 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Counsel submitted that to these factors can be added the heavy drinking of the plaintiff's father, which escalated after his separation from Ms. E. when the plaintiff was eleven, and his father's ensuing liaison with another woman who also abused alcohol. Counsel said that, in addition, Dr. Ley acknowledged the plaintiff's use of marijuana from the age of thirteen, and "daily use" when he left home at fifteen or sixteen, his trafficking in marijuana at that time, and his use of cocaine at the age of seventeen or eighteen, prior to Oakalla. Counsel noted that Dr. Ley said that, "Quite clearly, D. was addicted to the drug, and he estimates consuming almost one ounce of cocaine daily, which would cost close to $2,000 per day in 1988."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Nevertheless, Dr. Ley, having recounted a number of these events in his July 7, 2003, addendum, noted at p. 2, "however, I do not believe these events are either foundational or significantly influential upon Mr. X's psychological nature as an adult, which is consistent with the negative effects of sexual abuse." Counsel said that Dr. Ley maintained this position despite being pressed in cross-examination. He specifically rejected the proposition put to him by plaintiff's counsel when she recounted a portion of the report of Dr. Sobey which noted "Mr. X's childhood was characterized by emotional disruption and multiple losses, especially in regard to male role models." Dr. Ley's response was, "I would disagree with that. I believe that characterization of Mr. X's childhood is inaccurate, in my 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Counsel said that indeed Dr. Ley's report attributes virtually all of the plaintiff's psychological deficits to the sexual assaults: for example, the report states at p. 24 that in Dr. Ley's opinion, "Mr. X's adult adjustment and characteristic psychological functioning is best understood as both reflecting and being caused by the sexual assaults that Mr. X experienced at LMRCC in 1988."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Defence counsel submitted that this view places undue weight on the sexual assaults, especially in view of the objective psychological test results. Dr. Ley testified that for all MMPI-2 test scores, including depression, post traumatic stress and over-controlled hostility, the plaintiff tested within the normal range. In his report, Dr. Ley concludes that the plaintiff does not have PTSD, and that the plaintiff "was not experiencing clinical states of depression or anxiety." Counsel said that Dr. Ley's conclusions are so absolute and unqualified, in view of all the evidence, that his evidence crosses the line into advocacy, and the Court should be cautious in accepting those 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Counsel contended that, similarly, Dr. Ley posits that the plaintiff's heroin addiction can be linked to the sexual assaults. Counsel said that again, the evidence does not support a causal link between those two events. Dr. Ley states in his report that "Given that Mr. X began using heroin after he was sexually assaulted by Mr. R.D.M., there is a putative link between Mr. X's experience of sexual assault, intravenous drug use, and the Hepatitis C disease." Dr. Ley further notes that "within two years of being released from Oakalla, Mr. X was addicted to heroin." Dr. Ley also states, "After Mr. X was released from FRCC, his drug use pattern changed as well. Mr. X commenced intravenous use of heroin after a friend "John" started using the drug. Similar to most heroin dependencies, Mr. X's habit grew quickly as drug tolerance to heroin develops rapidly. According to Mr. X, he had a $400 to $500 a day heroin habit in 1992 and his crime pattern escalated accordingly in order to acquire more funds to support an expensive drug habit."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Counsel noted that the plaintiff was released from Oakalla in early 1989. If his heroin use (and rapid addiction) commenced two years later, that would be 1991, not 1992. However, the 1992 date is consistent with Ms. Peterson's intake assessment which notes that the plaintiff was addicted to heroin from age twenty-two to twenty-eight.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Counsel also argued that the circumstances under which the plaintiff commenced his heroin use are quite unclear. He apparently reported to Dr. Ley that he commenced using heroin "after a friend "John" started using the drug." This, claimed counsel, is inconsistent with the plaintiff's testimony that he commenced using heroin with a female friend and rape victim who fixed in front of him. It is also inconsistent with his discovery evidence which was put to him in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I'll suggest to you that the first time you took heroin you snorted it?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not true?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Well, I'm going to refer you to the transcript, again, from the exam for discovery. And at page 36, there's question 273:</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Your first use, is that injection? Is that the way it worked?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 what fashion did first take heroin?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Snorted.</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Snorted?</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Uh-huh.</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Was that -- was that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Nope, that's not the way I did it the first time. Why it's -- I said that I -- to be honest I'm not exactly sure. Because the first time I -- I know for sure the first time I did heroin, I used a needle.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I'm going to show you page 37 as well. Question 276:</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When did you first inject it?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don't recall.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Can you say whether it was a year or two years from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 year, a year later.</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Do you remember that incident?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was probably in prison I think at that time.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Counsel contended that the plaintiff's evidence on this issue is not credible. He said it is perhaps noteworthy that in cross-examination, the plaintiff did not understand that his use of heroin might have been viewed as a significant issue in this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Counsel submitted that, in short, the evidence falls short of proving the "putative link" suggested by Dr. Ley between the Plaintiff's sexual assaults and his heroin addiction to a level of legal causation. He said that the plaintiff had a serious cocaine addiction which commenced before he was sentenced to Oakalla. This was acknowledged by Dr. Ley in his evidence in re-direct, in response to the issue raised by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All right. Dr. Ley, the discussion whilst you were out of the room I'm going to try to put into the form of a coherent question. And it's essentially that given that Mr. X had a drug problem - and I'm not - I'm not sure what your understanding of the duration of the drug problem, problem with a capital P as opposed to moderate consumption of marijuana, which I - I won't term as a problem for the purposes of this discussions. And he attended at Oakalla. He had a problem. He then has another problem at Oakalla in the form of the sexual assaults by Mr. R.D.M. The query is how is it that you can determine that his existing drug problem is interrelated with his sexual assaults given that he had a pre-existing problem in what we know to be a pre-sexual assault period.</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All right. I think I understand the question. And as I said in my report, given Mr. X's dependence on crack or freebase cocaine prior to his incarceration at Oakalla, given the marijuana dependence that existed prior to that time, I believe I said in my report, and I believe in my evidence, that one cannot attribute the existence of his drug dependence to the sexual assault that he experienced, but it seems to me, as I also said in my report, there are some aspects of his drug dependence. So the most likely prediction for Mr. X prior to Oakalla, given that he was already a drug dependent individual, would be that he would be a drug dependent individual at a later point post-Oakalla, regardless of what occurred there, simply because the best predictor of future behaviour is past behaviour. So I'm not in any way trying to suggest that his drug dependency is due to being sexually assaulted, but there are some aspects of his drug dependency that in my view are strongly related to it. First, I believe I described in my report that after being in Oakalla Mr. X began to drink very heavily, much heavier than he had in any other period. And if you look at his alcohol abuse in his lifetime, my understanding is that it was at its heaviest post-Oakalla. I would assert that his heavy period of alcohol abuse post-Oakalla was due to the impact of being sexually assaulted. As well, it's in that context of alcohol abuse that we see Mr. X being most violent. And he described to me in our interviews that he was an individual who was very much enraged and ready to fight post-Oakalla; whereas, he had not been that kind of bellicose and reactively violent individual prior to Oakalla. So I would link his excessive violence post-Oakalla in the context of alcohol abuse to the sexual assault as well. Now, Mr. X's heroin addiction, although one could certainly suggest that it could be foreseen by virtue of his cocaine dependence, and it is fairly well established that individuals' drug histories and drug abuse habits are progressive; that individuals move from so-called softer drugs to harder drugs, the -- the nature of the heroin drug effect to me possibly links it to the sexual abuse.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Accordingly, defence counsel argued that there is no causal connection between the sexual assaults and the plaintiff's initiation to heroin: his use of heroin apparently started three or four years after the assaults; the two events are therefore not connected temporally.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Counsel also pointed to Dr. Sobey's evidence that the disease of drug addiction: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is not so much characterized by what substance the individual becomes dependent on, but much more on the clinical course. There is a final common end pathway in the brain for all mood-altering drugs to act. This final end common pathway, called the "mesolimbic dopamine reward system," is well described. All mood altering drugs act in that system. That is issue number one. Issue number two is, it's my experience, it's the experience of individuals working in the addictions field, and the literature, and the literature backs up the fact that individuals who are substance dependent choose a substance based on what's available.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Counsel argued that in view of his early drug use, including marijuana, mushrooms, acid and his addiction to cocaine by the age of eighteen, it was not remarkable to Dr. Sobey that the plaintiff became heroin dependent as well. Indeed, in view of the plentiful supply and variety of cheap, pure drugs in Vancouver, Dr. Sobey testified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likelihood of that individual being exposed to heroin, considering the life Mr. X lives, is highly likely. And the likelihood that heroin would work in that circumstance, I think, is also highly likely based on the fact that cocaine - the literature demonstrates that cocaine places individuals at risk of other mood-altering drugs working secondary to its effect in destroying certain receptors in the brain.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Counsel also said that in projecting the plaintiff's trajectory, absent sexual assault, it is noteworthy that he was raised in a home where alcohol was abused to the point where his father became a serious alcoholic. In addition, according to the evidence, K. used cocaine in the mid-1980's, and S. also used cocaine.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Defence counsel said that Ms. Peterson did not mention in her testimony that sexual dysfunction was reported by the plaintiff, or that it was being addressed in her counseling. Dr. Ley noted in his report that "Mr. X denies any specific sexual dysfunctions apart from apprehension about engaging in sexual activity generally, and being fellated specifically."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Defence counsel submitted that the evidence on the plaintiff's sexual dysfunction is not compelling. He said it is noteworthy that the plaintiff's relationship with A.L. was not raised in the interviews with Dr. Ley, although she was someone the plaintiff had known since the 1980's, and they lived together during one of his brief periods of non-incarceration. Counsel noted that the Plaintiff agreed that his relationship with A.L. was "significant." She visited him in prison on a more or less weekly basis, and the plaintiff testified that he maintains a relationship through correspondence with her daughter.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The main defence challenge to the plaintiff's claim is the defence position that the Court should not rely on Dr. Ley's evidence to find that the assaults caused the plethora of psychological damages claimed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The main thrust of the defence argument on this point centres on the plaintiff's psychological profile. Defence counsel asserted that the tests administered by Dr. Ley produced test scores that were mainly in the normal range. Dr. Ley testified, in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just again, Dr. Ley, just to cover off again the MMPI. You would agree that all of - you would agree first of all, that he has produced a valid result as evidenced by the L, F and K results?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on the separate clinical scales you would agree that he has - his test results all fall within the normal change, as I see it, on every single test;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you would agree with me that scores of below 65 on those subscales would not be the norm for victims of traumatic sexual abuse.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COURT:</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Sorry, could you repeat your question.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My question was that you would agree with me that scores of below 65 on those various subscales on MMPI is not the norm for victims of traumatic sexual abuse. You would expect victims of traumatic sexual abuse to have scores higher than 65 on a number of those scales, would you not?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On some of them. But most pertinently if they had a post-traumatic stress disorder, which Mr. X does not.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As well, I want to qualify your interpretation of the validity scale scores. Because although they are below the clinical cutoff, with respect to scales L and K, one interprets subclinical scores for both of those scales reflecting defensiveness. And Mr. X's case score of 62 would be interpreted as a moderately defensive score.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 other words, he is, as I have said, under reporting the extent to which he has psychological problems or emotional concerns or upsets. So it's kind of a suppressor effect that we see there, which as I have described as Mr. X's coping style.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So your interpretation of the validity scales is overly strict, but I agree with your description of the clinical scales, that none of them are in the clinical range.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Dr. Ley, I want to show you - first of all, I will ask you: are you familiar with a journal called the "Journal of Nervous and Mental Disease"?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is that a journal that you consult from time to time in your practice?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have read articles from it, and as cases dictate might be searching out articles in that journal, yes.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do you understand that to be a reputable journal?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it is.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am going to show you a journal article from the "Journal of Nervous and Mental Disease", which is dated October 2000. And it says: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Clinical presentation of post-traumatic stress disorder of cross-trauma populations.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And it compares combat victims under - it compares MMPI-2 profiles of combat veterans and adult survivors of child sexual abuse. Do you see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Are you familiar with that article?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I am not.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At page - the front page of the article in the abstract portion, it says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Thus it appears CSA survivors and combat veterans are much more similar than different in their clinical presentation on the MMPI-2 conceptual issues and the assessment of PTSD are discussed.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Do you see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Have you - are you familiar with any of the literature comparing combat victims with childhood sexual abuse in terms of how they - how their test results compare in terms of trauma?</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My work - clinical work does not involve any combat veterans, but does involve childhood sexual abuse victims.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But you haven't read any of that literature?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may have read some of it in books and so on. I do not know the specific comparison to which this article makes reference.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 terms of their MMPI scores.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Maybe if I could get you to turn to page 5 of the article. There is a graph there. Do you see it?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it says: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PTSD group profiles.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it appears to plot the PTSD scores for combat veterans versus sexual abuse victims. Do you see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From your experience, Dr. Ley, would you say that that - the plotting on that graph is consistent with your understanding of victims of childhood sexual abuse, traumatic sexual abuse? Sorry, let me rephrase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Are you able to say whether the results that are plotted here are consistent with your understanding of victims that you have assessed with respect to post-traumatic stress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as you can see from that graph or profile, my expectation for someone with PTSD, in terms of their MMPI would look very much like that profile. They show a high F score, which is a measure of emotional distress and psychological disturbance, and then typically they are high on scales 2, depression, PD - not so much because of anti-social behaviour, but more because of anger and irritability.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Impulsivity, which that scale picks up. And then higher on scales 7 or PT, which is a kind of anxiety measure, and 8 which reflects bizarre kinds of thinking and experiences, disturbances, in attention and concentration, and so on. So that's, in my experience, a pretty representative profile, although one must remember that profile is based on group data, it's not an individual's profile.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appreciate that.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Defence counsel said that what emerges from Dr. Ley's evidence is that the plaintiff does not have any clinical symptoms of depression. He pointed to the evidence of Dr. Ley, that although it was his clinical impression during his interviews with the plaintiff that he was showing some of the psychological signs that are indicative of the hyper-arousal that typifies PTSD, the two psychological tests that directly reflect symptoms of trauma and abuse show that the plaintiff did not have the symptom constellation or clinical picture that constitutes PTSD.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Defence counsel also pointed to K.'s testimony in cross-examination, when, in giving his assessment of what he considered the plaintiff's main problems to be, he listed drugs, friends, maybe alcohol, the murder of their mother, the plaintiff's attitude towards their father and, finally, the sexual assaults. Defence counsel suggested it was significant that K. placed the assaults at the end of his assessment of the plaintiff's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The defence contention is that it is neither fair nor accurate for Dr. Ley to attribute all of the plaintiff's problems to the sexual assaults. Defence counsel insisted that the Court should give significant weight to the test scores which, counsel submitted, help to explain how psychologically damaged the plaintiff was by the assaults.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As for the plaintiff's addiction to heroin, the defence contended that all the Court has to rely upon is Dr. Ley's opinion. Defence counsel said that Dr. Ley's evidence does not establish causation between the assaults and the plaintiff's addiction to heroin and his life of crime to support his addiction. It is the view of the defence that the plaintiff's life situation was not substantially interrupted by the sexual assaults. Defence counsel argued that there is every reason to believe that, regardless of the assaults, the plaintiff would have continued to abuse drugs and re-offend after his release from Oakalla, and to spend the majority of his adult life in jail.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It is also the view of the defence that Dr. Ley's conclusions disregard the plaintiff's serious cocaine addiction at an early age. Defence counsel contended that Dr. Ley was selective and excessive in singling out the plaintiff's heroin addiction to be at the root of the plaintiff's life situation following the assaults.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In reply to the plaintiff's contention that the Court can look to K.'s life situation as a model, defence counsel submitted that the evidence of K.'s use of cocaine at an early age is most unclear, and defence counsel noted that there is no evidence that K. was diagnosed with an antisocial disorder, or that he was involved in any criminal activity to support his use of drugs. Defence counsel submitted that there are significant differences between the life paths of the plaintiff and 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Defence counsel also made the point that even after the assaults, and the plaintiff's allegations about the impact of the assaults on his manhood, his gender identification score on the psychological tests was average. Thus, claimed defence counsel, there has been no alteration of the plaintiff's history of being solidly heterosexual prior to the assaults.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Defence counsel also noted that the plaintiff frequently turned to cocaine and not heroin when he re-offended. Counsel argued that the plaintiff's real significant risk factor was cocaine, and that the plaintiff's use of cocaine was more related to his long criminal record.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Defence counsel also submitted that the fact that on occasion, when the plaintiff was released from custody, he turned to cocaine substantiates Dr. Sobey's availability theory. Counsel referred to Dr. Sobey's evidence that the disease of drug addiction "is not so much characterized by what substance the individual becomes dependent on, but much more on the clinical course".</w:t>
      </w:r>
      <w:r>
        <w:rPr>
          <w:rFonts w:ascii="arial" w:eastAsia="arial" w:hAnsi="arial" w:cs="arial"/>
          <w:sz w:val="20"/>
          <w:lang w:val="en-US" w:eastAsia="en-US" w:bidi="ar-SA"/>
        </w:rPr>
        <w:cr/>
      </w:r>
    </w:p>
    <w:p>
      <w:pPr>
        <w:numPr>
          <w:numId w:val="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Decision on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Essentially, apart from the conflict in the evidence surrounding the date and circumstances of the plaintiff commencing his use of heroin, defence counsel conceded that the plaintiff testified in a forthright and credible manner, and that he was a good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Ms. Peterson held the impression that the plaintiff was frank with her, and she was satisfied that he told her the truth.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Defence counsel conceded that Ms. Peterson, who has counselled the plaintiff almost weekly since September 2002, and who is very familiar with the situation of inmates in federal institutions, gave her evidence in a very forthright manner, and that she was a reliable witness whose evidence was very helpful to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I disagree with the defence position on causation. Dr. Ley, who found the plaintiff to be open and credible, particularly in regards to his account to Dr. Ley of the sexual assaults, analyzed the turmoil in the plaintiff's life following the assaults. He identified several problems which, in his opinion, were causally connected to the assaults.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Importantly, Dr. Ley testified that the plaintiff still lacks an understanding of the impact of the assaults on him, and has a tendency to underreport his difficulties: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think the relationship between that response style on the part of Mr. X, which I found in the interviews as well, and also a couple of the psychological tests which I reference here, I think that style in a general way reflects his coping strategy with respect to upsetting distressing events in his life. In my view, Mr. X is the kind of person who compartmentalizes these experiences. Sort of puts them away in a psychological box, so to speak, and tries to keep them under wraps and out of his awareness. He avoids thinking about the disturbing events in his life.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Is that a good thing or a bad thing?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answer unfortunately is it depends. It's a good thing to the extent that in the short-term, perhaps, it allows the individual to perhaps function better than he or she might, were they to be constantly aware of those experiences, and emotionally beset by them.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the longer term we would consider it to be a maladaptive, dysfunctional coping style, simply because the intensity of emotional experiences that people have, particularly when they have been traumatized, constantly kind of presses for recognition, or presses forward psychologically for expression. And ordinarily, individuals have to engage in progressively more extreme methods of suppressing or submerging those experiences and the strong emotions that are attached to them. So for many people, for example, substance abuse is a way in which they accomplish the goal of keeping their emotions at a greater distance. But, of course, that goal has to be maintained by fairly regular, frequent substance use and abuse, and usually increasing amounts of it as well.</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So in that sense it's maladaptive. And also, of course, these strong feelings - strong feelings can break through a person's defences and overwhelm them emotionally such that the person may cry and sob uncontrollably. I saw much of that in my interviews with Mr. X. Or alternatively perhaps they - these strong feelings break through a person's defensive system, and he acts in an angry, violent way.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So, the defensive strategy is better when it is less common, or less extreme, and worse when it becomes more extreme and the person has to engage in other methods of avoiding the experience and expression of those feelings.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I agree with plaintiff's counsel that defence counsel's argument amounts to an attempt by the defence to substitute the conjecture and theory of the defence for the uncontradicted opinion of Dr. 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Dr. Ley performed the psychological tests and considered the test scores in arriving at his conclusions. The defence did not introduce evidence to challenge Dr. Ley's interpretation of the test scores, or his conclusions of the impact of the assaults on the plaintiff based on his interviews of the plaintiff and the results of the psychological tests.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Thus, I do not think the Court should substitute the interpretation placed on the test scores by the defence for the reasoned conclusions of Dr. Ley, a highly qualified expert operating in this complex field of personality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Certainly the evidence is that prior to the assaults the plaintiff was seriously addicted to cocaine and resorted to criminal activity to support his addiction. But, when the Court considers the plaintiff's background prior to his cocaine addiction and incarceration in Oakalla, there is no evidence from the plaintiff's past life situation to support a conclusion that, notwithstanding the assaults, the plaintiff would have spent a large part of his adult life in jail.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Dr. Ley, who has had considerable experience assessing persons who have been sexually assaulted, and who are prison inmates, found nothing in the plaintiff's life situation that would have predicted the trajectory of the plaintiff's life after his incarceration in Oakalla.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As for the defence's reference to K.'s assessment of the plaintiff's problems, I agree with plaintiff's counsel that it is not of assistance. According to the evidence, the plaintiff has never discussed the details of the assaults with K. Moreover, K. is not in a position to measure the impact of the assaults on the plaintiff vis-à-vis the other events in the plaintiff's life. Since the plaintiff's incarceration in Oakalla, K. has only seen the plaintiff sporadically, when he visited the plaintiff in prison or when the plaintiff spent short periods of time working for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I also agree with plaintiff's counsel that the defence observation that the plaintiff was heterosexual before his incarceration in Oakalla, and is heterosexual now, should not preclude the Court from making a finding on causation in the plaintiff's favour. As plaintiff's counsel correctly noted, prior to his incarceration the plaintiff had a frequent and enjoyable sexual relationship with his girlfriend T. This was not the case after the assaults. The plaintiff testified about a large diminution in the level of enjoyment of his sexual experiences with T., and his other female partners.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I must also agree with plaintiff's counsel's argument on the relevance of Dr. Sobey's testimony to the issues facing the Court. His evidence was, to a large extent, irrelevant to the issue of whether the sexual assaults caused or materially contributed to the injuries suffered by the plaintiff. In fact, Dr. Sobey's testimony was given in general terms and only rarely made reference to the particular circumstances of the plaintiff. When Dr. Sobey did touch upon the plaintiff, he failed, in my view, to supply any information which could be probative of the issue: the fact that Dr. Sobey was "not surprised" by the plaintiff's heroin addiction is of no assistance to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In my opinion, the plaintiff has proven, on a balance of probabilities, that he suffered a myriad of psychological injuries as a result of the sexual assaults. More specifically, Dr. Ley, who I found to be a most credible, informed and unbiased witness, and whose conclusions I accept, identified that the sexual assaults caused or materially contributed to the plaintiff having a serious antisocial personality disorder, low self-esteem and chronically poor self-concept, chronic sexual anxieties, self defeating behaviour, and exacerbated drug dependence which most likely significantly influenced the plaintiff's selection of heroin as his drug of choice.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In the result, I am satisfied that, on the test for liability set out in W.R.B. v. Plint, supra, it was necessary to have both the sexual assaults and the other life circumstances for the plaintiff's psychological injuries to occur. Therefore, in my opinion, causation has been proven since the psychological injuries identified by Dr. Ley would not have occurred but for the sexual assaults.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Furthermore, given Dr. Ley's opinion that the plaintiff's poor psychological adjustment in adulthood was best accounted for by his experience of being sexually assaulted as an eighteen year old; that his resentment and rebelliousness towards correctional officers can be directly linked to his experience of being sexually assaulted by R.D.M.; that prior to being assaulted the plaintiff's self concept and self-esteem were reasonably stable, and he had good interpersonal confidence and experienced normal sexual functioning, the plaintiff cannot be characterized as a "crumbling skull" case. Thus, I find that there should be no reduction of the damages awarded.</w:t>
      </w:r>
      <w:r>
        <w:rPr>
          <w:rFonts w:ascii="arial" w:eastAsia="arial" w:hAnsi="arial" w:cs="arial"/>
          <w:sz w:val="20"/>
          <w:lang w:val="en-US" w:eastAsia="en-US" w:bidi="ar-SA"/>
        </w:rPr>
        <w:cr/>
      </w:r>
    </w:p>
    <w:p>
      <w:pPr>
        <w:numPr>
          <w:numId w:val="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General and aggravated damages</w:t>
      </w:r>
    </w:p>
    <w:p>
      <w:pPr>
        <w:numPr>
          <w:numId w:val="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On the issue of general and aggravated damages, plaintiff's counsel submitted that while most cases include aggravated damages as part of general damages they are analytically distinct. "Aggravation" is defined in Black's Law Dictionary, 6th ed. (St. Paul, MN : West Group, 1999) 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Any circumstance attending the commission of a crime or tort which increases its guilt or enormity or adds to its injurious consequences, but which is above and beyond the essential constituents of the crime or tort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Counsel said that the award of aggravated damages is compensatory in nature and is directed at taking full account of intangible injuries such as distress and humiliation that may have been caused by the defendant's behaviour. She also said that an award of general damages can be increased by aggravated damages to reflect the nature of the injury involved where there has been a breach of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xml:space="preserve">  In awarding aggravated damages in Hill v. Church of Scientology of Toronto, </w:t>
      </w:r>
      <w:hyperlink r:id="rId130" w:history="1">
        <w:r>
          <w:rPr>
            <w:rFonts w:ascii="arial" w:eastAsia="arial" w:hAnsi="arial" w:cs="arial"/>
            <w:i/>
            <w:color w:val="0077CC"/>
            <w:sz w:val="20"/>
            <w:u w:val="single"/>
            <w:shd w:val="clear" w:color="auto" w:fill="FFFFFF"/>
            <w:lang w:val="en-US" w:eastAsia="en-US" w:bidi="ar-SA"/>
          </w:rPr>
          <w:t>[1995] 2 S.C.R. 1130</w:t>
        </w:r>
      </w:hyperlink>
      <w:r>
        <w:rPr>
          <w:rFonts w:ascii="arial" w:eastAsia="arial" w:hAnsi="arial" w:cs="arial"/>
          <w:color w:val="000000"/>
          <w:sz w:val="20"/>
          <w:lang w:val="en-US" w:eastAsia="en-US" w:bidi="ar-SA"/>
        </w:rPr>
        <w:t>, Cory J. said at paras. 188 to 189:</w:t>
      </w:r>
      <w:r>
        <w:rPr>
          <w:rFonts w:ascii="arial" w:eastAsia="arial" w:hAnsi="arial" w:cs="arial"/>
          <w:sz w:val="20"/>
          <w:lang w:val="en-US" w:eastAsia="en-US" w:bidi="ar-SA"/>
        </w:rPr>
        <w:cr/>
      </w:r>
    </w:p>
    <w:p>
      <w:pPr>
        <w:numPr>
          <w:numId w:val="6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Aggravated damages may be awarded in circumstances where the defendants' conduct has been particularly high-handed or oppressive, thereby increasing the plaintiff's humiliation and anxiety arising from the libellous statement ...</w:t>
      </w:r>
    </w:p>
    <w:p>
      <w:pPr>
        <w:numPr>
          <w:numId w:val="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These damages take into account the additional harm caused to the plaintiff's feelings by the defendant's outrageous and malicious conduct. Like general or special damages, they are compensatory in nature. Their assessment requires consideration by the jury of the entire conduct of the defendant prior to the publication of the libel and continuing through to the conclusion of the trial. They represent the expression of natural indignation of right-thinking people arising from the malicious conduct of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xml:space="preserve">  Counsel also referred to Y.(S.) v. C.(F.G.) </w:t>
      </w:r>
      <w:hyperlink r:id="rId131" w:history="1">
        <w:r>
          <w:rPr>
            <w:rFonts w:ascii="arial" w:eastAsia="arial" w:hAnsi="arial" w:cs="arial"/>
            <w:i/>
            <w:color w:val="0077CC"/>
            <w:sz w:val="20"/>
            <w:u w:val="single"/>
            <w:shd w:val="clear" w:color="auto" w:fill="FFFFFF"/>
            <w:lang w:val="en-US" w:eastAsia="en-US" w:bidi="ar-SA"/>
          </w:rPr>
          <w:t>(1996), 26 B.C.L.R. (3d) 155</w:t>
        </w:r>
      </w:hyperlink>
      <w:r>
        <w:rPr>
          <w:rFonts w:ascii="arial" w:eastAsia="arial" w:hAnsi="arial" w:cs="arial"/>
          <w:color w:val="000000"/>
          <w:sz w:val="20"/>
          <w:lang w:val="en-US" w:eastAsia="en-US" w:bidi="ar-SA"/>
        </w:rPr>
        <w:t xml:space="preserve"> (C.A.), where Macfarlane J.A. discussed the role of aggravated damages in sexual assault cases. He held, at para. 36, that aggravated damages are not a separate head of damages. Rather, aggravating factors are to be considered in assessing damages. At para. 58 His Lordship said that aggravating factors may include the nature, duration, number and frequency of the assaults, the age of the plaintiff, the degree of violence and coercion, the relationship between the plaintiff and the defendant, particularly where the defendant is in a position of trust and authority, the defendant's lack of remorse, and the physical pain and mental suffering associated with the assaults.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Plaintiff's counsel said that in the instant case, at the time he was sexually assaulted, the plaintiff was an eighteen year old in a macho, violent culture where a wrong step could result in serious personal injury. Disclosure that he had submitted to the sexual demands of a prison guard would have placed him at the very bottom of this hierarchy. Counsel submitted that while one may not agree with the cultural tenets, there is no real dispute that R.D.M. would have been aware of them and exploited them to the detriment of the plaintiff. Further, the plaintiff lost his most significant assets, a sense of being able to stand up for himself, a sense of self-worth and self-control.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Counsel argued that the aggravating features in this case are:</w:t>
      </w:r>
      <w:r>
        <w:rPr>
          <w:rFonts w:ascii="arial" w:eastAsia="arial" w:hAnsi="arial" w:cs="arial"/>
          <w:sz w:val="20"/>
          <w:lang w:val="en-US" w:eastAsia="en-US" w:bidi="ar-SA"/>
        </w:rPr>
        <w:cr/>
      </w:r>
    </w:p>
    <w:p>
      <w:pPr>
        <w:numPr>
          <w:numId w:val="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plaintiff was incarcerated.</w:t>
      </w:r>
    </w:p>
    <w:p>
      <w:pPr>
        <w:numPr>
          <w:numId w:val="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plaintiff was, and was known to be, a young person with a history of difficulties.</w:t>
      </w:r>
    </w:p>
    <w:p>
      <w:pPr>
        <w:numPr>
          <w:numId w:val="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Both the Crown and R.D.M. knew that the prison culture would interfere with victims of abuse by guards availing themselves of the assistance of the authorities.</w:t>
      </w:r>
    </w:p>
    <w:p>
      <w:pPr>
        <w:numPr>
          <w:numId w:val="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R.D.M. was delegated power over the plaintiff to arrange transfer to another facility or release from prison.</w:t>
      </w:r>
    </w:p>
    <w:p>
      <w:pPr>
        <w:numPr>
          <w:numId w:val="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R.D.M. was also given the opportunity to abuse his power through the use or misuse of personal information, be it accurate or fabricated in a situation which was fraught with danger for the plaintiff.</w:t>
      </w:r>
    </w:p>
    <w:p>
      <w:pPr>
        <w:numPr>
          <w:numId w:val="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suffered 15 years of self-loathing, shame and guilt about submitting to the demands of R.D.M., and continues to suffer many negative emotional consequences of the abuse, including a lengthy pattern of "death on the installment plan."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xml:space="preserve">  Plaintiff's counsel made reference to several authorities as guidance on the appropriate award in the instant case: in L.M.N. v. Munday, </w:t>
      </w:r>
      <w:hyperlink r:id="rId132" w:history="1">
        <w:r>
          <w:rPr>
            <w:rFonts w:ascii="arial" w:eastAsia="arial" w:hAnsi="arial" w:cs="arial"/>
            <w:i/>
            <w:color w:val="0077CC"/>
            <w:sz w:val="20"/>
            <w:u w:val="single"/>
            <w:shd w:val="clear" w:color="auto" w:fill="FFFFFF"/>
            <w:lang w:val="en-US" w:eastAsia="en-US" w:bidi="ar-SA"/>
          </w:rPr>
          <w:t>[1998] B.C.J. No. 2591</w:t>
        </w:r>
      </w:hyperlink>
      <w:r>
        <w:rPr>
          <w:rFonts w:ascii="arial" w:eastAsia="arial" w:hAnsi="arial" w:cs="arial"/>
          <w:color w:val="000000"/>
          <w:sz w:val="20"/>
          <w:lang w:val="en-US" w:eastAsia="en-US" w:bidi="ar-SA"/>
        </w:rPr>
        <w:t xml:space="preserve"> (S.C.), the plaintiff was sexually assaulted on ten to twelve occasions by a neighbour when she was six years old. She was awarded general damages of $175,000; in J.P. v. T.J.S., </w:t>
      </w:r>
      <w:hyperlink r:id="rId133" w:history="1">
        <w:r>
          <w:rPr>
            <w:rFonts w:ascii="arial" w:eastAsia="arial" w:hAnsi="arial" w:cs="arial"/>
            <w:i/>
            <w:color w:val="0077CC"/>
            <w:sz w:val="20"/>
            <w:u w:val="single"/>
            <w:shd w:val="clear" w:color="auto" w:fill="FFFFFF"/>
            <w:lang w:val="en-US" w:eastAsia="en-US" w:bidi="ar-SA"/>
          </w:rPr>
          <w:t>[1999] B.C.J. No. 1230</w:t>
        </w:r>
      </w:hyperlink>
      <w:r>
        <w:rPr>
          <w:rFonts w:ascii="arial" w:eastAsia="arial" w:hAnsi="arial" w:cs="arial"/>
          <w:color w:val="000000"/>
          <w:sz w:val="20"/>
          <w:lang w:val="en-US" w:eastAsia="en-US" w:bidi="ar-SA"/>
        </w:rPr>
        <w:t xml:space="preserve"> (S.C.), the female plaintiff was sexually assaulted, including penetration, by her school counsellor when she was fifteen years old. She was awarded $85,000 in general damages (including aggravated damages); in E.(J.A.K.) v. B.C. </w:t>
      </w:r>
      <w:hyperlink r:id="rId134" w:history="1">
        <w:r>
          <w:rPr>
            <w:rFonts w:ascii="arial" w:eastAsia="arial" w:hAnsi="arial" w:cs="arial"/>
            <w:i/>
            <w:color w:val="0077CC"/>
            <w:sz w:val="20"/>
            <w:u w:val="single"/>
            <w:shd w:val="clear" w:color="auto" w:fill="FFFFFF"/>
            <w:lang w:val="en-US" w:eastAsia="en-US" w:bidi="ar-SA"/>
          </w:rPr>
          <w:t>(2002), 1 B.C.L.R. (4th) 107</w:t>
        </w:r>
      </w:hyperlink>
      <w:r>
        <w:rPr>
          <w:rFonts w:ascii="arial" w:eastAsia="arial" w:hAnsi="arial" w:cs="arial"/>
          <w:color w:val="000000"/>
          <w:sz w:val="20"/>
          <w:lang w:val="en-US" w:eastAsia="en-US" w:bidi="ar-SA"/>
        </w:rPr>
        <w:t xml:space="preserve">, the plaintiff was subjected to repeated physical and sexual assaults, including forced oral and anal intercourse, as a teenager over a sixteen month period while in foster care in an isolated location. The plaintiff was awarded $150,000 for general damages, (including aggravated damages); in Doe v. O'Dell </w:t>
      </w:r>
      <w:hyperlink r:id="rId135" w:history="1">
        <w:r>
          <w:rPr>
            <w:rFonts w:ascii="arial" w:eastAsia="arial" w:hAnsi="arial" w:cs="arial"/>
            <w:i/>
            <w:color w:val="0077CC"/>
            <w:sz w:val="20"/>
            <w:u w:val="single"/>
            <w:shd w:val="clear" w:color="auto" w:fill="FFFFFF"/>
            <w:lang w:val="en-US" w:eastAsia="en-US" w:bidi="ar-SA"/>
          </w:rPr>
          <w:t>(2003), 230 D.L.R. (4th) 383</w:t>
        </w:r>
      </w:hyperlink>
      <w:r>
        <w:rPr>
          <w:rFonts w:ascii="arial" w:eastAsia="arial" w:hAnsi="arial" w:cs="arial"/>
          <w:color w:val="000000"/>
          <w:sz w:val="20"/>
          <w:lang w:val="en-US" w:eastAsia="en-US" w:bidi="ar-SA"/>
        </w:rPr>
        <w:t>, the plaintiff was sexually abused by a priest on a number of occasions over a two year period during grades seven and eight. The plaintiff was awarded $175,000 in general and aggravated damages.</w:t>
      </w:r>
      <w:r>
        <w:rPr>
          <w:rFonts w:ascii="arial" w:eastAsia="arial" w:hAnsi="arial" w:cs="arial"/>
          <w:sz w:val="20"/>
          <w:lang w:val="en-US" w:eastAsia="en-US" w:bidi="ar-SA"/>
        </w:rPr>
        <w:cr/>
      </w:r>
    </w:p>
    <w:p>
      <w:pPr>
        <w:numPr>
          <w:numId w:val="6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defence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xml:space="preserve">  The Crown admits that the sexual assaults had an effect on the plaintiff. Defence counsel conceded that the assaults were horrible abuses by R.D.M. However, defence counsel asserted that the assaults were not the most horrific of the assaults canvassed in the authorities. He argued that the award for general damages should be in the lower end of the range, and referred to a number of authorities awarding general and aggravated damages for sexual assault. In R.A.R.B. v. B.C., </w:t>
      </w:r>
      <w:hyperlink r:id="rId136" w:history="1">
        <w:r>
          <w:rPr>
            <w:rFonts w:ascii="arial" w:eastAsia="arial" w:hAnsi="arial" w:cs="arial"/>
            <w:i/>
            <w:color w:val="0077CC"/>
            <w:sz w:val="20"/>
            <w:u w:val="single"/>
            <w:shd w:val="clear" w:color="auto" w:fill="FFFFFF"/>
            <w:lang w:val="en-US" w:eastAsia="en-US" w:bidi="ar-SA"/>
          </w:rPr>
          <w:t>[2001] B.C.J. No. 963</w:t>
        </w:r>
      </w:hyperlink>
      <w:r>
        <w:rPr>
          <w:rFonts w:ascii="arial" w:eastAsia="arial" w:hAnsi="arial" w:cs="arial"/>
          <w:color w:val="000000"/>
          <w:sz w:val="20"/>
          <w:lang w:val="en-US" w:eastAsia="en-US" w:bidi="ar-SA"/>
        </w:rPr>
        <w:t xml:space="preserve"> (S.C.), the Court awarded $20,000 for one incident of sexual touching and oral sex committed on a fourteen year old boy by an older male resident of the same facility; in K.L.B. v. B.C. </w:t>
      </w:r>
      <w:hyperlink r:id="rId137" w:history="1">
        <w:r>
          <w:rPr>
            <w:rFonts w:ascii="arial" w:eastAsia="arial" w:hAnsi="arial" w:cs="arial"/>
            <w:i/>
            <w:color w:val="0077CC"/>
            <w:sz w:val="20"/>
            <w:u w:val="single"/>
            <w:shd w:val="clear" w:color="auto" w:fill="FFFFFF"/>
            <w:lang w:val="en-US" w:eastAsia="en-US" w:bidi="ar-SA"/>
          </w:rPr>
          <w:t>(1998), 51 B.C.L.R. (3d) 1</w:t>
        </w:r>
      </w:hyperlink>
      <w:r>
        <w:rPr>
          <w:rFonts w:ascii="arial" w:eastAsia="arial" w:hAnsi="arial" w:cs="arial"/>
          <w:color w:val="000000"/>
          <w:sz w:val="20"/>
          <w:lang w:val="en-US" w:eastAsia="en-US" w:bidi="ar-SA"/>
        </w:rPr>
        <w:t xml:space="preserve"> (S.C.), the plaintiff was forced to perform oral sex on an older boy of his foster parents. He was awarded $25,000, which amount included damages for physical abuse. The finding of quantum was upheld by the Supreme Court of Canada. In C.A. v. Critchley </w:t>
      </w:r>
      <w:hyperlink r:id="rId138" w:history="1">
        <w:r>
          <w:rPr>
            <w:rFonts w:ascii="arial" w:eastAsia="arial" w:hAnsi="arial" w:cs="arial"/>
            <w:i/>
            <w:color w:val="0077CC"/>
            <w:sz w:val="20"/>
            <w:u w:val="single"/>
            <w:shd w:val="clear" w:color="auto" w:fill="FFFFFF"/>
            <w:lang w:val="en-US" w:eastAsia="en-US" w:bidi="ar-SA"/>
          </w:rPr>
          <w:t>(1997), 35 B.C.L.R. (3d) 234</w:t>
        </w:r>
      </w:hyperlink>
      <w:r>
        <w:rPr>
          <w:rFonts w:ascii="arial" w:eastAsia="arial" w:hAnsi="arial" w:cs="arial"/>
          <w:color w:val="000000"/>
          <w:sz w:val="20"/>
          <w:lang w:val="en-US" w:eastAsia="en-US" w:bidi="ar-SA"/>
        </w:rPr>
        <w:t xml:space="preserve"> (S.C.); </w:t>
      </w:r>
      <w:hyperlink r:id="rId139" w:history="1">
        <w:r>
          <w:rPr>
            <w:rFonts w:ascii="arial" w:eastAsia="arial" w:hAnsi="arial" w:cs="arial"/>
            <w:i/>
            <w:color w:val="0077CC"/>
            <w:sz w:val="20"/>
            <w:u w:val="single"/>
            <w:shd w:val="clear" w:color="auto" w:fill="FFFFFF"/>
            <w:lang w:val="en-US" w:eastAsia="en-US" w:bidi="ar-SA"/>
          </w:rPr>
          <w:t>60 B.C.L.R. (3d) 92</w:t>
        </w:r>
      </w:hyperlink>
      <w:r>
        <w:rPr>
          <w:rFonts w:ascii="arial" w:eastAsia="arial" w:hAnsi="arial" w:cs="arial"/>
          <w:color w:val="000000"/>
          <w:sz w:val="20"/>
          <w:lang w:val="en-US" w:eastAsia="en-US" w:bidi="ar-SA"/>
        </w:rPr>
        <w:t xml:space="preserve"> (C.A.), four teenage boys were sexually abused by the group home operator of a youth ranch for troubled boys. The sexual assaults included several incidents of forced oral sex, anal rape, and fondling. The Court awarded damages in the range of $50,000 to $75,000. In W.R.B. v. Plint, supra, where the range of damages awarded was $10,000 to $145,000, the trial court had to deal with incidents of sexual abuse on six claimants which included multiple incidents of oral sex and anal rape accompanied by physical violence where the award was $125,000 for general damages, mutual fondling of genitals, oral sex and simulated intercourse where the award was $85,000 for general damages, a single incident of assault which included mutual fondling, masturbation and oral sex where the award for general damages was $20,000, a case of two relatively mild incidents of sexual touching where the award was $10,000, sexual abuse on at least two occasions consisting of oral sex and anal intercourse where the amount of the award was $125,000, and one incident of abuse involving sexual fondling where the award for general damages was $15,000. In E.B. v. Order of the Oblates of Mary Immaculate in the Province of British Columbia, </w:t>
      </w:r>
      <w:hyperlink r:id="rId140" w:history="1">
        <w:r>
          <w:rPr>
            <w:rFonts w:ascii="arial" w:eastAsia="arial" w:hAnsi="arial" w:cs="arial"/>
            <w:i/>
            <w:color w:val="0077CC"/>
            <w:sz w:val="20"/>
            <w:u w:val="single"/>
            <w:shd w:val="clear" w:color="auto" w:fill="FFFFFF"/>
            <w:lang w:val="en-US" w:eastAsia="en-US" w:bidi="ar-SA"/>
          </w:rPr>
          <w:t>[2001] B.C.J. No. 2700</w:t>
        </w:r>
      </w:hyperlink>
      <w:r>
        <w:rPr>
          <w:rFonts w:ascii="arial" w:eastAsia="arial" w:hAnsi="arial" w:cs="arial"/>
          <w:color w:val="000000"/>
          <w:sz w:val="20"/>
          <w:lang w:val="en-US" w:eastAsia="en-US" w:bidi="ar-SA"/>
        </w:rPr>
        <w:t>, the Court awarded $150,000 to the plaintiff who was found to have been sexually assaulted on a frequent and regular basis over a five year period while residing at an Indian Residential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Defence counsel submitted that while the appellate decisions in W.R.B. v. Plint and T.W.N.A., supra, are authority for the proposition that defendants who are vicariously liable for non-pecuniary damages may also be liable for aggravated damages, in the instant case there is no principled basis for an award of aggravated damages: the Crown admitted that it was liable for the assaults thereby reducing the trial to an assessment of damages alone; further, the Crown agreed to jointly retain and pay for the psychological assessment of the plaintiff by Dr. Ley, alleviating the plaintiff of this up front cost. In addition, counsel submitted that the assaults on the plaintiff were not of the horrific nature described by the Court in T.W.N.A., supra, and did not occur over a long period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As for the quantum of aggravated damages, counsel reviewed W.R.B. v. Plint, supra, where the amount awarded for aggravated damages for one of the claimants was $20,000, which was added to an award for $125,000; in T.W.N.A. each of the plaintiffs was awarded $25,000 in aggravated damages. Defence counsel submitted that if the Court should determine that aggravated damages are in order in the instant case, then the amount awarded should not exceed $10,000.</w:t>
      </w:r>
      <w:r>
        <w:rPr>
          <w:rFonts w:ascii="arial" w:eastAsia="arial" w:hAnsi="arial" w:cs="arial"/>
          <w:sz w:val="20"/>
          <w:lang w:val="en-US" w:eastAsia="en-US" w:bidi="ar-SA"/>
        </w:rPr>
        <w:cr/>
      </w:r>
    </w:p>
    <w:p>
      <w:pPr>
        <w:numPr>
          <w:numId w:val="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Decision on General and Aggravated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It is a most difficult task to assign a dollar value to the psychological injuries sustained by a sexual assault victim. However, the decisions cited by both counsel provide the Court with some valuable guidance, not least because of the desirability of maintaining some consistency among the awards to ensure fairness to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The evidence establishes that the assaults have had a long lasting, deep and formative emotional impact on the plaintiff over the past fifteen years, resulting in psychological and social problems, addictions and conflicts with persons in authority. The evidence of Dr. Ley and Ms. Peterson speaks to the emotional consequences which the assaults have had, and continue to have on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The assaults comprised two separate incidents of oral sex where R.D.M. gravely abused his authority and threatened the plaintiff with violence if he did not submit to being fellated by R.D.M. As a result of the assaults the plaintiff has experienced shame, humiliation and nightmares, and has sustained significant proven psychological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Upon a review of the authorities, and a consideration of the arguments of counsel, I am of the view that the plaintiff is entitled to an award for general and aggravated damages. I am satisfied that, based on the whole of the evidence, the assaults suffered by the plaintiff fall more closely within the range of awards for general and aggravated damages submitted by the defence. Accordingly, I find that the fair and appropriate award to the plaintiff under this head is $60,000, including aggravated damages.</w:t>
      </w:r>
      <w:r>
        <w:rPr>
          <w:rFonts w:ascii="arial" w:eastAsia="arial" w:hAnsi="arial" w:cs="arial"/>
          <w:sz w:val="20"/>
          <w:lang w:val="en-US" w:eastAsia="en-US" w:bidi="ar-SA"/>
        </w:rPr>
        <w:cr/>
      </w:r>
    </w:p>
    <w:p>
      <w:pPr>
        <w:numPr>
          <w:numId w:val="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Past and future wage loss</w:t>
      </w:r>
    </w:p>
    <w:p>
      <w:pPr>
        <w:numPr>
          <w:numId w:val="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xml:space="preserve">  Plaintiff's counsel said that the issue in the case of past loss of wages is whether the evidence establishes, on a balance of probabilities, that the assaults caused the plaintiff diminished or lost income prior to trial. She submitted that the special approach to "hypothetical events" articulated in Athey, supra, and applied to claims for future loss of earning capacity, is not applicable to past wage loss. In Sales v. Clarke </w:t>
      </w:r>
      <w:hyperlink r:id="rId141" w:history="1">
        <w:r>
          <w:rPr>
            <w:rFonts w:ascii="arial" w:eastAsia="arial" w:hAnsi="arial" w:cs="arial"/>
            <w:i/>
            <w:color w:val="0077CC"/>
            <w:sz w:val="20"/>
            <w:u w:val="single"/>
            <w:shd w:val="clear" w:color="auto" w:fill="FFFFFF"/>
            <w:lang w:val="en-US" w:eastAsia="en-US" w:bidi="ar-SA"/>
          </w:rPr>
          <w:t>(1998), 57 B.C.L.R. (3d) 36</w:t>
        </w:r>
      </w:hyperlink>
      <w:r>
        <w:rPr>
          <w:rFonts w:ascii="arial" w:eastAsia="arial" w:hAnsi="arial" w:cs="arial"/>
          <w:color w:val="000000"/>
          <w:sz w:val="20"/>
          <w:lang w:val="en-US" w:eastAsia="en-US" w:bidi="ar-SA"/>
        </w:rPr>
        <w:t xml:space="preserve"> (C.A.), the Court explained the distinction as follows, at paras. 15-16:</w:t>
      </w:r>
      <w:r>
        <w:rPr>
          <w:rFonts w:ascii="arial" w:eastAsia="arial" w:hAnsi="arial" w:cs="arial"/>
          <w:sz w:val="20"/>
          <w:lang w:val="en-US" w:eastAsia="en-US" w:bidi="ar-SA"/>
        </w:rPr>
        <w:cr/>
      </w:r>
    </w:p>
    <w:p>
      <w:pPr>
        <w:numPr>
          <w:numId w:val="7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see nothing in Athey to support the plaintiff's argument that the onus of proof concerning possible future events is applicable to past events. The issue which the plaintiff would characterize as a "past hypothetical fact" in this case is nothing more than the question of whether a causal relationship has been established between two past events; namely, injury sustained in an accident and diminished or lost income suffered by a plaintiff after the accident occurred.</w:t>
      </w:r>
    </w:p>
    <w:p>
      <w:pPr>
        <w:numPr>
          <w:numId w:val="7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question traditionally posed by tort lawyers in such circumstances would be: But for the accident and injury, what income would the plaintiff have earned? That question does not raise any hypothetical question of fact. It asks simply whether there is a causal link between two past events. Well-settled law requires proof of causation for a past loss on a balance of probabilities.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Counsel submitted that damages for loss of future earning capacity may be awarded where it is established that the plaintiff's capacity to earn an income has been affected by the defendant's wrongdoing. In this sense, an award under this head is intended to serve the basic goal of tort law: to place the plaintiff in the same position he or she would have been but for the tortious misconduct, but not in a better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Counsel said that since an award for loss of future income is premised on the likelihood of the occurrence of future events, the usual standard of proof on a balance of probabilities is inapplicable. Instead, the court must value the chance of such a loss occurring. She noted that the approach to be taken to the valuation of such future losses was explained in Athey, supra, at para. 27: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Hypothetical events (such as how the plaintiff's life would have proceeded without the tortious injury) or future events need not be proven on a balance of probabilities. Instead, they are simply given weight according to their relative likelihood ... For example, if there is a 30 percent chance that the plaintiff's injuries will worsen, then the damage award may be increased by 30 percent of the anticipated extra damages to reflect that risk. A future or hypothetical possibility will be taken into consideration as long as it is a real and substantial possibility and not mere speculation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Counsel said that in considering a claim for loss of earning capacity, the Court must answer two questions:</w:t>
      </w:r>
      <w:r>
        <w:rPr>
          <w:rFonts w:ascii="arial" w:eastAsia="arial" w:hAnsi="arial" w:cs="arial"/>
          <w:sz w:val="20"/>
          <w:lang w:val="en-US" w:eastAsia="en-US" w:bidi="ar-SA"/>
        </w:rPr>
        <w:cr/>
      </w:r>
    </w:p>
    <w:p>
      <w:pPr>
        <w:numPr>
          <w:numId w:val="7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Does the evidence establish that there is a substantial possibility that the alleged loss will occur?</w:t>
      </w:r>
    </w:p>
    <w:p>
      <w:pPr>
        <w:numPr>
          <w:numId w:val="7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so, what is the actual likelihood of the loss occurring?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See: Steenblok v. Funk </w:t>
      </w:r>
      <w:hyperlink r:id="rId14" w:history="1">
        <w:r>
          <w:rPr>
            <w:rFonts w:ascii="arial" w:eastAsia="arial" w:hAnsi="arial" w:cs="arial"/>
            <w:i/>
            <w:color w:val="0077CC"/>
            <w:sz w:val="20"/>
            <w:u w:val="single"/>
            <w:shd w:val="clear" w:color="auto" w:fill="FFFFFF"/>
            <w:lang w:val="en-US" w:eastAsia="en-US" w:bidi="ar-SA"/>
          </w:rPr>
          <w:t>(1990), 46 B.C.L.R. (2d) 133</w:t>
        </w:r>
      </w:hyperlink>
      <w:r>
        <w:rPr>
          <w:rFonts w:ascii="arial" w:eastAsia="arial" w:hAnsi="arial" w:cs="arial"/>
          <w:color w:val="000000"/>
          <w:sz w:val="20"/>
          <w:lang w:val="en-US" w:eastAsia="en-US" w:bidi="ar-SA"/>
        </w:rPr>
        <w:t xml:space="preserve"> (C.A.); Parypa v. Wickware </w:t>
      </w:r>
      <w:hyperlink r:id="rId142" w:history="1">
        <w:r>
          <w:rPr>
            <w:rFonts w:ascii="arial" w:eastAsia="arial" w:hAnsi="arial" w:cs="arial"/>
            <w:i/>
            <w:color w:val="0077CC"/>
            <w:sz w:val="20"/>
            <w:u w:val="single"/>
            <w:shd w:val="clear" w:color="auto" w:fill="FFFFFF"/>
            <w:lang w:val="en-US" w:eastAsia="en-US" w:bidi="ar-SA"/>
          </w:rPr>
          <w:t>(1999), 65 B.C.L.R. (3d) 155</w:t>
        </w:r>
      </w:hyperlink>
      <w:r>
        <w:rPr>
          <w:rFonts w:ascii="arial" w:eastAsia="arial" w:hAnsi="arial" w:cs="arial"/>
          <w:color w:val="000000"/>
          <w:sz w:val="20"/>
          <w:lang w:val="en-US" w:eastAsia="en-US" w:bidi="ar-SA"/>
        </w:rPr>
        <w:t xml:space="preserve"> (C.A.) at 177.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Counsel submitted that, in other words, the plaintiff must establish a "substantial possibility" of the future loss occurring, before damages for that loss can be assessed. This requires proof beyond mere conjecture: See T.W.N.A., supra, at para. 79. At para. 96 Smith J.A. said,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Since the trial judge found that the sexual assaults were a cause of the plaintiffs' psychological and emotional difficulties, he was obliged to consider the evidence that the plaintiffs suffer from impaired earning capacities as a result of those psychological and emotional difficulties and to award damages to the extent that the difficulties were a cause of that impairment. He did not address his mind to a comparison of the plaintiffs' present earning capacities with their original earning capacities, absent the sexual assaults.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xml:space="preserve">  Counsel noted that at the valuation stage, our Court of Appeal has cautioned against an overly mathematical or statistical approach to valuing loss of future earning capacity. The Court ought to endeavour to make an informed estimate or assessment of anticipated loss, as opposed to merely undertaking a computation. The relevant inquiry is the extent to which the earning capacity of the individual plaintiff has been impacted by the tortious conduct. It is important to focus on the historical background of the individual plaintiff in assessing a claim of loss of earning capacity: See O'Brien (Guardian ad litem of) v. Anderson </w:t>
      </w:r>
      <w:hyperlink r:id="rId143" w:history="1">
        <w:r>
          <w:rPr>
            <w:rFonts w:ascii="arial" w:eastAsia="arial" w:hAnsi="arial" w:cs="arial"/>
            <w:i/>
            <w:color w:val="0077CC"/>
            <w:sz w:val="20"/>
            <w:u w:val="single"/>
            <w:shd w:val="clear" w:color="auto" w:fill="FFFFFF"/>
            <w:lang w:val="en-US" w:eastAsia="en-US" w:bidi="ar-SA"/>
          </w:rPr>
          <w:t>(2000), 142 B.C.A.C. 45</w:t>
        </w:r>
      </w:hyperlink>
      <w:r>
        <w:rPr>
          <w:rFonts w:ascii="arial" w:eastAsia="arial" w:hAnsi="arial" w:cs="arial"/>
          <w:color w:val="000000"/>
          <w:sz w:val="20"/>
          <w:lang w:val="en-US" w:eastAsia="en-US" w:bidi="ar-SA"/>
        </w:rPr>
        <w:t>, at para. 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xml:space="preserve">  Counsel also noted that in M.B. v. B.C., </w:t>
      </w:r>
      <w:hyperlink r:id="rId144" w:history="1">
        <w:r>
          <w:rPr>
            <w:rFonts w:ascii="arial" w:eastAsia="arial" w:hAnsi="arial" w:cs="arial"/>
            <w:i/>
            <w:color w:val="0077CC"/>
            <w:sz w:val="20"/>
            <w:u w:val="single"/>
            <w:shd w:val="clear" w:color="auto" w:fill="FFFFFF"/>
            <w:lang w:val="en-US" w:eastAsia="en-US" w:bidi="ar-SA"/>
          </w:rPr>
          <w:t>[2000] B.C.J. No. 909</w:t>
        </w:r>
      </w:hyperlink>
      <w:r>
        <w:rPr>
          <w:rFonts w:ascii="arial" w:eastAsia="arial" w:hAnsi="arial" w:cs="arial"/>
          <w:color w:val="000000"/>
          <w:sz w:val="20"/>
          <w:lang w:val="en-US" w:eastAsia="en-US" w:bidi="ar-SA"/>
        </w:rPr>
        <w:t xml:space="preserve"> (C.A.), reversed on other grounds </w:t>
      </w:r>
      <w:hyperlink r:id="rId145" w:history="1">
        <w:r>
          <w:rPr>
            <w:rFonts w:ascii="arial" w:eastAsia="arial" w:hAnsi="arial" w:cs="arial"/>
            <w:i/>
            <w:color w:val="0077CC"/>
            <w:sz w:val="20"/>
            <w:u w:val="single"/>
            <w:shd w:val="clear" w:color="auto" w:fill="FFFFFF"/>
            <w:lang w:val="en-US" w:eastAsia="en-US" w:bidi="ar-SA"/>
          </w:rPr>
          <w:t>[2003] 2 S.C.R. 477</w:t>
        </w:r>
      </w:hyperlink>
      <w:r>
        <w:rPr>
          <w:rFonts w:ascii="arial" w:eastAsia="arial" w:hAnsi="arial" w:cs="arial"/>
          <w:color w:val="000000"/>
          <w:sz w:val="20"/>
          <w:lang w:val="en-US" w:eastAsia="en-US" w:bidi="ar-SA"/>
        </w:rPr>
        <w:t xml:space="preserve">, </w:t>
      </w:r>
      <w:hyperlink r:id="rId146" w:history="1">
        <w:r>
          <w:rPr>
            <w:rFonts w:ascii="arial" w:eastAsia="arial" w:hAnsi="arial" w:cs="arial"/>
            <w:i/>
            <w:color w:val="0077CC"/>
            <w:sz w:val="20"/>
            <w:u w:val="single"/>
            <w:shd w:val="clear" w:color="auto" w:fill="FFFFFF"/>
            <w:lang w:val="en-US" w:eastAsia="en-US" w:bidi="ar-SA"/>
          </w:rPr>
          <w:t>[2003] S.C.J. No. 53</w:t>
        </w:r>
      </w:hyperlink>
      <w:r>
        <w:rPr>
          <w:rFonts w:ascii="arial" w:eastAsia="arial" w:hAnsi="arial" w:cs="arial"/>
          <w:color w:val="000000"/>
          <w:sz w:val="20"/>
          <w:lang w:val="en-US" w:eastAsia="en-US" w:bidi="ar-SA"/>
        </w:rPr>
        <w:t>, Levine J. (as she then was) reviewed a series of childhood sexual abuse cases, noting the differences in terminology and classification schemes adopted in analyses pertaining to income loss. Based upon her review, Her Ladyship made the following remarks at paras. 297 to 299:</w:t>
      </w:r>
      <w:r>
        <w:rPr>
          <w:rFonts w:ascii="arial" w:eastAsia="arial" w:hAnsi="arial" w:cs="arial"/>
          <w:sz w:val="20"/>
          <w:lang w:val="en-US" w:eastAsia="en-US" w:bidi="ar-SA"/>
        </w:rPr>
        <w:cr/>
      </w:r>
    </w:p>
    <w:p>
      <w:pPr>
        <w:numPr>
          <w:numId w:val="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[Q]uantifying past and future pecuniary losses in childhood sexual abuse cases presents some unique difficulties ...</w:t>
      </w:r>
    </w:p>
    <w:p>
      <w:pPr>
        <w:numPr>
          <w:numId w:val="7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childhood sexual abuse cases there is rarely an educational or employment history unaffected by the injury to serve either as a baseline measure of natural aptitude or intelligence or of pretrial income, or as a predictor of future capacity to earn ... Thus, when the court gazes into the proverbial crystal ball, the lost or impaired capacity that it discovers there is relevant to the quantification of both past and future loss.</w:t>
      </w:r>
    </w:p>
    <w:p>
      <w:pPr>
        <w:numPr>
          <w:numId w:val="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Not surprisingly, therefore, the legal principles developed for the assessment of future loss of capacity are sometimes referred to by judges to assist in the assessment of damages for past pecuniary losses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xml:space="preserve">  For these reasons, Levine J. adopted as relevant to the analysis of past pecuniary loss the considerations set out in Pallos v. I.C.B.C. </w:t>
      </w:r>
      <w:hyperlink r:id="rId21" w:history="1">
        <w:r>
          <w:rPr>
            <w:rFonts w:ascii="arial" w:eastAsia="arial" w:hAnsi="arial" w:cs="arial"/>
            <w:i/>
            <w:color w:val="0077CC"/>
            <w:sz w:val="20"/>
            <w:u w:val="single"/>
            <w:shd w:val="clear" w:color="auto" w:fill="FFFFFF"/>
            <w:lang w:val="en-US" w:eastAsia="en-US" w:bidi="ar-SA"/>
          </w:rPr>
          <w:t>(1995), 100 B.C.L.R. (2d) 260</w:t>
        </w:r>
      </w:hyperlink>
      <w:r>
        <w:rPr>
          <w:rFonts w:ascii="arial" w:eastAsia="arial" w:hAnsi="arial" w:cs="arial"/>
          <w:color w:val="000000"/>
          <w:sz w:val="20"/>
          <w:lang w:val="en-US" w:eastAsia="en-US" w:bidi="ar-SA"/>
        </w:rPr>
        <w:t>. In that case, Finch J.A. (as he then was) (Goldie J.A. concurring) refers approvingly to a number of passages that describe the capital asset approach used to calculate the impairment of a complainant's capacity to earn income in the future, at paras. 24 to 26:</w:t>
      </w:r>
      <w:r>
        <w:rPr>
          <w:rFonts w:ascii="arial" w:eastAsia="arial" w:hAnsi="arial" w:cs="arial"/>
          <w:sz w:val="20"/>
          <w:lang w:val="en-US" w:eastAsia="en-US" w:bidi="ar-SA"/>
        </w:rPr>
        <w:cr/>
      </w:r>
    </w:p>
    <w:p>
      <w:pPr>
        <w:numPr>
          <w:numId w:val="8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addition to those cases cited by counsel, I would also refer to Kwei v. Boisclair </w:t>
      </w:r>
      <w:hyperlink r:id="rId19" w:history="1">
        <w:r>
          <w:rPr>
            <w:rFonts w:ascii="arial" w:eastAsia="arial" w:hAnsi="arial" w:cs="arial"/>
            <w:i/>
            <w:color w:val="0077CC"/>
            <w:sz w:val="20"/>
            <w:u w:val="single"/>
            <w:shd w:val="clear" w:color="auto" w:fill="FFFFFF"/>
            <w:lang w:val="en-US" w:eastAsia="en-US" w:bidi="ar-SA"/>
          </w:rPr>
          <w:t>(1991), 60 B.C.L.R. (2d) 393</w:t>
        </w:r>
      </w:hyperlink>
      <w:r>
        <w:rPr>
          <w:rFonts w:ascii="arial" w:eastAsia="arial" w:hAnsi="arial" w:cs="arial"/>
          <w:color w:val="000000"/>
          <w:sz w:val="20"/>
          <w:lang w:val="en-US" w:eastAsia="en-US" w:bidi="ar-SA"/>
        </w:rPr>
        <w:t xml:space="preserve"> (C.A.). There Mr. Justice Taggart quoted with approval from Brown v. Golaiy, </w:t>
      </w:r>
      <w:hyperlink r:id="rId15" w:history="1">
        <w:r>
          <w:rPr>
            <w:rFonts w:ascii="arial" w:eastAsia="arial" w:hAnsi="arial" w:cs="arial"/>
            <w:i/>
            <w:color w:val="0077CC"/>
            <w:sz w:val="20"/>
            <w:u w:val="single"/>
            <w:shd w:val="clear" w:color="auto" w:fill="FFFFFF"/>
            <w:lang w:val="en-US" w:eastAsia="en-US" w:bidi="ar-SA"/>
          </w:rPr>
          <w:t>[1985] B.C.J. No. 31</w:t>
        </w:r>
      </w:hyperlink>
      <w:r>
        <w:rPr>
          <w:rFonts w:ascii="arial" w:eastAsia="arial" w:hAnsi="arial" w:cs="arial"/>
          <w:color w:val="000000"/>
          <w:sz w:val="20"/>
          <w:lang w:val="en-US" w:eastAsia="en-US" w:bidi="ar-SA"/>
        </w:rPr>
        <w:t>, as follows (at p. 399):</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The means by which the value of the lost, or impaired, asset is to be assessed varies of course from case to case. Some of the considerations to take into account in making that assessment include whether:</w:t>
      </w:r>
    </w:p>
    <w:p>
      <w:pPr>
        <w:numPr>
          <w:numId w:val="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been rendered less capable overall from earning income from all types of employment;</w:t>
      </w:r>
    </w:p>
    <w:p>
      <w:pPr>
        <w:numPr>
          <w:numId w:val="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marketable or attractive as an employee to potential employers;</w:t>
      </w:r>
    </w:p>
    <w:p>
      <w:pPr>
        <w:numPr>
          <w:numId w:val="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lost the ability to take advantage of all job opportunities which might otherwise have been open to him, had he not been injured; and</w:t>
      </w:r>
    </w:p>
    <w:p>
      <w:pPr>
        <w:numPr>
          <w:numId w:val="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valuable to himself as a person capable of earning income in a competitive labour market.</w:t>
      </w:r>
    </w:p>
    <w:p>
      <w:pPr>
        <w:numPr>
          <w:numId w:val="8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Palmer v. Goodall, </w:t>
      </w:r>
      <w:hyperlink r:id="rId18" w:history="1">
        <w:r>
          <w:rPr>
            <w:rFonts w:ascii="arial" w:eastAsia="arial" w:hAnsi="arial" w:cs="arial"/>
            <w:i/>
            <w:color w:val="0077CC"/>
            <w:sz w:val="20"/>
            <w:u w:val="single"/>
            <w:shd w:val="clear" w:color="auto" w:fill="FFFFFF"/>
            <w:lang w:val="en-US" w:eastAsia="en-US" w:bidi="ar-SA"/>
          </w:rPr>
          <w:t>[1991] B.C.J. No. 16</w:t>
        </w:r>
      </w:hyperlink>
      <w:r>
        <w:rPr>
          <w:rFonts w:ascii="arial" w:eastAsia="arial" w:hAnsi="arial" w:cs="arial"/>
          <w:color w:val="000000"/>
          <w:sz w:val="20"/>
          <w:lang w:val="en-US" w:eastAsia="en-US" w:bidi="ar-SA"/>
        </w:rPr>
        <w:t>, Madam Justice Southin said at p. 59:</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Because it is impairment that is being redressed, even a plaintiff who is apparently going to be able to earn as much as he could have earned if not injured or who, with retraining, on the balance of probabilities will be able to do so, is entitled to some compensation for the impairment. He is entitled to it because for the rest of his life some occupations will be closed to him and it is impossible to say that over his working life the impairment will not harm his income earning ability.</w:t>
      </w:r>
    </w:p>
    <w:p>
      <w:pPr>
        <w:numPr>
          <w:numId w:val="8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Earnshaw v. Despins, </w:t>
      </w:r>
      <w:hyperlink r:id="rId17" w:history="1">
        <w:r>
          <w:rPr>
            <w:rFonts w:ascii="arial" w:eastAsia="arial" w:hAnsi="arial" w:cs="arial"/>
            <w:i/>
            <w:color w:val="0077CC"/>
            <w:sz w:val="20"/>
            <w:u w:val="single"/>
            <w:shd w:val="clear" w:color="auto" w:fill="FFFFFF"/>
            <w:lang w:val="en-US" w:eastAsia="en-US" w:bidi="ar-SA"/>
          </w:rPr>
          <w:t>[1990] B.C.J. No. 944</w:t>
        </w:r>
      </w:hyperlink>
      <w:r>
        <w:rPr>
          <w:rFonts w:ascii="arial" w:eastAsia="arial" w:hAnsi="arial" w:cs="arial"/>
          <w:color w:val="000000"/>
          <w:sz w:val="20"/>
          <w:lang w:val="en-US" w:eastAsia="en-US" w:bidi="ar-SA"/>
        </w:rPr>
        <w:t>, Madam Justice Southin said (at p. 399):</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In my opinion, the true questions the jury must address in a claim such as this are:</w:t>
      </w:r>
    </w:p>
    <w:p>
      <w:pPr>
        <w:numPr>
          <w:numId w:val="8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Has the plaintiff's earning capacity been impaired to any degree by his injuries?</w:t>
      </w:r>
    </w:p>
    <w:p>
      <w:pPr>
        <w:numPr>
          <w:numId w:val="8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so, what amount in the light of all the evidence should be awarded for that impairment?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Dickson J., as he then was, said in Andrews v. Grand &amp; Toy (Alta.) Ltd., </w:t>
      </w:r>
      <w:hyperlink r:id="rId16"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xml:space="preserve"> at 251 ...</w:t>
      </w:r>
    </w:p>
    <w:p>
      <w:pPr>
        <w:spacing w:before="120" w:line="260" w:lineRule="atLeast"/>
        <w:ind w:left="1800"/>
        <w:rPr>
          <w:rFonts w:ascii="arial" w:eastAsia="arial" w:hAnsi="arial" w:cs="arial"/>
          <w:sz w:val="20"/>
          <w:lang w:val="en-US" w:eastAsia="en-US" w:bidi="ar-SA"/>
        </w:rPr>
      </w:pPr>
      <w:r>
        <w:rPr>
          <w:rFonts w:ascii="arial" w:eastAsia="arial" w:hAnsi="arial" w:cs="arial"/>
          <w:color w:val="000000"/>
          <w:sz w:val="20"/>
          <w:lang w:val="en-US" w:eastAsia="en-US" w:bidi="ar-SA"/>
        </w:rPr>
        <w:t>It is not loss of earnings but rather, loss of earning capacity for which compensation must be made ... A capital asset has been lost: what was its value?</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In catastrophic injury cases, the whole of the capital asset is lost. But there may be much less serious injuries which cause permanent impairment although the loss cannot be determined with any degree of exactitude.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Levine J. went on to award damages for loss of past opportunity to earn income, and loss of future earning capacity resulting from the sexual abuse by the defendant. In doing so she noted, at para. 306,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Statistical evidence concerning earning capacity provides a useful tool to assist the court in assessing damages, bearing in mind that there is no mathematical formula to calculate the loss the plaintiff has or is likely to suffer in the future due to her impaired capacity to earn.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Counsel submitted that the starting point for assessing the plaintiff's past wage loss claim should be the figures in column 9 of Table 1 at p. 7 of the October 7, 2003 report of Mr. Robert Carson, a consulting economist. She submitted that had the plaintiff left Oakalla and returned to landscaping, without the impairment caused by the sexual assaults, and worked half time for the first two years (1989 and 1990), he would have earned approximately $13,937 during that period. Had he then worked full-time for the following thirteen years (up until December 31, 2003), he would have earned an additional $370,469. According to Mr. Carson, at p. 3, non-wage benefits with a value of 6% - 8% should be added ($26,908, assuming a 7% award) for a total past wage loss of $411,314.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Counsel contended that assuming the plaintiff enters the workforce part-time commencing July 1, 2004, and works part-time until December 31, 2004, he would suffer a future income loss during that period of $31,316.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Counsel argued that the plaintiff's future loss of earning capacity is more difficult to measure. Mr. Carson's table shows what a man of his present educational attainment could expect to earn over his lifetime. Counsel submitted that the plaintiff had the ability to improve his education, although it is less likely that he will do so now. She said that he had the confidence and self-drive to build a business from very little, and likely does not have the confidence anymore, although his leisure pursuits and his commitment to counselling, and the methadone program indicates that he still has an admirable degree of determination. She noted that he continues, however, to have a very low tolerance for frustration, and a lack of ability to achieve a balance between assertiveness and anger. According to counsel, these latter difficulties will be enormous impediments in the working world and that while he may be able to remain working for and with K. permanently, it is a real possibility that his commitment to K. and K.'s commitment to him may not withstand his impairments. He may have to quit or be asked to leave. If he does leave the safety of working for K., he will probably go through a number of short-term jobs before he finds a niche in which he can function without his self-destructive tendencies interfering with his job performance. Counsel submitted that an appropriate award for the plaintiff's loss of future earning capacity is $200,000.</w:t>
      </w:r>
      <w:r>
        <w:rPr>
          <w:rFonts w:ascii="arial" w:eastAsia="arial" w:hAnsi="arial" w:cs="arial"/>
          <w:sz w:val="20"/>
          <w:lang w:val="en-US" w:eastAsia="en-US" w:bidi="ar-SA"/>
        </w:rPr>
        <w:cr/>
      </w:r>
    </w:p>
    <w:p>
      <w:pPr>
        <w:numPr>
          <w:numId w:val="8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defence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Defence counsel argued that the most significant factor to be considered by the Court on the plaintiff's past wage loss claim is that the plaintiff has spent the majority of his adult life in jail. As well, the plaintiff has "earned" money from criminal activities during the course of his life, for the most part to maintain his addictions to cocaine and heroin.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In considering whether the plaintiff should be compensated for the time he spent in jail after being convicted of criminal offences, defence counsel submitted that as a matter of public policy it would be contrary to the goals of tort law, and contrary to the underpinnings of the criminal law (personal responsibility and free will) to award civil damages to a claimant for the time spent by the claimant behind bars.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Counsel said that the plaintiff was convicted of various crimes, presumably after a full and fair trial, and his actions were worthy of the full sanction of the criminal law. Counsel also submitted that to accept the argument implicit in the plaintiff's submissions on damages, namely that his abuse by R.D.M. caused his heroin addiction which in turn led him to a life of crime, suggests that the plaintiff lacked the requisite mens rea and that the blame lies elsewhere for his actions. Counsel contended that as a matter of judicial and public policy, this implicit assumption must be wrong. He said that it is perverse to consider that the plaintiff could be compensated in loss of income for time spent in prison.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xml:space="preserve">  This concept was considered by the Saskatchewan Court of Appeal in H.L. v. Canada (Attorney General) </w:t>
      </w:r>
      <w:hyperlink r:id="rId147" w:history="1">
        <w:r>
          <w:rPr>
            <w:rFonts w:ascii="arial" w:eastAsia="arial" w:hAnsi="arial" w:cs="arial"/>
            <w:i/>
            <w:color w:val="0077CC"/>
            <w:sz w:val="20"/>
            <w:u w:val="single"/>
            <w:shd w:val="clear" w:color="auto" w:fill="FFFFFF"/>
            <w:lang w:val="en-US" w:eastAsia="en-US" w:bidi="ar-SA"/>
          </w:rPr>
          <w:t>(2002), 227 Sask.R. 165</w:t>
        </w:r>
      </w:hyperlink>
      <w:r>
        <w:rPr>
          <w:rFonts w:ascii="arial" w:eastAsia="arial" w:hAnsi="arial" w:cs="arial"/>
          <w:color w:val="000000"/>
          <w:sz w:val="20"/>
          <w:lang w:val="en-US" w:eastAsia="en-US" w:bidi="ar-SA"/>
        </w:rPr>
        <w:t xml:space="preserve">, </w:t>
      </w:r>
      <w:hyperlink r:id="rId147" w:history="1">
        <w:r>
          <w:rPr>
            <w:rFonts w:ascii="arial" w:eastAsia="arial" w:hAnsi="arial" w:cs="arial"/>
            <w:i/>
            <w:color w:val="0077CC"/>
            <w:sz w:val="20"/>
            <w:u w:val="single"/>
            <w:shd w:val="clear" w:color="auto" w:fill="FFFFFF"/>
            <w:lang w:val="en-US" w:eastAsia="en-US" w:bidi="ar-SA"/>
          </w:rPr>
          <w:t>[2003] 5 W.W.R. 421</w:t>
        </w:r>
      </w:hyperlink>
      <w:r>
        <w:rPr>
          <w:rFonts w:ascii="arial" w:eastAsia="arial" w:hAnsi="arial" w:cs="arial"/>
          <w:color w:val="000000"/>
          <w:sz w:val="20"/>
          <w:lang w:val="en-US" w:eastAsia="en-US" w:bidi="ar-SA"/>
        </w:rPr>
        <w:t>. In that case, the plaintiff brought an action against the Crown seeking damages for the actions of a former employee for sexual battery. The plaintiff alleged that the employee forced two acts of masturbation on him during his participation in a program run by the employee. The plaintiff, who had a lengthy criminal record and had not held significant periods of employment, received damages of $400,000, which included a significant award for past and future earnings. The Court held that the trial judge was quite wrong in attributing the plaintiff's "criminal behaviour" and its earning-capacity consequences to the wrongdoing of the employee. At paras. 239-242, Cameron J.A., for the Court, said:</w:t>
      </w:r>
      <w:r>
        <w:rPr>
          <w:rFonts w:ascii="arial" w:eastAsia="arial" w:hAnsi="arial" w:cs="arial"/>
          <w:sz w:val="20"/>
          <w:lang w:val="en-US" w:eastAsia="en-US" w:bidi="ar-SA"/>
        </w:rPr>
        <w:cr/>
      </w:r>
    </w:p>
    <w:p>
      <w:pPr>
        <w:numPr>
          <w:numId w:val="8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Having regard to the compensatory principle, it would be an extraordinary thing to award a plaintiff damages for loss of earning capacity while incarcerated. Yet that is the very thing the trial judge did. In determining the plaintiff's loss of earnings, he included periods of time the man was in prison. During the period 1979 to 1984, for example, the trial judge took the plaintiff to have sustained a loss of earnings, attributable to Starr's wrongdoing, without regard for the fact the plaintiff spent a good part of the period in jail. During this period, he had been sentenced on numerous occasions to terms of imprisonment, which taken together added up to something in the order of 40 months, not counting concurrent time. By way of further example, the trial judge found the plaintiff to have earned nothing in the year 1991, while at the same time finding he would have earned $330 a week as a mechanic but for Starr's wrongdoing. The plaintiff, however, had been in jail most of the year. Asked about his lack of income in 1991, the plaintiff acknowledged he had been "in jail quite a bit that year", adding that apart from receiving social assistance, he had no other income because he "was in and out of jail that year." (Transcript of evidence at pp. 138 and 139, and p. 226).</w:t>
      </w:r>
    </w:p>
    <w:p>
      <w:pPr>
        <w:numPr>
          <w:numId w:val="8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point is that the plaintiff, while incarcerated, was unable to work for that reason - a reason attributable, perforce, to intentional acts on his part and to the resulting imposition of terms of imprisonment by the courts, not to Starr's wrongdoing. Still, he was compensated. The prospect of so compensating someone in tort was commented upon in principle, rather compellingly in our judgment, by E.K. Banakas in "Tort Damages and the Decline of Fault Liability: Plato Overruled, But Full Marks to Aristotle!" [1985] Cambridge Law Journal 195 at p. 197:</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Although it is morally irrational to punish a person unable to account for his actions, it is even less rational to compensate such a person for his punishment following his unchallenged conviction for a mens rea offence; if the conviction stands, punishment is a lawful injury, if not, there should be no punishment at all and no injury of the kind compensated in this case. Tort law has quite enough on its plate without having to play criminal law's conscience; besides, if lawful injury, inflicted by the courts themselves, starts being compensated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where will it end?</w:t>
      </w:r>
    </w:p>
    <w:p>
      <w:pPr>
        <w:numPr>
          <w:numId w:val="8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was cited with approval by Samuels J.A. in State Rail Authority of New South Wales v. Wiegold (1991), 25 N.S.W.L.R. 500 (C.A.) at p. 514, a case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featuring a claim for damages, including damages for loss of this nature. We respectfully agree with the rejection of such claim by Samuels J.A., who went on to add:</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the plaintiff has been convicted and sentenced for a crime, it means that the criminal law has taken him to be responsible for his actions, and has imposed an appropriate penalty. He or she should therefore bear the consequences of the punishment, both direct and indirect. If the law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were to say, in effect, that the offender was not responsible for his actions and should be compensated by the tortfeasor, it would set the determination of the criminal court at naught. It would generate the sort of clash between civil and criminal law that is apt to bring the law into disrepute.</w:t>
      </w:r>
    </w:p>
    <w:p>
      <w:pPr>
        <w:numPr>
          <w:numId w:val="9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(Reference might also be had to Sebastian v. Saskatchewan Workers' Compensation Board </w:t>
      </w:r>
      <w:hyperlink r:id="rId148" w:history="1">
        <w:r>
          <w:rPr>
            <w:rFonts w:ascii="arial" w:eastAsia="arial" w:hAnsi="arial" w:cs="arial"/>
            <w:i/>
            <w:color w:val="0077CC"/>
            <w:sz w:val="20"/>
            <w:u w:val="single"/>
            <w:shd w:val="clear" w:color="auto" w:fill="FFFFFF"/>
            <w:lang w:val="en-US" w:eastAsia="en-US" w:bidi="ar-SA"/>
          </w:rPr>
          <w:t>(1995), 119 D.L.R. (4th) 528</w:t>
        </w:r>
      </w:hyperlink>
      <w:r>
        <w:rPr>
          <w:rFonts w:ascii="arial" w:eastAsia="arial" w:hAnsi="arial" w:cs="arial"/>
          <w:color w:val="000000"/>
          <w:sz w:val="20"/>
          <w:lang w:val="en-US" w:eastAsia="en-US" w:bidi="ar-SA"/>
        </w:rPr>
        <w:t xml:space="preserve"> (Sask. C.A.), wherein the Board rejected a claim for workers' compensation while the claimant was in prison, having regard for the provision of the statute providing for compensation for "the loss of earning capacity resulting from the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The Supreme Court of Canada heard the appeal from the judgment in H.L. v. Canada (Attorney General), supra, on May 13, 2004. Judgment was reserved.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The defence position is that the reasoning of the Court in H.L. v. Canada (Attorney General), supra, is consistent with the leading decisions of the courts in Canada and other Commonwealth jurisdictions. Counsel argued that these cases establish that tort damages should not be ordered as compensation for an intentional criminal act by a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xml:space="preserve">  The leading Canadian case on the availability in a tort action of a defence based on the ex turpi causa principle is the decision of the Supreme Court of Canada in Hall v. Hebert, </w:t>
      </w:r>
      <w:hyperlink r:id="rId149" w:history="1">
        <w:r>
          <w:rPr>
            <w:rFonts w:ascii="arial" w:eastAsia="arial" w:hAnsi="arial" w:cs="arial"/>
            <w:i/>
            <w:color w:val="0077CC"/>
            <w:sz w:val="20"/>
            <w:u w:val="single"/>
            <w:shd w:val="clear" w:color="auto" w:fill="FFFFFF"/>
            <w:lang w:val="en-US" w:eastAsia="en-US" w:bidi="ar-SA"/>
          </w:rPr>
          <w:t>[1993] 2 S.C.R. 159</w:t>
        </w:r>
      </w:hyperlink>
      <w:r>
        <w:rPr>
          <w:rFonts w:ascii="arial" w:eastAsia="arial" w:hAnsi="arial" w:cs="arial"/>
          <w:color w:val="000000"/>
          <w:sz w:val="20"/>
          <w:lang w:val="en-US" w:eastAsia="en-US" w:bidi="ar-SA"/>
        </w:rPr>
        <w:t>. The plaintiff in that case suffered serious head injuries while at the wheel of the defendant's motor vehicle. The issue before the Court was whether the plaintiff's action was barred on the grounds that the plaintiff, at the time of the accident, had care and control of a motor vehicle while intoxicated, contrary to s. 253 of the Criminal Code.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A majority of the Court in Hall v. Hebert, supra, held that while the ex turpi causa principle did not apply in the circumstances, there were cases in which recovery of damages might be precluded on the grounds of the defendant's illegal conduct. In seeking to define the circumstances in which illegality might be relevant to a tort damage award, the Court reviewed the rationale underlying the ex turpi causa principle as illustrated by those cases where recovery was denied on the grounds of illegality. At para. 15 the Court refers to one such category of cause where the courts refuse to permit a wrongdoer to receive monetary benefit for criminal activity: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some cases the courts may disallow a particular head of damages on the basis that to award that head of damages would be to permit the plaintiff to profit indirectly from his or her crime, in the sense of obtaining remuneration for it. A claim for damages for personal injuries under the head of loss of future earnings, where the claimed earnings are based on an illegal occupation, will not be allowed because it would amount to the court's rewarding the plaintiff for an illegal activity, permitting the plaintiff to profit from his or her wrong.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The Court acknowledged that there are other categories of cases in which recovery of certain heads of damages might be barred on the basis of the defendant's illegal conduct. In the Court's view, all such cases can be understood by reference to the underlying rationale of the ex turpi causa principle, which the Court, at para. 17, summarized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more satisfactory explanation for these cases, I would venture, is that to allow recovery in these cases would be to allow recovery for what is illegal. It would put the courts in the position of saying that the same conduct is both legal, in the sense of being capable of rectification by the court, and illegal. It would, in short, introduce an inconsistency in the law. It is particularly important in this context that we bear in mind that the law must aspire to be a unified institution, the parts of which - contract, tort, the criminal law - must be in essential harmony. For the courts to punish conduct with the one hand while rewarding it with the other, would be to "create an intolerable fissure in the law's conceptually seamless web" ... We thus see that the concern, put at its most fundamental, is with the integrity of the legal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While the Court rejected the existence of a blanket defence in tort based on the ex turpi causa principle, it did affirm the continuing need for a defence that permits courts to deny recovery where an award of damages would undermine the integrity of the justice system. The application of this principle is justified where allowing the plaintiff's claim would "introduce inconsistency into the fabric of the law" by allowing a plaintiff to profit from an illegal act or evade a penalty prescribed by the criminal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xml:space="preserve">  Defence counsel submitted that it bears emphasis that the facts at issue in Hall v. Hebert, supra, are distinguishable from those in the case at bar. Hall v. Hebert, supra, did not address the issue of whether damages for loss of earnings may be awarded for a period that a person is incarcerated. Rather, the issue was whether an action in tort was wholly barred on the ground that the plaintiff was intoxicated at the time of the accident. The Court held that there was no overlap between the illegal conduct and the injuries for which compensation was sought - i.e., the injuries were sufficiently independent of the illegal activity not to bar recovery. Counsel said that, significantly, the Court further held that the question of the plaintiff's culpability could be dealt with by way of a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defence. On the facts of the case, the Court equally apportioned liability between the plaintiff and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Counsel submitted that the analytic framework established by the Court in Hall v. Hebert, supra, is consistent with the approach taken by other Commonwealth courts to the application of the ex turpi causa principle in a tort action. He said that the most relevant precedents for present purposes are the decisions of the English Court of Appeal in Clunis v. Camden &amp; Islington Health Authority, [1988] Q.B. 978, and the New South Wales Court of Appeal in State Rail Authority of New South Wales v. Wiegold (1991), 25 N.S.W.L.R. 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xml:space="preserve">  In Clunis, supra, the plaintiff sought damages he allegedly suffered as a result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health authority in failing to properly monitor and assess the plaintiff after he was released from a mental health facility. While on release, the plaintiff killed a bystander and was charged with murder. He subsequently pleaded guilty to a charge of manslaughter on the ground of diminished responsibility, and was ordered detained in a hospital. The plaintiff alleged that if the health authority had not breached its duty, he would not have committed manslaughter and would not be subject to a lengthy period of detention.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The Court of Appeal in Clunis, supra, affirmed that the ex turpi causa principle could apply to an action in tort where permitting recovery would violate the public policy underlying the doctrine. It would be inconsistent with that public policy for a court to assist a plaintiff seeking to enforce a cause of action where the action is founded on the plaintiff's own illegal conduct. At para. 24, on the facts before it, the Court concluded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present case the plaintiff has been convicted of a serious criminal offence. In such a case public policy would in our judgment preclude the court from entertaining the plaintiff's claim unless it could be said that he did not know the nature and quality of his act or that what he was doing was wrong. The offence of murder was reduced to one of manslaughter by reason of the plaintiff's mental disorder but his mental state did not justify a verdict of not guilty by reason of insanity. Consequently, though his responsibility for killing Mr. Zito is diminished, he must be taken to have known what he was doing and that it was wrong.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In Wiegold, supra, the Court similarly held that the plaintiff could not recover wage loss damages for a period that the plaintiff was incarcerated on a drug conviction. The Court held that a defendant should not be held responsible for losses that a plaintiff sustains from a "rational and voluntary decision to engage in criminal activity", stating at p. 15: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the plaintiff has been convicted and sentenced for a crime, it means that the criminal law has taken him to be responsible for his actions, and has imposed an appropriate penalty. He or she should therefore bear the consequences of the punishment, both direct and indirect. If the law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were to say, in effect, that the offender was not responsible for his actions and should be compensated by the tortfeasor, it would set the determination of the criminal court at nought. It would generate the sort of clash between civil and criminal law that is apt to bring the law into disrepute.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Counsel contended that Wiegold and Clunis, supra, establish a rule that is consistent with Hall v. Hebert, supra: civil damages cannot be awarded as compensation for unlawful conduct by a defendant. Counsel said that such a rule is necessary to preserve the integrity of the justice system, and to prevent the civil courts from undermining the criminal courts by awarding damages for conduct that is subject to a criminal penalty.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Applying the authorities to the facts in the case at bar, counsel noted that the plaintiff sought compensation for lost earnings for a period of time in which he was unable to work as a result of his incarceration. Counsel submitted that as such, the instant case falls squarely within the rule established in Hall v. Hebert, supra, and echoed by other Commonwealth courts.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Counsel said that in Hall v. Hebert, supra, the Court identified the primary rationale underlying the ex turpi causa principle as the protection of the integrity of the legal system. As stated by the Court in Wiegold, where an individual has been convicted of a crime and sentenced to a period of incarceration "the criminal law has taken him to be responsible for his actions, and has imposed an appropriate penalty". Counsel insisted that it would undermine the efficacy of our justice system if tort law compensated behaviour that the criminal law has deemed worthy of sanction.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Counsel also argued that the dangers identified in Hall v. Hebert, supra, in permitting tort compensation in these circumstances is apparent in the plaintiff's submissions to this Court. In attempting to counter the policy against compensating intentional criminal behaviour, plaintiff's counsel in her supplementary submissions asks this Court to revisit the circumstances of the criminal convictions and sentences. For example, she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Defendant suggests that the measure of these holes [in employment] should be determined by the sentence meted out by a judge who was, because of the very secretive nature of the intentional tortious act, unaware of the significant mitigating circumstances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one thing to be convicted of an offence, but there are many factors taken into consideration in sentencing. Mr. R.D.M.'s contribution to the Plaintiff's stance in relation to the criminal justice system meant that he was unable to avail himself of the criminal law's mandate to take motivation into account and to tailor sentences to facilitate rehabilitation ... Because the hidden factor of being a victim of sexual abuse by a prison guard, the Plaintiff received more punishment than any of the sentencing judges could have intended.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Counsel said that, in other words, the plaintiff wishes this Court to adjust the penalty assigned by the criminal court. Counsel submitted that this is precisely the danger identified by the Court in Hall v. Hebert, supra, in acknowledging a continuing role for the ex turpi causa principle where a plaintiff seeks compensation for a criminal act. Counsel said that the plaintiff's inability to earn an income during the relevant time periods was caused by his own intentional criminal conduct and his resulting incarceration. To permit the Plaintiff to recover civil damages as compensation for his criminal conviction and penalty would undermine the important policy considerations highlighted in Hall v. Hebert, supra, and applied in H.L. v. Canada, supra.</w:t>
      </w:r>
      <w:r>
        <w:rPr>
          <w:rFonts w:ascii="arial" w:eastAsia="arial" w:hAnsi="arial" w:cs="arial"/>
          <w:sz w:val="20"/>
          <w:lang w:val="en-US" w:eastAsia="en-US" w:bidi="ar-SA"/>
        </w:rPr>
        <w:cr/>
      </w:r>
    </w:p>
    <w:p>
      <w:pPr>
        <w:numPr>
          <w:numId w:val="9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Plaintiff's reply to the defence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The plaintiff submitted that it is a fundamental principle of tort law that damages for personal injury are compensatory, and are intended, so far as money can, to put the plaintiff in the same financial position as if the accident had never happened. Counsel argued that the defence seeks to trump this principal with reference to an ill-defined public policy. She said that defence counsel would have the Court carve out time periods in the plaintiff's life defined by criminal sentences for the activities which were foreseeably precipitated, or at least aggravated by the intentional tortious conduct by a government employee. Counsel submitted, further, that the defence suggests that the measure of these holes should be determined by the sentence meted out by a judge who was, because of the very secretive nature of the intentional tortious act, unaware of significant mitigating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Plaintiff's counsel noted that the defence asks that this Court ignore the fact that the plaintiff, because of the nature of the tortious conduct, and that it was precipitated by a prison guard, was severely impaired in his ability to manage himself in the prison system, avail himself of the assistance that was available to him, and obtain the usual early release at one-third of his sentence.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As plaintiff's counsel pointed out in her submission, there are relatively few authorities which address the overlap of principles of compensation and criminal behaviour. The Saskatchewan Court of Appeal in H.L. relied on Wiegold, supra, which in turn referred to Meah v. McCreamer (No. 1), [1985] 1 All E.R. 367 (Q.B.), and Meah v. McCreamer and others (No. 2), [1986] 1 All E.R. 943 (Q.B.), two decisions of Woolf J. (as he then was) of the English Queen's Bench Division.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Mr. Meah was a car accident victim who suffered brain injuries which caused a marked personality change. Prior to the accident he had been convicted of various criminal offences including theft and burglary. He had spent time in a borstal. A self-described "skinhead", he had a history of street-type fighting, but had no history of violence against women. His ex-wife and girlfriend both testified that he was not physically abusive to them prior to the accident, but became sexually aggressive to them afterward. Three and a half years after the accident he raped and wounded three women. He was sentenced to life imprisonment and categorized as a highly dangerous prisoner.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Meah (No. 1), supra, addressed his claim for damages against the defendant driver. It appears, at p. 371, that the defendant conceded that "if it [could] be shown on the balance of probabilities that but for the accident and the injuries the plaintiff suffered as a result, he would not have committed the crimes referred to in the amended statement of claim and, therefore, would not be now serving a sentence of life imprisonment" the plaintiff would be entitled to be compensated.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The trial judge heard extensive medical evidence on behalf of the plaintiff and the defendant and concluded, at p. 383, that the defendant would probably have remained in the criminal subculture, continued drinking and taking drugs and "would have gone on indulging in crime from time to time ... well into his forties and perhaps into his fifties." He nonetheless concluded, at p. 382, that on the balance of probabilities the plaintiff would hot have attacked the women but for his head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xml:space="preserve">  In awarding general damages of 60,000 pounds (less 25% for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trial judge, at p. 383, took into consideration the following:</w:t>
      </w:r>
      <w:r>
        <w:rPr>
          <w:rFonts w:ascii="arial" w:eastAsia="arial" w:hAnsi="arial" w:cs="arial"/>
          <w:sz w:val="20"/>
          <w:lang w:val="en-US" w:eastAsia="en-US" w:bidi="ar-SA"/>
        </w:rPr>
        <w:cr/>
      </w:r>
    </w:p>
    <w:p>
      <w:pPr>
        <w:numPr>
          <w:numId w:val="9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those incarcerated for sex offences are treated with contempt by other inmates;</w:t>
      </w:r>
    </w:p>
    <w:p>
      <w:pPr>
        <w:numPr>
          <w:numId w:val="9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category A (dangerous) prisoner is subject to very considerable restraints on their activities beyond those on other prisoners; and</w:t>
      </w:r>
    </w:p>
    <w:p>
      <w:pPr>
        <w:numPr>
          <w:numId w:val="9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was a relatively young man who would probably spend very many years in jail and whose future likely seemed to him depressing and without hope.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The plaintiff did not claim any financial loss as a result of going to prison. Woolf J. found at p. 383 that "he is a person who might have worked from time to time, but the money that he has been saved as a result of being boarded in prison has apparently been regarded [by the plaintiff] as outweighing his loss." Counsel said that it should be noted that the notion of a deduction for "saved living expenses" during incarceration was rejected by Kay J. in O'Brien v. Independent Assessor, [2003] E.W.J. No. 2169 (Q.B.), on the basis of the decision of the House of Lords in Dews v. National Coal Board, [1987] H.L.J. No. 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At the conclusion of his reasons, Woolf J. said that he was prepared to hear argument on the question of the appropriateness of making a declaration that the plaintiff should be indemnified for any liability to the victims of his sexual assaults. That issue was argued one and a half years later after two of his victims were awarded damages against Mr. Meah.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In Meah (No. 2), supra, the plaintiff's claim against the negligent driver for damages for the amounts awarded to the two women was dismissed. Woolf J. found that the injuries to the sexual assault victims were too remote because:</w:t>
      </w:r>
      <w:r>
        <w:rPr>
          <w:rFonts w:ascii="arial" w:eastAsia="arial" w:hAnsi="arial" w:cs="arial"/>
          <w:sz w:val="20"/>
          <w:lang w:val="en-US" w:eastAsia="en-US" w:bidi="ar-SA"/>
        </w:rPr>
        <w:cr/>
      </w:r>
    </w:p>
    <w:p>
      <w:pPr>
        <w:numPr>
          <w:numId w:val="9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claim was not for injuries or the loss of the plaintiff, but of third parties, who could not have sued the driver directly because there was no duty of care;</w:t>
      </w:r>
    </w:p>
    <w:p>
      <w:pPr>
        <w:numPr>
          <w:numId w:val="9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such an award would lead to indefinite liability for an indefinite duration.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Further, the Court held that it would be contrary to public policy for the plaintiff to be indemnified by the defendants for the consequences to others of his crimes.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xml:space="preserve">  In his reasons, Woolf J. referred extensively to the speeches of the Law Lords in McLouglin v. O'Brian, [1982] 2 All E.R. 298, 1 A.C. 410, a case involving the question of whether someone who was not present at a traffic accident but who suffered shock could sue the person responsible for the accident. Woolf J. cited the passages in support of the proposition that policy can play in a role in determining foreseeability. However, counsel pointed out that it is important to note that the concerns set out in the lengthy quotation from Lord Wilberforce pertain almost exclusively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not to intentional torts. His Lordship set out the policy arguments against a wider expansion of foreseeability under four heads:</w:t>
      </w:r>
      <w:r>
        <w:rPr>
          <w:rFonts w:ascii="arial" w:eastAsia="arial" w:hAnsi="arial" w:cs="arial"/>
          <w:sz w:val="20"/>
          <w:lang w:val="en-US" w:eastAsia="en-US" w:bidi="ar-SA"/>
        </w:rPr>
        <w:cr/>
      </w:r>
    </w:p>
    <w:p>
      <w:pPr>
        <w:numPr>
          <w:numId w:val="9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possible proliferation of claims and possibly fraudulent claims;</w:t>
      </w:r>
    </w:p>
    <w:p>
      <w:pPr>
        <w:numPr>
          <w:numId w:val="9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would be imposed out of proportion to the negligent conduct;</w:t>
      </w:r>
    </w:p>
    <w:p>
      <w:pPr>
        <w:numPr>
          <w:numId w:val="9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evidentiary difficulties would be increased and trials lengthened;</w:t>
      </w:r>
    </w:p>
    <w:p>
      <w:pPr>
        <w:numPr>
          <w:numId w:val="9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extension of liability ought only to be made by the legislature.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Counsel submitted that the passage by Lord Scarman quoted by Woolf J. at p. 948 is to be preferred: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function of the court is to decide the case before it, even though the decision may require the extension or adaptation of a principle or in some cases the creation of new law to meet the justice of the case. But, whatever the court decides to do, it starts from a baseline of existing principle and seeks a solution consistent with or analogous to a principle or principles already recognized. The distinguishing feature of the common law is this judicial development and formulation of principle. Policy considerations will have to be weighed; but the objective of the judges is the formulation of principle. And, if principle inexorably requires a decision which entails a degree of policy risk, the court's function is to adjudicate according to principle, leaving policy curtailment to the judgment of Parliament. Here lies the true role of the two law-making institutions in our constitution. By concentrating on principle the judges can keep the common law alive, flexible and consistent, and can keep the legal system clear of policy problems which neither they, nor the forensic process which it is their duty to operate, are equipped to resolve. If principle leads to results which are thought to be socially unacceptable, Parliament can legislate to draw a line or map out a new path.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In Wiegold, supra, an injured employee, whose employer wrongly cut off workers' compensation benefits, took up growing marijuana, and as a result served a period of incarceration. He was terminated from his employment because he was unavailable for work. The trial judge accepted the plaintiff's explanation that he had developed this income-earning activity because he was without funds following, and as a result of, the accident, and assessed damages on the basis that but for the accident he would have been employed by the rail authority.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Samuels J.A., for the majority, expressed the view that Meah (No. 1) was wrongly decided, and held at p. 514,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the plaintiff has been convicted and sentenced for a crime, it means that the criminal law has taken him to be responsible for his actions, and has imposed an appropriate penalty. He or she should therefore bear the consequences of the punishment, both direct and indirect.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xml:space="preserve">  On the issue of whether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caused this aspect of the plaintiff's loss, Samuels J.A., at p. 514, found that determining causation was a normative as well as factual question: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Hence, the application of the simple "but for" test to determine causation would be singularly inappropriate in this case. In all the circumstances, it would be quite unreal to find that the appellant caused the respondent to engage in criminal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Counsel said it should be noted that Samuels J.A. expressed considerable scepticism regarding the trial judge's factual findings about the reasons and circumstances surrounding the plaintiff's involvement in marijuana cultivation.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Samuels J.A. contrasted Mr. Weigold's circumstances with those of the plaintiff in Grey v. Simpson, (Aus. Court of Appeal, 3 April 1978, unreported), where the failure by a medical doctor to treat the plaintiff's severe pain resulted in psychological problems which in turn led to the plaintiff's heroin addiction. The plaintiff was awarded damages for the addiction. In Grey v. Simpson, supra, the same Samuels J.A. said, at p. 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Once a detriment for which recovery is claimed is seen to be causally linked to the breach of duty and is of a kind which the defendant ought reasonably to have foreseen, there is no general principle which denies recovery because the detriment is in some way connected with anti-social or even unlawful activity. Mr. Brownie argued that the plaintiff's use of heroin and his trafficking in the drug, of which there was some evidence, were illegal acts of conscious volition and could not be the subject to compensation. On one view of course they were deliberate and conscious acts. But the plaintiff is not to be compensated for illegal activity as such but, if he is entitled at all, for the adverse consequences of activities causatively linked to the breach of duty and foreseeable as a not unlikely result of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Samuels J.A. in Wiegold, supra, distinguished Grey v. Simpson, supra, on the basis that in the latter case the plaintiff was never judged by a court of law to be guilty of a crime, and punished for it. Counsel submitted that this cannot be correct. In Grey v. Simpson, supra, as in the case at bar, the plaintiff admitted that he had committed the offences. Counsel contended that surely public policy cannot be served by distinguishing not between those who have violated the criminal law and those who have not, but between those who have been successfully prosecuted and those who have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xml:space="preserve">  Counsel said that, significantly, Samuels J.A. in Wiegold, supra, found that the trial judge had been wrong to conclude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the respondent to turn to crime. Although it was not necessary for him to address the point, he also found that the consequences of the criminal conviction were not reasonably foreseeable. He expressed the view that the test of reasonable foreseeability did not encompass the consequences of criminal activity engaged in by an injured plaintiff on the basis of a voluntary, deliberate and rational decision. He characterized the actions of the plaintiff heroin addict and trafficker in Grey v. Simpson, supra, as not involving a reasonable, rational and voluntary decision, but instead arising out of his psychological disorder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Kirby P. (as he then was), in dissent in Wiegold, supra, noted that there were a number of cases cited in argument where a plaintiff had recovered damages which had been caused by a conscious voluntary act involving criminal conduct or morally reprehensible conduct or both. Kirby P., suggested at p. 503 that the need in each case was for the trial judge to determine the claim in a practical and sensible way: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proper approach to be taken is one which was well described by Bingham LJ in Saunders v. Edwards [1987] 1 W.L.R. 116 at 1134; [1987] 2 All E.R. 651 at 665-666. His Lordship explained the difficulties presented by adopting absolute positions and the need, consequentially, to resort to pragmatism:</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Where issues of illegality are raised, the courts have (as it seems to me) to steer a middle course between two unacceptable positions. On the one hand it is unacceptable that any court of law should aid or lend its authority to a party seeking to pursue or enforce an object or agreement which the law prohibits. On the other hand, it is unacceptable that the court should, on the first indication of unlawfulness affecting any aspect of a transaction, draw up its skirts and refuse all assistance to the plaintiff, no matter how serious his loss nor how disproportionate his loss to the unlawfulness of his conduct ... I think that on the whole the courts have tended to adopt a pragmatic approach to these problems, seeking where possible to see that genuine wrongs are righted so long as the court does not thereby remote or countenance a nefarious object or bargain which it is bound to condemn."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true that Bingham LJ was, in that decision, referring to the more general problem of illegality in the context of leasehold contract tainted with illegality by the inflation of the value of chattels to avoid stamp duty. But his Lordship's description of the policy difficulty presented to the law applies equally to cases where it is suggested that a plaintiff should be denied recovery of damages considered to be, directly or indirectly, the consequences of any injury caused by a tortfeasor because of supervening criminal conduct on the injured party's part.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Kirby P. rejected the submission that the approach taken by the trial judge in Wiegold, supra, was offensive to public policy, stating, at p. 505: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the shifting sands of public policy, and without the guidance of plain speaking or binding authority, there is much room for difference of judicial opinion. Relevant to the determination of this issue is whether the community would be affronted by the conclusion which McInerney J reached in this case, with the advantages he had as the trial judge. This is not a case where the respondent was engaged in the much more serious offence of heroin use, still less trafficking in that illegal drug. Nor is it a case where the respondent reaped any actual financial advantage from what he did. It was open to McInerney J to find, as he did, that the resort to the growing of Indian hemp followed, in time, the termination of workers' compensation benefits and the consequent actuality and future prospect of impoverishment of the respondent and his family. It was open to him to find that the appellant thereby fell victim to temptation. For that temptation, and the conduct which followed it, he was duly punished according to the criminal law. His Honour plainly felt that he should not be punished twice by then being denied the economic consequences which otherwise flowed from the injuries done to him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Kirby P. added that the misconduct in question was quite relatively common and not of the kind that shocks the public conscience.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In Clunis, supra, the English rejected the submission that the ex turpi causa principle was confined to the law of contract. As stated by Beldam L.J., for the Court, at para. 17: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But whether a claim brought is founded in contract or in tort, public policy only requires the court to deny its assistance to a plaintiff seeking to enforce a cause of action if he was implicated in the illegality and in putting forward his case he relies on illegal 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In Worrall v. British Railways Board, [1999] E.W.J. No. 2025 (C.A.) the plaintiff claimed he suffered severe change of personality as a result of an electric shock he suffered at work. He sexually assaulted two prostitutes, was convicted and sentenced to six years, as a result of which his employment was terminated. Counsel said that it is worthy of note that at the criminal trial the plaintiff's defence was one of alibi. Further, the evidence indicated that consideration was given, at the time of the criminal trial, to the question of whether psychiatric evidence would be of assistance to him and it was decided that it would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Beldam L.J. for the Court in Worrall, supra, noted that although it must be assumed for the purposes of the argument that the plaintiff could establish a causal connection between his accident and the commission of the offences, the medical evidence was "tenuous indeed." He concluded, at para. 25: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view that part of the statement of claim upon which the plaintiff relied to establish the vast majority of his loss was founded upon his commission of serious criminal offences for which he was fully responsible in law. The principle that the court will not lend its aid to the recovery of damages based upon criminal offences applies and the case is indistinguishable save in immaterial respects from Clunis. The plaintiff's responsibility in this case was undiminished in any respect and I consider it would be contrary to public policy to allow him to recover damages consequent upon the commission of those offences.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xml:space="preserve">  The Supreme Court of Canada examined the role of the ex turpi causa principle in tort law in Norberg v. Wynrib, </w:t>
      </w:r>
      <w:hyperlink r:id="rId150" w:history="1">
        <w:r>
          <w:rPr>
            <w:rFonts w:ascii="arial" w:eastAsia="arial" w:hAnsi="arial" w:cs="arial"/>
            <w:i/>
            <w:color w:val="0077CC"/>
            <w:sz w:val="20"/>
            <w:u w:val="single"/>
            <w:shd w:val="clear" w:color="auto" w:fill="FFFFFF"/>
            <w:lang w:val="en-US" w:eastAsia="en-US" w:bidi="ar-SA"/>
          </w:rPr>
          <w:t>[1992] 2 S.C.R. 226</w:t>
        </w:r>
      </w:hyperlink>
      <w:r>
        <w:rPr>
          <w:rFonts w:ascii="arial" w:eastAsia="arial" w:hAnsi="arial" w:cs="arial"/>
          <w:color w:val="000000"/>
          <w:sz w:val="20"/>
          <w:lang w:val="en-US" w:eastAsia="en-US" w:bidi="ar-SA"/>
        </w:rPr>
        <w:t xml:space="preserve">, </w:t>
      </w:r>
      <w:hyperlink r:id="rId150" w:history="1">
        <w:r>
          <w:rPr>
            <w:rFonts w:ascii="arial" w:eastAsia="arial" w:hAnsi="arial" w:cs="arial"/>
            <w:i/>
            <w:color w:val="0077CC"/>
            <w:sz w:val="20"/>
            <w:u w:val="single"/>
            <w:shd w:val="clear" w:color="auto" w:fill="FFFFFF"/>
            <w:lang w:val="en-US" w:eastAsia="en-US" w:bidi="ar-SA"/>
          </w:rPr>
          <w:t>68 B.C.L.R. (2d) 29</w:t>
        </w:r>
      </w:hyperlink>
      <w:r>
        <w:rPr>
          <w:rFonts w:ascii="arial" w:eastAsia="arial" w:hAnsi="arial" w:cs="arial"/>
          <w:color w:val="000000"/>
          <w:sz w:val="20"/>
          <w:lang w:val="en-US" w:eastAsia="en-US" w:bidi="ar-SA"/>
        </w:rPr>
        <w:t>, a case involving a painkiller-addicted woman who obtained drugs from a doctor in exchange for submitting to sex. La Forest J. stated, at paras. 49-51:</w:t>
      </w:r>
      <w:r>
        <w:rPr>
          <w:rFonts w:ascii="arial" w:eastAsia="arial" w:hAnsi="arial" w:cs="arial"/>
          <w:sz w:val="20"/>
          <w:lang w:val="en-US" w:eastAsia="en-US" w:bidi="ar-SA"/>
        </w:rPr>
        <w:cr/>
      </w:r>
    </w:p>
    <w:p>
      <w:pPr>
        <w:numPr>
          <w:numId w:val="9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my opinion, the principle of ex turpi causa non oritur actio does not bar the appellant's recovery for damages. It is wise to recall the statement of Estey J. in Canada Cement La Farge Ltd. v. British Columbia Lightweight Aggregate Ltd., </w:t>
      </w:r>
      <w:hyperlink r:id="rId151" w:history="1">
        <w:r>
          <w:rPr>
            <w:rFonts w:ascii="arial" w:eastAsia="arial" w:hAnsi="arial" w:cs="arial"/>
            <w:i/>
            <w:color w:val="0077CC"/>
            <w:sz w:val="20"/>
            <w:u w:val="single"/>
            <w:shd w:val="clear" w:color="auto" w:fill="FFFFFF"/>
            <w:lang w:val="en-US" w:eastAsia="en-US" w:bidi="ar-SA"/>
          </w:rPr>
          <w:t>[1983] 1 S.C.R. 452</w:t>
        </w:r>
      </w:hyperlink>
      <w:r>
        <w:rPr>
          <w:rFonts w:ascii="arial" w:eastAsia="arial" w:hAnsi="arial" w:cs="arial"/>
          <w:color w:val="000000"/>
          <w:sz w:val="20"/>
          <w:lang w:val="en-US" w:eastAsia="en-US" w:bidi="ar-SA"/>
        </w:rPr>
        <w:t>, at p. 476, that "cases where a tort action has been defeated by the ex turpi causa maxim are exceedingly rare". In my view, this is not one of those "rare" cases. The respondent forced the sex-for-drugs transaction on the appellant by virtue of her weakness. He initiated the arrangement for his own sexual gratification and then impelled her to engage in it. She was unwilling to participate but did so because of her addiction to drugs. It was only because the respondent prolonged the appellant's chemical dependency that the illicit relationship was available to him. The respondent has been found liable in this appeal because he took advantage of the appellant's addiction. To apply the doctrine of ex turpi causa in this case would be to deny the appellant damages on the same basis that she succeeded in the tort action: because she acted out of her desperation for Fiorinal. Surely public policy would not countenance giving to the appellant with one hand and then taking away with the other.</w:t>
      </w:r>
    </w:p>
    <w:p>
      <w:pPr>
        <w:numPr>
          <w:numId w:val="9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true that the appellant engaged in the offence of "double-doctoring" during the period in question. However, Estey J. in Canada Cement LaFarge Ltd., supra, p. 477, indicated that there must be a sufficient causal link between the appellant's participation in the illegal activity and the injury suffered. In my view, the offence of "double-doctoring" was irrelevant to the transaction between the appellant and the respondent. There was no causative link between the injury and the crime committed by the appellant. If the appellant had been relying on the respondent alone for her drug supply rather than "double-doctoring", she would have suffered the same harm.</w:t>
      </w:r>
    </w:p>
    <w:p>
      <w:pPr>
        <w:numPr>
          <w:numId w:val="9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sum, I do not believe that it is in the public interest to absolve a doctor of civil liability where he deliberately abuses his position of power and influence by suggesting and pursuing a sex-for-drugs arrangement with a self-admitted drug addict. Accordingly, the ex turpi causa maxim does not operate in the circumstances of this case to bar relief.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Sopinka J., in dissent, but agreeing with the majority on this point, stated, at para. 151: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agree with the reasons of Locke J.A. and La Forest J. that the appellant's claim is not barred by ex turpi. I would add the following. My colleague refers to the observation of Estey J. that the application of this maxim to defeat a tort action has been rare. Its use has been much less frequent in recent times. The courts have taken a less rigid view of its purpose. Emphasis is now placed on preserving the administration of justice from the taint that would result from the approval of a transaction that a court ought not to countenance. In this regard, I agree with the statement of Taylor J. in Mack v. Enns </w:t>
      </w:r>
      <w:hyperlink r:id="rId152" w:history="1">
        <w:r>
          <w:rPr>
            <w:rFonts w:ascii="arial" w:eastAsia="arial" w:hAnsi="arial" w:cs="arial"/>
            <w:i/>
            <w:color w:val="0077CC"/>
            <w:sz w:val="20"/>
            <w:u w:val="single"/>
            <w:shd w:val="clear" w:color="auto" w:fill="FFFFFF"/>
            <w:lang w:val="en-US" w:eastAsia="en-US" w:bidi="ar-SA"/>
          </w:rPr>
          <w:t>(1981), 30 B.C.L.R. 337</w:t>
        </w:r>
      </w:hyperlink>
      <w:r>
        <w:rPr>
          <w:rFonts w:ascii="arial" w:eastAsia="arial" w:hAnsi="arial" w:cs="arial"/>
          <w:color w:val="000000"/>
          <w:sz w:val="20"/>
          <w:lang w:val="en-US" w:eastAsia="en-US" w:bidi="ar-SA"/>
        </w:rPr>
        <w:t xml:space="preserve"> (S.C.), at p. 345: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purpose of the rule today must be to defend the integrity of the legal system, and the repute in which the courts ought to be held by law-abiding members of the community. It is properly applied in those circumstances in which it would be manifestly unacceptable to fair-minded, or right-thinking, people that a court should lend assistance to a plaintiff who has defied 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In Hall v. Hebert, supra, McLachlin J. (as she then was), for the majority, stated the problem at issue, at para 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Whether we describe the principle under which judges are allowed to deny recovery to a plaintiff by an old-fashioned Latin name or by the currently fashionable concept of "public policy", the underlying problem remains the same: under what circumstances should the immoral or criminal conduct of a plaintiff bar the plaintiff from recovering damages to which he or she would otherwise be entitled.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McLachlin J. continued, at para. 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own view is that the courts should be allowed to bar recovery in tort on the ground of the plaintiff's immoral or illegal conduct only in very limited circumstances. The basis of this power, as I see it, lies in duty of the courts to preserve the integrity of the legal system, and is exercisable only where this concern is in issue. This concern is in issue where a damage award in a civil suit would, in effect, allow a person to profit from illegal or wrongful conduct, or would permit an evasion or rebate of a penalty prescribed by the criminal law. The idea common to these instances is that the law refuses to give by its right hand what it takes away by its left hand. It follows from this that, as a general rule, the ex turpi causa principle will not operate in tort to deny damages for personal injury, since tort suits will generally be based on a claim for compensation, and will not seek damages as profit for illegal or immoral 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Her Ladyship continued, at para. 11: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One situation in which there seems to be a clear role for the doctrine is the case where to allow the plaintiff's tort claim would be to permit the plaintiff to profit from his or her wrong. It is important at the outset to define what is meant by profit. As the cases illustrate, what is meant is profit in the narrow sense of a direct pecuniary reward for an act of wrongdoing. Compensation for something other than wrongdoing, such as for personal injury, would not amount to profit in this sense.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McLachlin J. concluded, at para. 25: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that there is a need in the law of tort for a principle which permits judges to deny recovery to a plaintiff on the ground that do so would undermine the integrity of the justice system. The power is a limited one. Its use is justified where allowing the plaintiff's claim would introduce inconsistency into the fabric of the law, either by permitting the plaintiff to profit from an illegal or wrongful act, or to evade a penalty prescribed by criminal law. Its use is not justified where the plaintiff's claim is merely for compensation for personal injuries sustained as a consequence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In the result McLachlin J., at paras. 36 and 39, found that there was an "important but limited power of the court to prevent tort recovery on the ground of the plaintiff's illegal or immoral conduct", but that it was better viewed as a defence, and the onus of establishing the exceptional circumstances, the existence and relevance of the illegal or immoral conduct, should rest with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In the view of Professor Ken Cooper-Stephenson, Personal Injury Damages in Canada, 2nd Ed., (Toronto: Carswell, 1990), a plaintiff may be awarded damages for a proven loss of illegal earnings in some circumstances. The author states, at p. 246: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general philosophy exemplified by these cases undoubtedly applies also to the damages issue. In the result the maxim will be used to bar a claim only in rare and limited circumstances. The overriding concern is to preserve the administration of justice from disrepute, and thus to maintain the integrity of the legal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At p. 246 Professor Cooper-Stephenson quotes McLachlin J. in Hall v. Hebert, supra, at para. 29: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responsibility ... is suspended only because concern for the integrity of the legal system trumps the concern that the defendant be responsible ... This concern is in issue where a damage award in a civil suit would, in effect, allow a person to profit from illegal or wrongful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xml:space="preserve">  At p. 247, Professor Cooper-Stephenson contrasts the post-Norberg and Hall, supra, test with the focus in earlier cases such as Tallow v. Tailfeathers, </w:t>
      </w:r>
      <w:hyperlink r:id="rId153" w:history="1">
        <w:r>
          <w:rPr>
            <w:rFonts w:ascii="arial" w:eastAsia="arial" w:hAnsi="arial" w:cs="arial"/>
            <w:i/>
            <w:color w:val="0077CC"/>
            <w:sz w:val="20"/>
            <w:u w:val="single"/>
            <w:shd w:val="clear" w:color="auto" w:fill="FFFFFF"/>
            <w:lang w:val="en-US" w:eastAsia="en-US" w:bidi="ar-SA"/>
          </w:rPr>
          <w:t>[1973] 6 W.W.R. 732</w:t>
        </w:r>
      </w:hyperlink>
      <w:r>
        <w:rPr>
          <w:rFonts w:ascii="arial" w:eastAsia="arial" w:hAnsi="arial" w:cs="arial"/>
          <w:color w:val="000000"/>
          <w:sz w:val="20"/>
          <w:lang w:val="en-US" w:eastAsia="en-US" w:bidi="ar-SA"/>
        </w:rPr>
        <w:t>, where the inquiry was whether the plaintiff's conduct was "in its nature and degree ... inimical to the interest of society." According to Professor Cooper-Stephenson the present emphasis may be on whether the plaintiff should be permitted to profit from an illegal or wrongful act, at p. 247: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possible that a claim for compensation will be disallowed on one of two grounds: (1) where the plaintiff was engaged in socially heinous behaviour at the time of injury and (2) where the plaintiff will gain a profit from less reprehensible behaviour by the damages award. With respect to the illegal earnings issue, the maxim should clearly affect only that part of a plaintiff's earnings which would have arisen from the criminal activity. The mere fact of collateral criminal conduct should not directly affect damages for bona fide income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xml:space="preserve">  Counsel said that it is worthy of note that in the recent case of Transport North American Express Inc. v. New Solutions Financial Corporation, </w:t>
      </w:r>
      <w:hyperlink r:id="rId154" w:history="1">
        <w:r>
          <w:rPr>
            <w:rFonts w:ascii="arial" w:eastAsia="arial" w:hAnsi="arial" w:cs="arial"/>
            <w:i/>
            <w:color w:val="0077CC"/>
            <w:sz w:val="20"/>
            <w:u w:val="single"/>
            <w:shd w:val="clear" w:color="auto" w:fill="FFFFFF"/>
            <w:lang w:val="en-US" w:eastAsia="en-US" w:bidi="ar-SA"/>
          </w:rPr>
          <w:t>[2004] 1 S.C.R. 249</w:t>
        </w:r>
      </w:hyperlink>
      <w:r>
        <w:rPr>
          <w:rFonts w:ascii="arial" w:eastAsia="arial" w:hAnsi="arial" w:cs="arial"/>
          <w:color w:val="000000"/>
          <w:sz w:val="20"/>
          <w:lang w:val="en-US" w:eastAsia="en-US" w:bidi="ar-SA"/>
        </w:rPr>
        <w:t>, a commercial contract which contained a criminal rate of interest was not found to be void ab initio, but was amended to reduce the interest rate to the maximum allowed under the criminal law. Arbour J. for the majority, adopted a flexible approach to illegality, choosing from a spectrum of available remedies to ensure that the outcome for both parties was proportional.</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(iv) Decision on past and future wage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I agree with plaintiff's counsel's analysis of H.L. v. Canada, supra. I agree that the approach taken by the Saskatchewan Court of Appeal appears to conflict with the more measured approaches adopted by the Supreme Court of Canada, and some of the English and Australian judges.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First it should be noted that the only psychological evidence called by the plaintiff in H.L. v. Canada, supra, was given not by a psychologist but by a "clinical therapist." At paras. 189 - 190, on the subject of the relationship between the plaintiff's sexual abuse and his periods of incarceration the therapist appears to have testified only that in his opinion " 'criminality' could be related to sexual abuse in the sense that many persons subjected to sexual abuse at any age end up being abusers themselves." In contrast, Dr. William Arnold, a psychologist called for the defence, testified that in his opinion there was a 20% degree of relationship between the plaintiff's history of illegal behaviour and the sexual abuse by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The trial judge found that but for the plaintiff's problem with alcohol he would have been willing and able to work and assessed wage loss and loss of future earnings accordingly. Counsel noted that many of the plaintiff's siblings had gone on to lead tragic lives and some of them were alcoholics.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As in Weigold, supra, the Saskatchewan Court of Appeal was evidently very sceptical about a number of findings of fact by the trial judge, some of which were based on the therapist's view that the plaintiff's very difficult upbringing was "essentially irrelevant" to his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xml:space="preserve">  Counsel submitted that the Saskatchewan Court of Appeal's reliance on its own decision in Sebastian v. Saskatchewan Workers' Compensation Board </w:t>
      </w:r>
      <w:hyperlink r:id="rId148" w:history="1">
        <w:r>
          <w:rPr>
            <w:rFonts w:ascii="arial" w:eastAsia="arial" w:hAnsi="arial" w:cs="arial"/>
            <w:i/>
            <w:color w:val="0077CC"/>
            <w:sz w:val="20"/>
            <w:u w:val="single"/>
            <w:shd w:val="clear" w:color="auto" w:fill="FFFFFF"/>
            <w:lang w:val="en-US" w:eastAsia="en-US" w:bidi="ar-SA"/>
          </w:rPr>
          <w:t>(1995), 119 D.L.R. (4th) 528</w:t>
        </w:r>
      </w:hyperlink>
      <w:r>
        <w:rPr>
          <w:rFonts w:ascii="arial" w:eastAsia="arial" w:hAnsi="arial" w:cs="arial"/>
          <w:color w:val="000000"/>
          <w:sz w:val="20"/>
          <w:lang w:val="en-US" w:eastAsia="en-US" w:bidi="ar-SA"/>
        </w:rPr>
        <w:t xml:space="preserve"> (Sask. C.A.), was surprising. In that case the Workers' Compensation Board had discontinued benefits for the period that a disabled worker had been incarcerated on a sentence for attempted murder. The issues in that case were describe as follows, at p. 535:</w:t>
      </w:r>
      <w:r>
        <w:rPr>
          <w:rFonts w:ascii="arial" w:eastAsia="arial" w:hAnsi="arial" w:cs="arial"/>
          <w:sz w:val="20"/>
          <w:lang w:val="en-US" w:eastAsia="en-US" w:bidi="ar-SA"/>
        </w:rPr>
        <w:cr/>
      </w:r>
    </w:p>
    <w:p>
      <w:pPr>
        <w:numPr>
          <w:numId w:val="9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Board act outside its jurisdiction when suspending payment of benefits during incarceration because Order 43/85 and Directive 10/87 were not approved by the Lieutenant Governor in Council?</w:t>
      </w:r>
    </w:p>
    <w:p>
      <w:pPr>
        <w:numPr>
          <w:numId w:val="9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Board lose jurisdiction by unlawfully fettering its discretion when considering the respondent's claim for benefits during incarceration?</w:t>
      </w:r>
    </w:p>
    <w:p>
      <w:pPr>
        <w:numPr>
          <w:numId w:val="9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Board's decision is quashed, is mandamus and appropriate remedy in the circumstances of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The Saskatchewan Court of Appeal allowed the appeal of the WCB holding that it had jurisdiction to apply, and appropriately applied, Board policy, in the form of an Order of the Board which read as follows, at p. 532:</w:t>
      </w:r>
      <w:r>
        <w:rPr>
          <w:rFonts w:ascii="arial" w:eastAsia="arial" w:hAnsi="arial" w:cs="arial"/>
          <w:sz w:val="20"/>
          <w:lang w:val="en-US" w:eastAsia="en-US" w:bidi="ar-SA"/>
        </w:rPr>
        <w:cr/>
      </w:r>
    </w:p>
    <w:p>
      <w:pPr>
        <w:numPr>
          <w:numId w:val="9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there is no causal relationship between injury and full time incarceration:</w:t>
      </w:r>
    </w:p>
    <w:p>
      <w:pPr>
        <w:numPr>
          <w:numId w:val="10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single worker with no dependants is to forfeit earnings loss compensation.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The Court noted that Order 43/85 had been repealed and replaced by the following, as stated at p. 548:</w:t>
      </w:r>
      <w:r>
        <w:rPr>
          <w:rFonts w:ascii="arial" w:eastAsia="arial" w:hAnsi="arial" w:cs="arial"/>
          <w:sz w:val="20"/>
          <w:lang w:val="en-US" w:eastAsia="en-US" w:bidi="ar-SA"/>
        </w:rPr>
        <w:cr/>
      </w:r>
    </w:p>
    <w:p>
      <w:pPr>
        <w:numPr>
          <w:numId w:val="10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there is a causal relationship between incarceration and the worker's injury, e.g. acts precipitated by addiction to drugs prescribed for injury benefits are not to be forfeited. The Claims Department is to deal with such cases.</w:t>
      </w:r>
    </w:p>
    <w:p>
      <w:pPr>
        <w:numPr>
          <w:numId w:val="10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there is no causal relationship between injury and full incarceration benefits may be suspended. Cases of this type are to be adjudicated by the Board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The Court of Appeal found that the Board had considered the worker's contention that the pain from his injury had caused him to commit the violent act but found that on the material presented he had failed to persuade the Board that there was a causal connection.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Counsel submitted that Sebastian v. Saskatchewan Workers' Compensation Board, supra, provides no support for the contention by the Court of Appeal in H.L. v. Canada, supra, that compensation for loss of income during a period of incarceration would be "an extraordinary thing" and is contrary to public policy. The case primarily turned on issues of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xml:space="preserve">  Counsel said that it is also worthy of note that the defendant in the case at bar has enacted legislation which permits, but does not require, suspension or continuation of payments for a period that a disabled worker is incarcerated. Section 98 of the Workers Compensation Act, </w:t>
      </w:r>
      <w:r>
        <w:rPr>
          <w:rFonts w:ascii="arial" w:eastAsia="arial" w:hAnsi="arial" w:cs="arial"/>
          <w:i/>
          <w:color w:val="000000"/>
          <w:sz w:val="20"/>
          <w:lang w:val="en-US" w:eastAsia="en-US" w:bidi="ar-SA"/>
        </w:rPr>
        <w:t>R.S.B.C. 1996, c. 492</w:t>
      </w:r>
      <w:r>
        <w:rPr>
          <w:rFonts w:ascii="arial" w:eastAsia="arial" w:hAnsi="arial" w:cs="arial"/>
          <w:color w:val="000000"/>
          <w:sz w:val="20"/>
          <w:lang w:val="en-US" w:eastAsia="en-US" w:bidi="ar-SA"/>
        </w:rPr>
        <w:t xml:space="preserve">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98(3) Despite sections 22(1), 23(1) or (3), 29(1) and 30(1), where it is found that a worker is confined to jail or prison, the Board may cancel, withhold or suspend the payment of compensation for the period it considers advisable. Where compensation is withheld or suspended, the Board may pay the compensation or any portion of it to the worker's wife, husband or children, or to a trustee appointed by the board, who must expend it for the benefit of the worker, the worker's wife, husband or children.</w:t>
      </w:r>
    </w:p>
    <w:p>
      <w:pPr>
        <w:numPr>
          <w:numId w:val="10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a worker is not supporting the worker's wife or husband and the worker's children and they are likely to be a charge on the municipality where they reside, or where an order has been made against the worker by a court of competent jurisdiction for the support or maintenance of the worker's wife, husband or family, the Board may divert the compensation in whole or in part from the worker for the benefit of the worker's wife, husband or children.</w:t>
      </w:r>
    </w:p>
    <w:p>
      <w:pPr>
        <w:numPr>
          <w:numId w:val="10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subsection (3) and (4) references to a wife or husband must be read as including references to a common law wife or a common law husband.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Counsel argued that implicit in this provision is the requirement that the Board consider the circumstances of the worker, the offence for which he was convicted, and his sentence prior to making a decision to divert or discontinue disability payments. Even if disability payments are diverted the section provides that they can be diverted to a trustee to be used for the benefit of the worker.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I agree with plaintiff's counsel that the fundamental point to be made on this issue is that compensation for loss of earnings during a period when one is incarcerated does not contradict the notion of criminal responsibility. The plaintiff in the case at bar is not claiming that he did not do the acts of which he was convicted. He submitted that:</w:t>
      </w:r>
      <w:r>
        <w:rPr>
          <w:rFonts w:ascii="arial" w:eastAsia="arial" w:hAnsi="arial" w:cs="arial"/>
          <w:sz w:val="20"/>
          <w:lang w:val="en-US" w:eastAsia="en-US" w:bidi="ar-SA"/>
        </w:rPr>
        <w:cr/>
      </w:r>
    </w:p>
    <w:p>
      <w:pPr>
        <w:numPr>
          <w:numId w:val="10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acts were motivated by drug use and emotional difficulties to which the actions of R.D.M. made a significant contribution, such that but for those actions he would not have committed the offences;</w:t>
      </w:r>
    </w:p>
    <w:p>
      <w:pPr>
        <w:numPr>
          <w:numId w:val="10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nature of sexual abuse, and the fact that the abuser was a prison guard and the plaintiff and offender, meant that the plaintiff felt unable to disclose the abuse or obtain treatment for the abuse;</w:t>
      </w:r>
    </w:p>
    <w:p>
      <w:pPr>
        <w:numPr>
          <w:numId w:val="10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while sexual victimization of an offender would undoubtedly have been a mitigating factor considered by the judges who sentenced the plaintiff to periods of incarceration, the shame and fear of being disbelieved which result from the abuse meant that important fact was not available to the judges who passed sentence on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241</w:t>
      </w:r>
      <w:r>
        <w:rPr>
          <w:rFonts w:ascii="arial" w:eastAsia="arial" w:hAnsi="arial" w:cs="arial"/>
          <w:color w:val="000000"/>
          <w:sz w:val="20"/>
          <w:lang w:val="en-US" w:eastAsia="en-US" w:bidi="ar-SA"/>
        </w:rPr>
        <w:t>  As counsel submitted, it is one thing to be convicted of an offence, but there are many factors taken into consideration in sentencing. R.D.M.'s contribution to the plaintiff's stance in relation to the criminal justice system meant that he was unable to avail himself of the criminal law's mandate to take motivation into account and to tailor sentences to facilitate rehabilitation. In short, as the plaintiff testified, he not only failed to bring this fact to the attention of the sentencing judges, but his oppositional stance in prison meant that he served most of his sentences to his mandatory release date (two-thirds), and expected his current incarceration to continue up to or near warrant expiry.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242</w:t>
      </w:r>
      <w:r>
        <w:rPr>
          <w:rFonts w:ascii="arial" w:eastAsia="arial" w:hAnsi="arial" w:cs="arial"/>
          <w:color w:val="000000"/>
          <w:sz w:val="20"/>
          <w:lang w:val="en-US" w:eastAsia="en-US" w:bidi="ar-SA"/>
        </w:rPr>
        <w:t>  Thus even if the Court were to determine that the plaintiff would have been convicted of the very same offences in any event, it is very unlikely that he would have been sentenced in the same way, had the presiding judges been aware that he had been sexually abused by a prison guard. Further, even if he had been given the same sentences it is unlikely that he would have served the same amount of time, but for his anger and problems with authority attributable to the actions of R.D.M. Because of the hidden factor of being a victim of sexual abuse by a prison guard, the plaintiff received more punishment than any of the sentencing judges could have intended.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243</w:t>
      </w:r>
      <w:r>
        <w:rPr>
          <w:rFonts w:ascii="arial" w:eastAsia="arial" w:hAnsi="arial" w:cs="arial"/>
          <w:color w:val="000000"/>
          <w:sz w:val="20"/>
          <w:lang w:val="en-US" w:eastAsia="en-US" w:bidi="ar-SA"/>
        </w:rPr>
        <w:t>  The Supreme Court of Canada made clear in Norberg and Hall, supra, that compensation is not to be withheld for tortious injuries caused in part by the plaintiff's illegal conduct, except where awarding damages would effectively allow the plaintiff to profit from illegal conduct or would amount to an evasion or rebate of the criminal penalty. McLachlin J. in Hall, supra, at para. 5, stated that compensation for injuries sustained during or as a result of illegal conduct is not to be considered profit from such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244</w:t>
      </w:r>
      <w:r>
        <w:rPr>
          <w:rFonts w:ascii="arial" w:eastAsia="arial" w:hAnsi="arial" w:cs="arial"/>
          <w:color w:val="000000"/>
          <w:sz w:val="20"/>
          <w:lang w:val="en-US" w:eastAsia="en-US" w:bidi="ar-SA"/>
        </w:rPr>
        <w:t>  In the instant case, the plaintiff seeks compensation for wages lost due to incarceration. These wages would have been paid to the plaintiff for legal employment had he not been confined to prison. They cannot be considered lost profits from illegal activity - rather, they are legal profits which were lost as a result of the plaintiff's illegal conduct, which conduct was caused or materially contributed to by R.D.M.'s wrongdoing.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245</w:t>
      </w:r>
      <w:r>
        <w:rPr>
          <w:rFonts w:ascii="arial" w:eastAsia="arial" w:hAnsi="arial" w:cs="arial"/>
          <w:color w:val="000000"/>
          <w:sz w:val="20"/>
          <w:lang w:val="en-US" w:eastAsia="en-US" w:bidi="ar-SA"/>
        </w:rPr>
        <w:t>  Nor can compensation for lost wages be characterised as an evasion or 'rebate' of the plaintiff's criminal punishment. The penalty meted out by the criminal court was a term of confinement - a loss of liberty. The award of lost wages does not seek to undo the years the plaintiff spent incarcerated: this would require an award of general damages for confinement, which I am not prepared to make. I find the words of Kirby P., in dissent in Wiegold, supra, at p. 505, to be appropriate to this situation: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[For his conduct, the plaintiff] was duly punished according to the criminal law ... He should not be punished twice by then being denied the economic consequences which otherwise flowed from the injuries done to him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246</w:t>
      </w:r>
      <w:r>
        <w:rPr>
          <w:rFonts w:ascii="arial" w:eastAsia="arial" w:hAnsi="arial" w:cs="arial"/>
          <w:color w:val="000000"/>
          <w:sz w:val="20"/>
          <w:lang w:val="en-US" w:eastAsia="en-US" w:bidi="ar-SA"/>
        </w:rPr>
        <w:t>  I accept the plaintiff's position that the "justice of the case", in the words of Lord Scarman, requires this Court to engage in a more nuanced analysis than that of the Saskatchewan Court of Appeal in H.L. Canada, supra. The expert evidence in the instant case strongly supports the plaintiff's position. In the testimony of Dr. Ley: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Where the wheels begin to come off for Mr. X, clearly, is where he had this period of cocaine abuse just prior to going into Oakalla, where he is sexually assaulted, and then the wheels aren't just wobbling, they are right off, in my opinion, in regards to Mr. X's adjustment after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247</w:t>
      </w:r>
      <w:r>
        <w:rPr>
          <w:rFonts w:ascii="arial" w:eastAsia="arial" w:hAnsi="arial" w:cs="arial"/>
          <w:color w:val="000000"/>
          <w:sz w:val="20"/>
          <w:lang w:val="en-US" w:eastAsia="en-US" w:bidi="ar-SA"/>
        </w:rPr>
        <w:t>  The words of Sopinka, J. in Norberg, supra, at para. 151, are apposite, namely that "emphasis is now placed on preserving the administration of justice from the taint that would result from the approval of a transaction that a court ought not to countenance." Here the administration of justice was tainted by the actions of R.D.M., who must be taken to have known that his actions would diminish the plaintiff's chances for rehabilitation, and aggravate any anti-social tendencies he would have had. I agree with counsel that a fair-minded approach should focus on compensating the plaintiff for the full consequences of that victimization and the manner in which its effects have reverberated in his life in the subsequent years. To do so is not to undermine the integrity of the legal system but to reinforce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248</w:t>
      </w:r>
      <w:r>
        <w:rPr>
          <w:rFonts w:ascii="arial" w:eastAsia="arial" w:hAnsi="arial" w:cs="arial"/>
          <w:color w:val="000000"/>
          <w:sz w:val="20"/>
          <w:lang w:val="en-US" w:eastAsia="en-US" w:bidi="ar-SA"/>
        </w:rPr>
        <w:t>  In the result, I am satisfied, and find that the plaintiff has proven, on a balance of probabilities, that the sexual assaults caused the plaintiff past wage loss. Although there is no question but that moral responsibility for his criminal behaviour remains that of the plaintiff, I have concluded that civil liability for the plaintiff's wage loss suffered while he was incarcerated can be attached to the defendant, based on the uncontradicted evidence of Dr. Ley. In cross-examination, Dr. Ley testified: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What is it exactly - Dr. Ley, in view of your understanding of his clinical condition as a result of the testing that you've done, what is it that you believe the counselling and therapy with Ms. Peterson will accomplish? And I'm really thinking now of the sexual assault issues.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He needs to understand more thoroughly the effects of the sexual assaults upon him in terms of his self concept, his self-esteem, his tendency to be self critical, his tendency to have low frustration tolerance and be quickly overwhelmed by stress and then acting in impulsive self-defeating ways. His sexual anxieties and discomfort, his reluctance to emotionally invest in others and to trust them in a psychological sense. And, of course, his risk factors in terms of drug relapse and recidivism. Those need to be well established for him and linked to the sexual abuse that he experienced.</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Sorry, they need to be understood. And you say they need to be linked to the sexual abuse?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I see Mr. X as an individual who is very what I would call indirectly self-destructive. Although he is not suicidal you could view him as essentially taking his life on an installment plan by repeatedly reoffending and incapacitating himself in prison. And I view Mr. X's - the relationship between his sexual assaults and his drug dependence and associated criminality as being a related - a triangle that needs to be understood by him, because it relates to - critically to his risk of relapse. And he's - as I've said, he's at very high risk to relapse and to reoffend.</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what if, in fact, the - his drug use, drug abuse and risk of recidivism is not, in fact, linked to his sexual assaults? Isn't there a danger there in reinforcing that notion?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Because any - any person who - although there are lots of different theories about substance abuse and dependence, you can probably reduce the vast majority of them to a fairly simply equation. And that is that an individual who is drug dependent, who takes some substance to an excessive degree and at an excessive frequency such that his psychological state and mood and appraisal of the situation is changed dramatically, it is a fairly easy conclusion to say that there is something about this person's experience, either internally or externally, that is aversive for him and that they do not cope with that. And it's one reason why we can say something along the lines, although it sounds trite, that the alcoholic drinks to celebrate and he drinks to forget or he drinks to commiserate.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Individuals who have drug addictions, including alcohol, are by their behaviour showing that they cannot cope with whatever their experience happens to be. And ordinarily individuals who are substance dependent have low frustration tolerance, cope poorly even with normal kinds of life stresses, and as a result they turn to their maladaptive coping means, which is to consume alcohol or other drugs to a degree such that their experience changes.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And so Mr. X's - the psychological experiences and states associated with his sexual abuse have to relate to his drug addiction. They cannot be independent of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His psychological experience. And did you say sexual abuse as well?</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His psychological experience of his sexual abuse has to be related to his drug dependence in my opinion.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Even though it is common for persons with anti-social personality disorders to, in fact, abuse drugs as well,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Indeed, one of the - you listed a number of things, sort of goals for counselling, and amongst those I noticed - I noted his failure - Mr. X's failure to emotionally invest in others. Isn't that a - isn't that something that, in fact, may relate to his anti-social personality disorder? That's - that's consistent with that disorder, isn't it?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 is consistent and correlated with it, but in my view, the deficits that he has in interpersonal relationships are most substantially accounted for by the impact of the sexual assaults upon him.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249</w:t>
      </w:r>
      <w:r>
        <w:rPr>
          <w:rFonts w:ascii="arial" w:eastAsia="arial" w:hAnsi="arial" w:cs="arial"/>
          <w:color w:val="000000"/>
          <w:sz w:val="20"/>
          <w:lang w:val="en-US" w:eastAsia="en-US" w:bidi="ar-SA"/>
        </w:rPr>
        <w:t>  In re-examination, Dr. Ley testified: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remember we had the discussion about the conduct disorder and whether he had been diagnosed as having a conduct disorder?</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I said seemingly simply because he had some symptoms of conduct disorder, but ... particularly his drug abuse, his marijuana use in early adolescence, and he did have some trouble with the law in terms of a juvenile offence, which would be another symptom. But it does not seem that he had a sufficient number of symptoms of conduct disorder to establish the diagnosis. You need three or more symptoms from really four categories of behavioural problems or misconduct. Aggression, property destruction, being deceitful, being a thief. And then and I think I discussed these sort of - this domain of problems, serious violation of rules. And you need three or more symptoms from those four categories in total to make the diagnosis. Certainly, there is a few there, but as I - and that's the reason for saying seemingly.</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All right. You were also asked at some length about anti-social personality disorder and it - you agreed that substance abuse disorder was often associated with anti-social personality disorder. Does the anti-personality - anti-social personality disorder cause a substance abuse disorder?</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They're - they're correlated. And the causal arrow, if you like, could run either way. Individuals who are anti-social - and, if you like, conduct disorder is sort of a childhood pre-adult version of anti-social personality disorder. We know that children with - and adolescents with a conduct disorder are also more likely to develop substance dependencies. Correspondingly, we do see instances in which individuals develop substance dependence in the absence of being anti-social and depending on how severe their anti-depending on - upon how severe their substance dependence is they may become much more anti-social in order to support the cost of their substance dependence.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So in principle you can have an - have an individual who does not have an anti-social orientation or a conduct disorder. They develop drug dependence for some reason, varied reasons, and the cost of their drug dependence is such that they are not able to support the cost of it through ordinary employment means, so they began - they begin committing crimes.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All right. And you said yesterday that the diagnosis - sorry, the diagnosis of anti-social personality disorder takes a long view, and this is a pattern of behaviour, anti-social personality disorder. Do you recall saying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My question is once an observable pattern has been established such that one can diagnose anti-social personality disorder, can it be rewritten? Is it possible to become undiagnosed from having been diagnosed as anti-social personality disorder?</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Opinion varies on that. In some cases once a diagnosis is conferred then the common diagnostic practice is to simply say that that diagnosis is in remission. So, for example, you could have someone who was substance dependent and they are no longer substance dependent. You would say this individual is diagnosable with an alcohol dependence in sustained full remission. You would use that if someone had not been drinking for a year or two years or five years and so 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terms of personality disorder, particularly the anti-social personality disorder, what is interesting about that is characteristically we see individuals with what is called burning out, the anti-social individuals burning out in mid-life, during their 40's and 50's. And that concept of burn-out refers to the observation that anti-social men become less clinically active in mid- to later life, regardless of whether there's any treatment or any intervention whatsoever. It's simply a statistical phenomenon. Rates of criminality decrease with age for males.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But if you take a person with anti-social personality disorder and they change their behaviour such that they sign on with Mother Teresa at the age of 30 -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and do good works for - 'til the end of their days, are they still diagnosed with having an anti-social personality disorder or is it like the flu and when you don't have it anymore you don't have it?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If the individual consolidated a behavioural pattern and value system relationship style that was not anti-social, and that was sustained over a sufficient period of time, if you like, to counterbalance or outweigh the duration of time at which the person was anti-social, then you would no longer describe them or diagnose them as having an anti-social personality disorder. You might describe them as showing still some residual symptoms of an anti-personality disorder, or you could say that this person was once diagnosable with an anti-social personality disorder and as a result of Christian conversion and lifestyle for the last 10 years they no longer show any features of anti-social personality disorder.</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it would take, are you saying, an equivalent number of years, give or take of -</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roughly, in the sense that the personality disorder is conferred when there's a repetitive style of behaviour, a pattern of behaviour that serves to establish that behavioural pattern as being characteristic of the individual, rather than something that's more transient or reactive to some particular set of circumstances.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250</w:t>
      </w:r>
      <w:r>
        <w:rPr>
          <w:rFonts w:ascii="arial" w:eastAsia="arial" w:hAnsi="arial" w:cs="arial"/>
          <w:color w:val="000000"/>
          <w:sz w:val="20"/>
          <w:lang w:val="en-US" w:eastAsia="en-US" w:bidi="ar-SA"/>
        </w:rPr>
        <w:t>  I am also satisfied, and find that the plaintiff has established that his capacity to earn an income has been affected by the assaults. On this point, Dr. Ley's opinion is that the plaintiff's substance dependence and criminality has most directly interfered with his employment and vocational prospects. In Dr. Ley's opinion, the plaintiff is likely to have significant difficulties performing well on the job, and sustaining employment in the immediate future, unless he is gradually weaned off methadone and remains drug abstinent. Dr. Ley also opined that full-time employment will be very demanding and perhaps overly challenging for the plaintiff for the coming year or so. Dr. Ley recommends that the plaintiff should commence working on a part-time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251</w:t>
      </w:r>
      <w:r>
        <w:rPr>
          <w:rFonts w:ascii="arial" w:eastAsia="arial" w:hAnsi="arial" w:cs="arial"/>
          <w:color w:val="000000"/>
          <w:sz w:val="20"/>
          <w:lang w:val="en-US" w:eastAsia="en-US" w:bidi="ar-SA"/>
        </w:rPr>
        <w:t>  Dr. Ley's opinion is that although the plaintiff has been drug free for approximately three years, and despite his best intentions to gradually discontinue his methadone treatment program, the plaintiff represents a very high risk of drug relapse and future criminal offending. According to Dr. Ley, "All risk predictors for [the plaintiff], both clinical and actuarial, yield an estimate that he represents a very high risk of recidivism."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252</w:t>
      </w:r>
      <w:r>
        <w:rPr>
          <w:rFonts w:ascii="arial" w:eastAsia="arial" w:hAnsi="arial" w:cs="arial"/>
          <w:color w:val="000000"/>
          <w:sz w:val="20"/>
          <w:lang w:val="en-US" w:eastAsia="en-US" w:bidi="ar-SA"/>
        </w:rPr>
        <w:t>  There are a number of factors for the Court to weigh in its consideration of an award to the plaintiff for past and future wage loss. Some of the factors stressed by the plaintiff are:</w:t>
      </w:r>
      <w:r>
        <w:rPr>
          <w:rFonts w:ascii="arial" w:eastAsia="arial" w:hAnsi="arial" w:cs="arial"/>
          <w:sz w:val="20"/>
          <w:lang w:val="en-US" w:eastAsia="en-US" w:bidi="ar-SA"/>
        </w:rPr>
        <w:cr/>
      </w:r>
    </w:p>
    <w:p>
      <w:pPr>
        <w:numPr>
          <w:numId w:val="10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a young boy, the plaintiff worked at nearby farms picking berries and collecting eggs.</w:t>
      </w:r>
    </w:p>
    <w:p>
      <w:pPr>
        <w:numPr>
          <w:numId w:val="10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By the time he was in his teens, the plaintiff was essentially self-supporting and eventually, with a partner, ran his own landscaping business earning $100 per day.</w:t>
      </w:r>
    </w:p>
    <w:p>
      <w:pPr>
        <w:numPr>
          <w:numId w:val="10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evidence is that at those times the plaintiff worked for K. he displayed a good work ethic and was a hard worker.</w:t>
      </w:r>
    </w:p>
    <w:p>
      <w:pPr>
        <w:numPr>
          <w:numId w:val="10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still not ready to re-enter the workforce. He needs ongoing treatment and gradual introduction to the workforce before he can manage full-time employment. This circumscribes the jobs open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253</w:t>
      </w:r>
      <w:r>
        <w:rPr>
          <w:rFonts w:ascii="arial" w:eastAsia="arial" w:hAnsi="arial" w:cs="arial"/>
          <w:color w:val="000000"/>
          <w:sz w:val="20"/>
          <w:lang w:val="en-US" w:eastAsia="en-US" w:bidi="ar-SA"/>
        </w:rPr>
        <w:t>  Some of the factors identified by the defence, apart from the main factor that the plaintiff has spent the majority of his adult life in jail, are:</w:t>
      </w:r>
      <w:r>
        <w:rPr>
          <w:rFonts w:ascii="arial" w:eastAsia="arial" w:hAnsi="arial" w:cs="arial"/>
          <w:sz w:val="20"/>
          <w:lang w:val="en-US" w:eastAsia="en-US" w:bidi="ar-SA"/>
        </w:rPr>
        <w:cr/>
      </w:r>
    </w:p>
    <w:p>
      <w:pPr>
        <w:numPr>
          <w:numId w:val="10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cannot establish that he is currently unable, or will be unable in the future to secure or maintain employment commensurate with his skills and abilities.</w:t>
      </w:r>
    </w:p>
    <w:p>
      <w:pPr>
        <w:numPr>
          <w:numId w:val="10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the extent that the plaintiff may be unable to secure or maintain employment, it cannot be attributed to the assaults, but rather to the plaintiff's age, illness (including Hepatitis C), pre-existing and continuing drug abuse problems, lack of vocational skills, and absences from the job market.</w:t>
      </w:r>
    </w:p>
    <w:p>
      <w:pPr>
        <w:numPr>
          <w:numId w:val="10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am satisfied, and find that, on the whole of the evidence before the Court, absent the assaults, after his release from Oakalla the plaintiff would have overcome his use of cocaine, settled into an occupation and worked for a living. However, I do not think the evidence goes so far as to satisfy me that the plaintiff would have earned an income at least as high as an average high school graduate, or that given his entrepreneurial streak, and his association with K.'s successful business, the plaintiff is likely to have earned considerably more.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254</w:t>
      </w:r>
      <w:r>
        <w:rPr>
          <w:rFonts w:ascii="arial" w:eastAsia="arial" w:hAnsi="arial" w:cs="arial"/>
          <w:color w:val="000000"/>
          <w:sz w:val="20"/>
          <w:lang w:val="en-US" w:eastAsia="en-US" w:bidi="ar-SA"/>
        </w:rPr>
        <w:t>  The plaintiff's evidence on the level of his earnings is very thin. Apart from his testimony that he earned $100 a day landscaping, he did not introduce any tax returns or other similar evidence to substantiate his earnings for the period of time between when he dropped out of school and when he had to give up his business because of his addiction to cocaine.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255</w:t>
      </w:r>
      <w:r>
        <w:rPr>
          <w:rFonts w:ascii="arial" w:eastAsia="arial" w:hAnsi="arial" w:cs="arial"/>
          <w:color w:val="000000"/>
          <w:sz w:val="20"/>
          <w:lang w:val="en-US" w:eastAsia="en-US" w:bidi="ar-SA"/>
        </w:rPr>
        <w:t>  Moreover, I do not think it helpful to model the plaintiff's award for past and future wage loss based on what an average high school graduate would earn, or on K.'s career path. Prior to his incarceration, the plaintiff did not obtain his high school diploma, and it is far from clear in the evidence whether he would have graduated from high school in any event. According to K., the plaintiff had difficulty with high school. In fact, it was during his incarceration that the plaintiff received his grade twelve equivalent.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256</w:t>
      </w:r>
      <w:r>
        <w:rPr>
          <w:rFonts w:ascii="arial" w:eastAsia="arial" w:hAnsi="arial" w:cs="arial"/>
          <w:color w:val="000000"/>
          <w:sz w:val="20"/>
          <w:lang w:val="en-US" w:eastAsia="en-US" w:bidi="ar-SA"/>
        </w:rPr>
        <w:t>  Quite apart from the fact that there is no financial evidence before the Court to indicate the degree of K.'s business success, the life paths taken by the plaintiff and K. are remarkably different in some respects. K. flirted with cocaine use but did not develop an addiction. K. did graduate from high school. K. does not have a criminal record. K. managed to establish and sustain a business while the plaintiff, after he dropped out of school, held a number of physical labour type jobs, including landscaping.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257</w:t>
      </w:r>
      <w:r>
        <w:rPr>
          <w:rFonts w:ascii="arial" w:eastAsia="arial" w:hAnsi="arial" w:cs="arial"/>
          <w:color w:val="000000"/>
          <w:sz w:val="20"/>
          <w:lang w:val="en-US" w:eastAsia="en-US" w:bidi="ar-SA"/>
        </w:rPr>
        <w:t>  I am mindful of Dr. Ley's opinion, stressed by plaintiff's counsel, that the plaintiff's drug dependence and associated criminality has dramatically interfered with his ability to establish a semblance of vocational stability, and that the assaults would most likely contribute to the plaintiff experiencing difficulty with employers or any individuals in a position of authority. However, when I consider all of the factors raised by the parties, I do not feel it appropriate to adopt the mathematical approach submitted by plaintiff's counsel based on the analysis contained in Mr. Carson's report. Doing the best that I can to assess the plaintiff's claim for past and future wage loss, I award him past wage loss of $150,000, and $50,000 as his future income loss.</w:t>
      </w:r>
      <w:r>
        <w:rPr>
          <w:rFonts w:ascii="arial" w:eastAsia="arial" w:hAnsi="arial" w:cs="arial"/>
          <w:sz w:val="20"/>
          <w:lang w:val="en-US" w:eastAsia="en-US" w:bidi="ar-SA"/>
        </w:rPr>
        <w:cr/>
      </w:r>
    </w:p>
    <w:p>
      <w:pPr>
        <w:numPr>
          <w:numId w:val="10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258</w:t>
      </w:r>
      <w:r>
        <w:rPr>
          <w:rFonts w:ascii="arial" w:eastAsia="arial" w:hAnsi="arial" w:cs="arial"/>
          <w:color w:val="000000"/>
          <w:sz w:val="20"/>
          <w:lang w:val="en-US" w:eastAsia="en-US" w:bidi="ar-SA"/>
        </w:rPr>
        <w:t>  Ms. Peterson testified that after three years of counselling she observed that the plaintiff exhibited a better sense of self-worth, was better at anger management, complained of fewer nightmares, was more trusting, and more able to interact positively with corrections staff. However, she identified matters which required ongoing counselling, such as coping skills.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259</w:t>
      </w:r>
      <w:r>
        <w:rPr>
          <w:rFonts w:ascii="arial" w:eastAsia="arial" w:hAnsi="arial" w:cs="arial"/>
          <w:color w:val="000000"/>
          <w:sz w:val="20"/>
          <w:lang w:val="en-US" w:eastAsia="en-US" w:bidi="ar-SA"/>
        </w:rPr>
        <w:t>  Dr. Ley made the following recommendation: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 would strongly encourage him to continue his psychological treatment with Mrs. Irene Peterson. In my opinion, Mr. X should be seen at least once weekly. I would estimate that he will require at least two to three years of such therapy, at that frequency ... Individuals such as Mr. X remain quite vulnerable to stress and frustration, and thus, it is best if they are engaged in a therapeutic relationship, on an ongoing basis, even if the frequency of the therapy is no greater than once monthly sessions. I believe that Mr. X still needs a great deal of therapy. In my view, he does not yet have a very adequate understanding of the effects of these sexual assaults upon him. More generally, he has a limited understanding of the general effects of sexual abuse and assault ... In the short run, I perceive Mr. X to be very vulnerable to stress. He is starting a new relationship, and he will be very susceptible to rejection. If Mr. X feels rejected, his self-esteem will plummet and he will represent a sizeable risk of drug relapse. Given Mr. X's seriousness about his current, but relatively new found relationship, he and his girlfriend should probably have some sessions of couples therapy such that Mr. X can reveal his history of sexual assault and its implications for their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260</w:t>
      </w:r>
      <w:r>
        <w:rPr>
          <w:rFonts w:ascii="arial" w:eastAsia="arial" w:hAnsi="arial" w:cs="arial"/>
          <w:color w:val="000000"/>
          <w:sz w:val="20"/>
          <w:lang w:val="en-US" w:eastAsia="en-US" w:bidi="ar-SA"/>
        </w:rPr>
        <w:t>  Plaintiff's counsel submitted that it is reasonable to assume that Ms. Peterson will continue to see the plaintiff while he remains incarcerated. Thereafter, however, it is likely and advisable that he find a new therapist. While Ms. Peterson charges her private clients $80 per hour, Dr. Ley testified that the usual cost of this service is $95 to $140.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261</w:t>
      </w:r>
      <w:r>
        <w:rPr>
          <w:rFonts w:ascii="arial" w:eastAsia="arial" w:hAnsi="arial" w:cs="arial"/>
          <w:color w:val="000000"/>
          <w:sz w:val="20"/>
          <w:lang w:val="en-US" w:eastAsia="en-US" w:bidi="ar-SA"/>
        </w:rPr>
        <w:t>  I accept the opinion of Dr. Ley in relation to the plaintiff's future counselling needs. Based on the evidence as to the duration and cost of counselling I find that an award to the plaintiff of $15,000 for the cost of future counselling, including couples therapy, is fair and appropriate.</w:t>
      </w:r>
      <w:r>
        <w:rPr>
          <w:rFonts w:ascii="arial" w:eastAsia="arial" w:hAnsi="arial" w:cs="arial"/>
          <w:sz w:val="20"/>
          <w:lang w:val="en-US" w:eastAsia="en-US" w:bidi="ar-SA"/>
        </w:rPr>
        <w:cr/>
      </w:r>
    </w:p>
    <w:p>
      <w:pPr>
        <w:numPr>
          <w:numId w:val="10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262</w:t>
      </w:r>
      <w:r>
        <w:rPr>
          <w:rFonts w:ascii="arial" w:eastAsia="arial" w:hAnsi="arial" w:cs="arial"/>
          <w:color w:val="000000"/>
          <w:sz w:val="20"/>
          <w:lang w:val="en-US" w:eastAsia="en-US" w:bidi="ar-SA"/>
        </w:rPr>
        <w:t>  The plaintiff is entitled to an award of general and aggravated damages in the amount of $60,000; $150,000 for past wage loss; $50,000 for future income loss; and $15,000 for counselling.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COHEN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Released: October 21,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 My reasons for judgment dated October 1, 2004 are hereby amended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 On page 11, paragraph 28, line 8, it currently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He was arrested for breaking and entering, convicted and sent to Oakalla in the summer of 1998.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5"/>
        <w:gridCol w:w="836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w:t>
            </w:r>
          </w:p>
        </w:tc>
        <w:tc>
          <w:tcPr>
            <w:tcW w:w="819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hereby amend this paragraph to read as follows: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He was arrested for breaking and entering, convicted and sent to Oakalla in the summer of 1988.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COHEN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64" style="position:absolute;z-index:2518671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55"/>
          <w:headerReference w:type="default" r:id="rId156"/>
          <w:footerReference w:type="even" r:id="rId157"/>
          <w:footerReference w:type="default" r:id="rId158"/>
          <w:headerReference w:type="first" r:id="rId159"/>
          <w:footerReference w:type="first" r:id="rId16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161" w:history="1">
        <w:r>
          <w:rPr>
            <w:rFonts w:ascii="arial" w:eastAsia="arial" w:hAnsi="arial" w:cs="arial"/>
            <w:b/>
            <w:bCs/>
            <w:i/>
            <w:color w:val="0077CC"/>
            <w:kern w:val="32"/>
            <w:sz w:val="28"/>
            <w:szCs w:val="32"/>
            <w:u w:val="single"/>
            <w:shd w:val="clear" w:color="auto" w:fill="FFFFFF"/>
            <w:lang w:val="en-US" w:eastAsia="en-US" w:bidi="ar-SA"/>
          </w:rPr>
          <w:t>Zacharias v. Leys, [2003] B.C.J. No. 1811</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Fort St. John,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Lander J.</w:t>
      </w:r>
    </w:p>
    <w:p>
      <w:pPr>
        <w:spacing w:before="120" w:line="260" w:lineRule="atLeast"/>
        <w:jc w:val="center"/>
        <w:rPr>
          <w:lang w:val="en-US" w:eastAsia="en-US" w:bidi="ar-SA"/>
        </w:rPr>
      </w:pPr>
      <w:r>
        <w:rPr>
          <w:rFonts w:ascii="arial" w:eastAsia="arial" w:hAnsi="arial" w:cs="arial"/>
          <w:color w:val="000000"/>
          <w:sz w:val="20"/>
          <w:lang w:val="en-US" w:eastAsia="en-US" w:bidi="ar-SA"/>
        </w:rPr>
        <w:t>Heard: May 21, 2003.</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July 21, 2003.</w:t>
      </w:r>
    </w:p>
    <w:p>
      <w:pPr>
        <w:spacing w:before="120" w:line="260" w:lineRule="atLeast"/>
        <w:jc w:val="center"/>
        <w:rPr>
          <w:lang w:val="en-US" w:eastAsia="en-US" w:bidi="ar-SA"/>
        </w:rPr>
      </w:pPr>
      <w:r>
        <w:rPr>
          <w:rFonts w:ascii="arial" w:eastAsia="arial" w:hAnsi="arial" w:cs="arial"/>
          <w:color w:val="000000"/>
          <w:sz w:val="20"/>
          <w:lang w:val="en-US" w:eastAsia="en-US" w:bidi="ar-SA"/>
        </w:rPr>
        <w:t>Fort St. John Registry No. 11943</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[2003] B.C.J. No. 1811</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2003 BCSC 1157</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125 A.C.W.S. (3d) 738</w:t>
      </w:r>
    </w:p>
    <w:p>
      <w:pPr>
        <w:spacing w:before="120" w:line="260" w:lineRule="atLeast"/>
        <w:rPr>
          <w:lang w:val="en-US" w:eastAsia="en-US" w:bidi="ar-SA"/>
        </w:rPr>
      </w:pPr>
      <w:r>
        <w:rPr>
          <w:rFonts w:ascii="arial" w:eastAsia="arial" w:hAnsi="arial" w:cs="arial"/>
          <w:color w:val="000000"/>
          <w:sz w:val="20"/>
          <w:lang w:val="en-US" w:eastAsia="en-US" w:bidi="ar-SA"/>
        </w:rPr>
        <w:t>Between Margaret Lorraine Zacharias, plaintiff, and Vivian Leys, Ken Leys and GMAC Leasecor Limited,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(62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065" style="position:absolute;z-index:251666432"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59" w:name="Keywords_6"/>
      <w:bookmarkEnd w:id="59"/>
      <w:r>
        <w:rPr>
          <w:rFonts w:ascii="arial" w:eastAsia="arial" w:hAnsi="arial" w:cs="arial"/>
          <w:b/>
          <w:color w:val="000000"/>
          <w:sz w:val="20"/>
          <w:lang w:val="en-US" w:eastAsia="en-US" w:bidi="ar-SA"/>
        </w:rPr>
        <w:t xml:space="preserve">Torts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 evidence and burden of proof — Causation — Causal connection — Damage awards — Leg injuries — Knee — General damage awards — Pain and suffering, loss of amenities and other nonpecuniary damages — Deductions or payments — Items not deducted — Loss of earning capacity — Special damage awards — Loss of wages.</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60" w:name="Case Summary_6"/>
            <w:bookmarkEnd w:id="60"/>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Action by Zacharias against Leys for damages for injuries suffered in a motor vehicle accident. On January 23, 1996, Zacharias lost control of her car and ended up in a snow bank. A man offered to pull out her car with a truck. As this was action in progress, Leys lost control of her truck, crossed two lanes of traffic from her side of the road and hit Zacharias's car. The impact caused the car to hit Zacharias's right leg an inch above the knee cap. Zacharias experienced pain in her knee at work after the accident. She had to cease employment as a bakery assistant in April 1997 because of the pain. She was 47 at the time of the accident. Zacharias was on long-term disability from October 1997 until March 1999. She had a right knee arthroplasty in November 1997. She subsequently developed a very stiff knee due to the formation of heteroptic ossification. In April 1999, she had surgery to remove this painful condition. Another operation would be necessary in 15 years. Zacharias had had problems with her right knee since 1974. She had surgical procedures on it, in 1974 and 1983. Zacharias was unable to walk lengthy distances and dance after the accident. Leys contested liability and submitted that it should be apportioned equally. </w:t>
            </w:r>
            <w:r>
              <w:rPr>
                <w:lang w:val="en-US" w:eastAsia="en-US" w:bidi="ar-SA"/>
              </w:rPr>
              <w:cr/>
            </w:r>
          </w:p>
          <w:p>
            <w:pPr>
              <w:spacing w:before="120" w:line="260" w:lineRule="atLeast"/>
              <w:ind w:left="240"/>
              <w:jc w:val="both"/>
              <w:rPr>
                <w:lang w:val="en-US" w:eastAsia="en-US" w:bidi="ar-SA"/>
              </w:rPr>
            </w:pPr>
            <w:bookmarkStart w:id="61" w:name="Holdings of Court_6"/>
            <w:bookmarkEnd w:id="61"/>
            <w:r>
              <w:rPr>
                <w:rFonts w:ascii="arial" w:eastAsia="arial" w:hAnsi="arial" w:cs="arial"/>
                <w:color w:val="000000"/>
                <w:sz w:val="20"/>
                <w:lang w:val="en-US" w:eastAsia="en-US" w:bidi="ar-SA"/>
              </w:rPr>
              <w:t>HELD: Action allowed.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Zacharias was awarded damages of $240,000. Leys was solely liable. She failed to rebut the inferences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that resulted from her manner of driving. Zacharias's need for the arthroplasty was caused by Leys's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From the time of the accident until this surgery and her subsequent recovery, Zacharias suffered pain and inconvenience. Her recreational and social life were also affected. General damages were set at $80,000. The award for loss of income-earning capacity was set at $100,000. Her employment possibilities were limited because of her experience. Past wage loss was set at $60,000. No deduction was made for the long-term disability benefits received because they were received as the result of union negotiations. </w:t>
            </w:r>
            <w:r>
              <w:rPr>
                <w:lang w:val="en-US" w:eastAsia="en-US" w:bidi="ar-SA"/>
              </w:rPr>
              <w:cr/>
            </w:r>
          </w:p>
          <w:p>
            <w:pPr>
              <w:rPr>
                <w:lang w:val="en-US" w:eastAsia="en-US" w:bidi="ar-SA"/>
              </w:rPr>
            </w:pPr>
          </w:p>
        </w:tc>
      </w:tr>
    </w:tbl>
    <w:p>
      <w:pPr>
        <w:jc w:val="both"/>
        <w:rPr>
          <w:lang w:val="en-US" w:eastAsia="en-US" w:bidi="ar-SA"/>
        </w:rPr>
      </w:pPr>
      <w:bookmarkStart w:id="62" w:name="Legislation Cited_6"/>
      <w:bookmarkEnd w:id="62"/>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lang w:val="en-US" w:eastAsia="en-US" w:bidi="ar-SA"/>
        </w:rPr>
      </w:pPr>
      <w:r>
        <w:pict>
          <v:line id="_x0000_s1066" style="position:absolute;z-index:251717632"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w:t>
      </w:r>
      <w:r>
        <w:rPr>
          <w:lang w:val="en-US" w:eastAsia="en-US" w:bidi="ar-SA"/>
        </w:rPr>
        <w:cr/>
      </w:r>
    </w:p>
    <w:p>
      <w:pPr>
        <w:keepNext/>
        <w:spacing w:before="240" w:line="340" w:lineRule="atLeast"/>
        <w:rPr>
          <w:lang w:val="en-US" w:eastAsia="en-US" w:bidi="ar-SA"/>
        </w:rPr>
      </w:pPr>
      <w:bookmarkStart w:id="63" w:name="Counsel_7"/>
      <w:bookmarkEnd w:id="63"/>
      <w:r>
        <w:rPr>
          <w:rFonts w:ascii="arial" w:eastAsia="arial" w:hAnsi="arial" w:cs="arial"/>
          <w:b/>
          <w:color w:val="000000"/>
          <w:sz w:val="28"/>
          <w:lang w:val="en-US" w:eastAsia="en-US" w:bidi="ar-SA"/>
        </w:rPr>
        <w:t>Counsel</w:t>
      </w:r>
    </w:p>
    <w:p>
      <w:pPr>
        <w:spacing w:line="60" w:lineRule="exact"/>
        <w:rPr>
          <w:lang w:val="en-US" w:eastAsia="en-US" w:bidi="ar-SA"/>
        </w:rPr>
      </w:pPr>
      <w:r>
        <w:pict>
          <v:line id="_x0000_s1067" style="position:absolute;z-index:251768832"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B. Sutton, for plaintiff. R.J. Strandberg, for defendants.</w:t>
      </w:r>
      <w:r>
        <w:rPr>
          <w:lang w:val="en-US" w:eastAsia="en-US" w:bidi="ar-SA"/>
        </w:rPr>
        <w:cr/>
      </w:r>
    </w:p>
    <w:p>
      <w:pPr>
        <w:spacing w:after="240"/>
        <w:rPr>
          <w:lang w:val="en-US" w:eastAsia="en-US" w:bidi="ar-SA"/>
        </w:rPr>
      </w:pPr>
      <w:bookmarkStart w:id="64" w:name="Judgment_7"/>
      <w:bookmarkEnd w:id="64"/>
      <w:r>
        <w:pict>
          <v:line id="_x0000_s1068" style="position:absolute;z-index:251819008"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8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65" w:name="LANDER J."/>
            <w:bookmarkEnd w:id="65"/>
            <w:r>
              <w:rPr>
                <w:rFonts w:ascii="arial" w:eastAsia="arial" w:hAnsi="arial" w:cs="arial"/>
                <w:b/>
                <w:color w:val="000000"/>
                <w:sz w:val="30"/>
                <w:lang w:val="en-US" w:eastAsia="en-US" w:bidi="ar-SA"/>
              </w:rPr>
              <w:t>LANDER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action arose from an unusual accident which occurred on January 23, 1996, at Fort St. John in North-Central British Columbia. Ms. Zacharias testified that she had a day from her occupation with Canada Safeway Limited and at about 3:30 p.m. she decided to go to the curling rink to watch the ladies' curling.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Ms. Zacharias stated that she was driving down 96th Street, which was four lanes and was on a hill. She was about halfway down when she "spun out." Her car did a 180o turn and the car ended up in the ditch with the front of her vehicle facing up toward 100th Street.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day had been sunny and cold, the street was covered with hard-packed snow. She got out of her car and went to see if there was any damage. The car was up against the four-to-five-and-one-half-foot snow bank. She found no damage to her vehicle and she went to the front of her car when a man named Clint McGinnis stopped. He, being a Good Samaritan, was going to use his truck to pull her vehicle back onto the road. She said he stopped his truck facing the front of her car. He got out and began the process of hooking her car up to his truck. Ms. Zacharias said the wheels of her car were on the road. She went again to check the rear end of her vehicle to see if there was any damage. She said: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I looked and there was no damage. I was going to the front to thank Mr. McGinnis and then I saw the defendant lose control. It looked like she was going to hit my car. I was walking sideways; the truck hit the passenger side of my vehicle and pushed my car into my right leg.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As to the location of the defendants' vehicle just before the accident, Ms. Zacharias testified: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I first noticed her at the intersection of 96th Street and 96th Avenue. She turned onto 96 .... She made a left turn going north. She just kept turning and then she was in the front of my car. She came across two lanes of traffic and the front end of her truck hit my car.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McGinnis was very fortunate as he was under the plaintiff's car when Ms. Leys' truck hit the car. He was not hurt.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Upon Ms. Ley's truck hitting the plaintiff's vehicle, Ms. Zacharias said the blow moved her car, the fender hitting her right leg "about an inch above the knee cap."</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Liability for this accident is contested by defendant.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The defendant admitted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but submits that liability should be apportioned according to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and that it should be 50/50.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Perhaps one could say that Ms. Zacharias was negligent when proceeding down hill in her vehicle when it left the road (which is not admitted). However, in order for her to be legally liable, 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must have caused damage for which a remedy is available.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 driving of Ms. Leys while going up hill and crossing two oncoming lanes of traffic and striking the plaintiff's vehicle which was stationary in a snow bank creates, I find an inference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 law is clear in British Columbia once it is established that Ms. Leys' vehicle proceeded in the fashion I have just described and it struck the plaintiff's vehicle which in turn struck the plaintiff causing damage to her right knee then inference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arises (see Savinkoff v. Seggewiss </w:t>
      </w:r>
      <w:hyperlink r:id="rId162" w:history="1">
        <w:r>
          <w:rPr>
            <w:rFonts w:ascii="arial" w:eastAsia="arial" w:hAnsi="arial" w:cs="arial"/>
            <w:i/>
            <w:color w:val="0077CC"/>
            <w:sz w:val="20"/>
            <w:u w:val="single"/>
            <w:shd w:val="clear" w:color="auto" w:fill="FFFFFF"/>
            <w:lang w:val="en-US" w:eastAsia="en-US" w:bidi="ar-SA"/>
          </w:rPr>
          <w:t>(1996) 25 B.C.L.R. (3d) 1</w:t>
        </w:r>
      </w:hyperlink>
      <w:r>
        <w:rPr>
          <w:rFonts w:ascii="arial" w:eastAsia="arial" w:hAnsi="arial" w:cs="arial"/>
          <w:color w:val="000000"/>
          <w:sz w:val="20"/>
          <w:lang w:val="en-US" w:eastAsia="en-US" w:bidi="ar-SA"/>
        </w:rPr>
        <w:t xml:space="preserve"> (B.C.C.A.)).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Further, the British Columbia Court of Appeal has determined that when a motor vehicle went off the road or into oncoming line of traffic there was a prima facie case that the driver is negligent, which the driver must rebut. The court held that the presence of ice on the highway itself did not rebut presumption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See Redlack v. Vekved </w:t>
      </w:r>
      <w:hyperlink r:id="rId163" w:history="1">
        <w:r>
          <w:rPr>
            <w:rFonts w:ascii="arial" w:eastAsia="arial" w:hAnsi="arial" w:cs="arial"/>
            <w:i/>
            <w:color w:val="0077CC"/>
            <w:sz w:val="20"/>
            <w:u w:val="single"/>
            <w:shd w:val="clear" w:color="auto" w:fill="FFFFFF"/>
            <w:lang w:val="en-US" w:eastAsia="en-US" w:bidi="ar-SA"/>
          </w:rPr>
          <w:t>(1996) 82 B.C.A.C. 313</w:t>
        </w:r>
      </w:hyperlink>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That inference, of course, is rebuttible by advancing a possible non-negligent explanation.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only evidence that the court has available is the discovery of the defendant. Plaintiff's counsel read in as part of his case the following questions and answers: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826"/>
        <w:gridCol w:w="516"/>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819"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1</w:t>
            </w:r>
          </w:p>
        </w:tc>
        <w:tc>
          <w:tcPr>
            <w:tcW w:w="512" w:type="dxa"/>
            <w:tcBorders>
              <w:right w:val="nil"/>
            </w:tcBorders>
            <w:tcMar>
              <w:top w:w="100" w:type="dxa"/>
              <w:bottom w:w="0" w:type="dxa"/>
            </w:tcMar>
            <w:vAlign w:val="top"/>
          </w:tcPr>
          <w:p>
            <w:pPr>
              <w:rPr>
                <w:lang w:val="en-US" w:eastAsia="en-US" w:bidi="ar-SA"/>
              </w:rPr>
            </w:pPr>
            <w:r>
              <w:rPr>
                <w:lang w:val="en-US" w:eastAsia="en-US" w:bidi="ar-SA"/>
              </w:rPr>
              <w:br/>
            </w:r>
          </w:p>
        </w:tc>
        <w:tc>
          <w:tcPr>
            <w:tcW w:w="512"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lang w:val="en-US" w:eastAsia="en-US" w:bidi="ar-SA"/>
              </w:rPr>
            </w:pPr>
            <w:r>
              <w:rPr>
                <w:lang w:val="en-US" w:eastAsia="en-US" w:bidi="ar-SA"/>
              </w:rPr>
              <w:br/>
            </w:r>
          </w:p>
        </w:tc>
        <w:tc>
          <w:tcPr>
            <w:tcW w:w="7270"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What is your full name, please?</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lang w:val="en-US" w:eastAsia="en-US" w:bidi="ar-SA"/>
              </w:rPr>
            </w:pPr>
            <w:r>
              <w:rPr>
                <w:lang w:val="en-US" w:eastAsia="en-US" w:bidi="ar-SA"/>
              </w:rPr>
              <w:br/>
            </w:r>
          </w:p>
        </w:tc>
        <w:tc>
          <w:tcPr>
            <w:tcW w:w="614"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Vivian Adele Leys.</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826"/>
        <w:gridCol w:w="516"/>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819"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2</w:t>
            </w:r>
          </w:p>
        </w:tc>
        <w:tc>
          <w:tcPr>
            <w:tcW w:w="512" w:type="dxa"/>
            <w:tcBorders>
              <w:right w:val="nil"/>
            </w:tcBorders>
            <w:tcMar>
              <w:top w:w="100" w:type="dxa"/>
              <w:bottom w:w="0" w:type="dxa"/>
            </w:tcMar>
            <w:vAlign w:val="top"/>
          </w:tcPr>
          <w:p>
            <w:pPr>
              <w:rPr>
                <w:lang w:val="en-US" w:eastAsia="en-US" w:bidi="ar-SA"/>
              </w:rPr>
            </w:pPr>
            <w:r>
              <w:rPr>
                <w:lang w:val="en-US" w:eastAsia="en-US" w:bidi="ar-SA"/>
              </w:rPr>
              <w:br/>
            </w:r>
          </w:p>
        </w:tc>
        <w:tc>
          <w:tcPr>
            <w:tcW w:w="512"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lang w:val="en-US" w:eastAsia="en-US" w:bidi="ar-SA"/>
              </w:rPr>
            </w:pPr>
            <w:r>
              <w:rPr>
                <w:lang w:val="en-US" w:eastAsia="en-US" w:bidi="ar-SA"/>
              </w:rPr>
              <w:br/>
            </w:r>
          </w:p>
        </w:tc>
        <w:tc>
          <w:tcPr>
            <w:tcW w:w="7270"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And, Mrs. Leys, are you one of the Defendant's in the Supreme Court of British Columbia, Action Number 11943 out of the Fort St. John Registry?</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lang w:val="en-US" w:eastAsia="en-US" w:bidi="ar-SA"/>
              </w:rPr>
            </w:pPr>
            <w:r>
              <w:rPr>
                <w:lang w:val="en-US" w:eastAsia="en-US" w:bidi="ar-SA"/>
              </w:rPr>
              <w:br/>
            </w:r>
          </w:p>
        </w:tc>
        <w:tc>
          <w:tcPr>
            <w:tcW w:w="614"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Yes, I am.</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826"/>
        <w:gridCol w:w="516"/>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819"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3</w:t>
            </w:r>
          </w:p>
        </w:tc>
        <w:tc>
          <w:tcPr>
            <w:tcW w:w="512" w:type="dxa"/>
            <w:tcBorders>
              <w:right w:val="nil"/>
            </w:tcBorders>
            <w:tcMar>
              <w:top w:w="100" w:type="dxa"/>
              <w:bottom w:w="0" w:type="dxa"/>
            </w:tcMar>
            <w:vAlign w:val="top"/>
          </w:tcPr>
          <w:p>
            <w:pPr>
              <w:rPr>
                <w:lang w:val="en-US" w:eastAsia="en-US" w:bidi="ar-SA"/>
              </w:rPr>
            </w:pPr>
            <w:r>
              <w:rPr>
                <w:lang w:val="en-US" w:eastAsia="en-US" w:bidi="ar-SA"/>
              </w:rPr>
              <w:br/>
            </w:r>
          </w:p>
        </w:tc>
        <w:tc>
          <w:tcPr>
            <w:tcW w:w="512"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lang w:val="en-US" w:eastAsia="en-US" w:bidi="ar-SA"/>
              </w:rPr>
            </w:pPr>
            <w:r>
              <w:rPr>
                <w:lang w:val="en-US" w:eastAsia="en-US" w:bidi="ar-SA"/>
              </w:rPr>
              <w:br/>
            </w:r>
          </w:p>
        </w:tc>
        <w:tc>
          <w:tcPr>
            <w:tcW w:w="7270"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An[sic] you're aware that that action relates to an incident that took place in Fort St. John on January 23rd, 1996?</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lang w:val="en-US" w:eastAsia="en-US" w:bidi="ar-SA"/>
              </w:rPr>
            </w:pPr>
            <w:r>
              <w:rPr>
                <w:lang w:val="en-US" w:eastAsia="en-US" w:bidi="ar-SA"/>
              </w:rPr>
              <w:br/>
            </w:r>
          </w:p>
        </w:tc>
        <w:tc>
          <w:tcPr>
            <w:tcW w:w="614"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Yes, I am.</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826"/>
        <w:gridCol w:w="516"/>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819"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4</w:t>
            </w:r>
          </w:p>
        </w:tc>
        <w:tc>
          <w:tcPr>
            <w:tcW w:w="512" w:type="dxa"/>
            <w:tcBorders>
              <w:right w:val="nil"/>
            </w:tcBorders>
            <w:tcMar>
              <w:top w:w="100" w:type="dxa"/>
              <w:bottom w:w="0" w:type="dxa"/>
            </w:tcMar>
            <w:vAlign w:val="top"/>
          </w:tcPr>
          <w:p>
            <w:pPr>
              <w:rPr>
                <w:lang w:val="en-US" w:eastAsia="en-US" w:bidi="ar-SA"/>
              </w:rPr>
            </w:pPr>
            <w:r>
              <w:rPr>
                <w:lang w:val="en-US" w:eastAsia="en-US" w:bidi="ar-SA"/>
              </w:rPr>
              <w:br/>
            </w:r>
          </w:p>
        </w:tc>
        <w:tc>
          <w:tcPr>
            <w:tcW w:w="512"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lang w:val="en-US" w:eastAsia="en-US" w:bidi="ar-SA"/>
              </w:rPr>
            </w:pPr>
            <w:r>
              <w:rPr>
                <w:lang w:val="en-US" w:eastAsia="en-US" w:bidi="ar-SA"/>
              </w:rPr>
              <w:br/>
            </w:r>
          </w:p>
        </w:tc>
        <w:tc>
          <w:tcPr>
            <w:tcW w:w="7270"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And it involved a car accident where your vehicle struck a vehicle owned by Margaret Zacharias?</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lang w:val="en-US" w:eastAsia="en-US" w:bidi="ar-SA"/>
              </w:rPr>
            </w:pPr>
            <w:r>
              <w:rPr>
                <w:lang w:val="en-US" w:eastAsia="en-US" w:bidi="ar-SA"/>
              </w:rPr>
              <w:br/>
            </w:r>
          </w:p>
        </w:tc>
        <w:tc>
          <w:tcPr>
            <w:tcW w:w="614"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30"/>
        <w:gridCol w:w="413"/>
        <w:gridCol w:w="516"/>
        <w:gridCol w:w="238"/>
        <w:gridCol w:w="7327"/>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20</w:t>
            </w:r>
          </w:p>
        </w:tc>
        <w:tc>
          <w:tcPr>
            <w:tcW w:w="410" w:type="dxa"/>
            <w:tcBorders>
              <w:right w:val="nil"/>
            </w:tcBorders>
            <w:tcMar>
              <w:top w:w="100" w:type="dxa"/>
              <w:bottom w:w="0" w:type="dxa"/>
            </w:tcMar>
            <w:vAlign w:val="top"/>
          </w:tcPr>
          <w:p>
            <w:pPr>
              <w:rPr>
                <w:lang w:val="en-US" w:eastAsia="en-US" w:bidi="ar-SA"/>
              </w:rPr>
            </w:pPr>
            <w:r>
              <w:rPr>
                <w:lang w:val="en-US" w:eastAsia="en-US" w:bidi="ar-SA"/>
              </w:rPr>
              <w:br/>
            </w:r>
          </w:p>
        </w:tc>
        <w:tc>
          <w:tcPr>
            <w:tcW w:w="512"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lang w:val="en-US" w:eastAsia="en-US" w:bidi="ar-SA"/>
              </w:rPr>
            </w:pPr>
            <w:r>
              <w:rPr>
                <w:lang w:val="en-US" w:eastAsia="en-US" w:bidi="ar-SA"/>
              </w:rPr>
              <w:br/>
            </w:r>
          </w:p>
        </w:tc>
        <w:tc>
          <w:tcPr>
            <w:tcW w:w="7270"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Do you know what speed you were going when you hit the other vehicle?</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lang w:val="en-US" w:eastAsia="en-US" w:bidi="ar-SA"/>
              </w:rPr>
            </w:pPr>
            <w:r>
              <w:rPr>
                <w:lang w:val="en-US" w:eastAsia="en-US" w:bidi="ar-SA"/>
              </w:rPr>
              <w:br/>
            </w:r>
          </w:p>
        </w:tc>
        <w:tc>
          <w:tcPr>
            <w:tcW w:w="614"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I'd say around maybe 20 kilometres an hour?</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30"/>
        <w:gridCol w:w="413"/>
        <w:gridCol w:w="516"/>
        <w:gridCol w:w="238"/>
        <w:gridCol w:w="7327"/>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21</w:t>
            </w:r>
          </w:p>
        </w:tc>
        <w:tc>
          <w:tcPr>
            <w:tcW w:w="410" w:type="dxa"/>
            <w:tcBorders>
              <w:right w:val="nil"/>
            </w:tcBorders>
            <w:tcMar>
              <w:top w:w="100" w:type="dxa"/>
              <w:bottom w:w="0" w:type="dxa"/>
            </w:tcMar>
            <w:vAlign w:val="top"/>
          </w:tcPr>
          <w:p>
            <w:pPr>
              <w:rPr>
                <w:lang w:val="en-US" w:eastAsia="en-US" w:bidi="ar-SA"/>
              </w:rPr>
            </w:pPr>
            <w:r>
              <w:rPr>
                <w:lang w:val="en-US" w:eastAsia="en-US" w:bidi="ar-SA"/>
              </w:rPr>
              <w:br/>
            </w:r>
          </w:p>
        </w:tc>
        <w:tc>
          <w:tcPr>
            <w:tcW w:w="512"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lang w:val="en-US" w:eastAsia="en-US" w:bidi="ar-SA"/>
              </w:rPr>
            </w:pPr>
            <w:r>
              <w:rPr>
                <w:lang w:val="en-US" w:eastAsia="en-US" w:bidi="ar-SA"/>
              </w:rPr>
              <w:br/>
            </w:r>
          </w:p>
        </w:tc>
        <w:tc>
          <w:tcPr>
            <w:tcW w:w="7270"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So about 20 kilometres an hour?</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lang w:val="en-US" w:eastAsia="en-US" w:bidi="ar-SA"/>
              </w:rPr>
            </w:pPr>
            <w:r>
              <w:rPr>
                <w:lang w:val="en-US" w:eastAsia="en-US" w:bidi="ar-SA"/>
              </w:rPr>
              <w:br/>
            </w:r>
          </w:p>
        </w:tc>
        <w:tc>
          <w:tcPr>
            <w:tcW w:w="614"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Yeah, that's what I'd say. Yeah.</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30"/>
        <w:gridCol w:w="413"/>
        <w:gridCol w:w="516"/>
        <w:gridCol w:w="238"/>
        <w:gridCol w:w="7327"/>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44</w:t>
            </w:r>
          </w:p>
        </w:tc>
        <w:tc>
          <w:tcPr>
            <w:tcW w:w="410" w:type="dxa"/>
            <w:tcBorders>
              <w:right w:val="nil"/>
            </w:tcBorders>
            <w:tcMar>
              <w:top w:w="100" w:type="dxa"/>
              <w:bottom w:w="0" w:type="dxa"/>
            </w:tcMar>
            <w:vAlign w:val="top"/>
          </w:tcPr>
          <w:p>
            <w:pPr>
              <w:rPr>
                <w:lang w:val="en-US" w:eastAsia="en-US" w:bidi="ar-SA"/>
              </w:rPr>
            </w:pPr>
            <w:r>
              <w:rPr>
                <w:lang w:val="en-US" w:eastAsia="en-US" w:bidi="ar-SA"/>
              </w:rPr>
              <w:br/>
            </w:r>
          </w:p>
        </w:tc>
        <w:tc>
          <w:tcPr>
            <w:tcW w:w="512"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lang w:val="en-US" w:eastAsia="en-US" w:bidi="ar-SA"/>
              </w:rPr>
            </w:pPr>
            <w:r>
              <w:rPr>
                <w:lang w:val="en-US" w:eastAsia="en-US" w:bidi="ar-SA"/>
              </w:rPr>
              <w:br/>
            </w:r>
          </w:p>
        </w:tc>
        <w:tc>
          <w:tcPr>
            <w:tcW w:w="7270"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And you basically shot across the road from your side of the road over to her side of the road?</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lang w:val="en-US" w:eastAsia="en-US" w:bidi="ar-SA"/>
              </w:rPr>
            </w:pPr>
            <w:r>
              <w:rPr>
                <w:lang w:val="en-US" w:eastAsia="en-US" w:bidi="ar-SA"/>
              </w:rPr>
              <w:br/>
            </w:r>
          </w:p>
        </w:tc>
        <w:tc>
          <w:tcPr>
            <w:tcW w:w="614"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Yes. Yes.</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30"/>
        <w:gridCol w:w="413"/>
        <w:gridCol w:w="516"/>
        <w:gridCol w:w="238"/>
        <w:gridCol w:w="7327"/>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45</w:t>
            </w:r>
          </w:p>
        </w:tc>
        <w:tc>
          <w:tcPr>
            <w:tcW w:w="410" w:type="dxa"/>
            <w:tcBorders>
              <w:right w:val="nil"/>
            </w:tcBorders>
            <w:tcMar>
              <w:top w:w="100" w:type="dxa"/>
              <w:bottom w:w="0" w:type="dxa"/>
            </w:tcMar>
            <w:vAlign w:val="top"/>
          </w:tcPr>
          <w:p>
            <w:pPr>
              <w:rPr>
                <w:lang w:val="en-US" w:eastAsia="en-US" w:bidi="ar-SA"/>
              </w:rPr>
            </w:pPr>
            <w:r>
              <w:rPr>
                <w:lang w:val="en-US" w:eastAsia="en-US" w:bidi="ar-SA"/>
              </w:rPr>
              <w:br/>
            </w:r>
          </w:p>
        </w:tc>
        <w:tc>
          <w:tcPr>
            <w:tcW w:w="512"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lang w:val="en-US" w:eastAsia="en-US" w:bidi="ar-SA"/>
              </w:rPr>
            </w:pPr>
            <w:r>
              <w:rPr>
                <w:lang w:val="en-US" w:eastAsia="en-US" w:bidi="ar-SA"/>
              </w:rPr>
              <w:br/>
            </w:r>
          </w:p>
        </w:tc>
        <w:tc>
          <w:tcPr>
            <w:tcW w:w="7270"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And the front left of your truck hit the front right of her vehicle?</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lang w:val="en-US" w:eastAsia="en-US" w:bidi="ar-SA"/>
              </w:rPr>
            </w:pPr>
            <w:r>
              <w:rPr>
                <w:lang w:val="en-US" w:eastAsia="en-US" w:bidi="ar-SA"/>
              </w:rPr>
              <w:br/>
            </w:r>
          </w:p>
        </w:tc>
        <w:tc>
          <w:tcPr>
            <w:tcW w:w="614"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30"/>
        <w:gridCol w:w="413"/>
        <w:gridCol w:w="516"/>
        <w:gridCol w:w="238"/>
        <w:gridCol w:w="7327"/>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46</w:t>
            </w:r>
          </w:p>
        </w:tc>
        <w:tc>
          <w:tcPr>
            <w:tcW w:w="410" w:type="dxa"/>
            <w:tcBorders>
              <w:right w:val="nil"/>
            </w:tcBorders>
            <w:tcMar>
              <w:top w:w="100" w:type="dxa"/>
              <w:bottom w:w="0" w:type="dxa"/>
            </w:tcMar>
            <w:vAlign w:val="top"/>
          </w:tcPr>
          <w:p>
            <w:pPr>
              <w:rPr>
                <w:lang w:val="en-US" w:eastAsia="en-US" w:bidi="ar-SA"/>
              </w:rPr>
            </w:pPr>
            <w:r>
              <w:rPr>
                <w:lang w:val="en-US" w:eastAsia="en-US" w:bidi="ar-SA"/>
              </w:rPr>
              <w:br/>
            </w:r>
          </w:p>
        </w:tc>
        <w:tc>
          <w:tcPr>
            <w:tcW w:w="512"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lang w:val="en-US" w:eastAsia="en-US" w:bidi="ar-SA"/>
              </w:rPr>
            </w:pPr>
            <w:r>
              <w:rPr>
                <w:lang w:val="en-US" w:eastAsia="en-US" w:bidi="ar-SA"/>
              </w:rPr>
              <w:br/>
            </w:r>
          </w:p>
        </w:tc>
        <w:tc>
          <w:tcPr>
            <w:tcW w:w="7270"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Okay. And you were going about 20 kilometres an hour?</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lang w:val="en-US" w:eastAsia="en-US" w:bidi="ar-SA"/>
              </w:rPr>
            </w:pPr>
            <w:r>
              <w:rPr>
                <w:lang w:val="en-US" w:eastAsia="en-US" w:bidi="ar-SA"/>
              </w:rPr>
              <w:br/>
            </w:r>
          </w:p>
        </w:tc>
        <w:tc>
          <w:tcPr>
            <w:tcW w:w="614"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627"/>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47</w:t>
            </w:r>
          </w:p>
        </w:tc>
        <w:tc>
          <w:tcPr>
            <w:tcW w:w="410" w:type="dxa"/>
            <w:tcBorders>
              <w:right w:val="nil"/>
            </w:tcBorders>
            <w:tcMar>
              <w:top w:w="100" w:type="dxa"/>
              <w:bottom w:w="0" w:type="dxa"/>
            </w:tcMar>
            <w:vAlign w:val="top"/>
          </w:tcPr>
          <w:p>
            <w:pPr>
              <w:rPr>
                <w:lang w:val="en-US" w:eastAsia="en-US" w:bidi="ar-SA"/>
              </w:rPr>
            </w:pPr>
            <w:r>
              <w:rPr>
                <w:lang w:val="en-US" w:eastAsia="en-US" w:bidi="ar-SA"/>
              </w:rPr>
              <w:br/>
            </w:r>
          </w:p>
        </w:tc>
        <w:tc>
          <w:tcPr>
            <w:tcW w:w="614"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Q</w:t>
            </w:r>
          </w:p>
        </w:tc>
        <w:tc>
          <w:tcPr>
            <w:tcW w:w="7270"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Correct?</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lang w:val="en-US" w:eastAsia="en-US" w:bidi="ar-SA"/>
              </w:rPr>
            </w:pPr>
            <w:r>
              <w:rPr>
                <w:lang w:val="en-US" w:eastAsia="en-US" w:bidi="ar-SA"/>
              </w:rPr>
              <w:br/>
            </w:r>
          </w:p>
        </w:tc>
        <w:tc>
          <w:tcPr>
            <w:tcW w:w="614"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 find that the defendant has not rebutted the presumption that exists in this case. The defendant is 100% liable for the damages caused to the plaintiff.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On the issue of damages, Ms. Zacharias says that immediately after the accident she was not aware of any pain in her knee. She said that the RCMP attended the scene. Both she and Ms. Leys went to the RCMP detachment and made statements. Thereafter, she went to ICBC and made a report and then proceeded to her home.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"When I got home, I put my feet up. My leg was starting to swell." Between 5:30 and 6:00 p.m. she went to the emergency ward. She said her right knee was painful, there was swelling and bruising "right where the car hit 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physician at the emergency ward told her to put ice on it and take Tylenol. Ms. Zacharias says that the following day she went to work.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Ms. Zacharias was very forthcoming about the history of problems with her right knee. She stated that she hurt it when she was at school and in 1974 it started "locking." She saw an orthopaedic surgeon in Winnipeg and he removed the cartilage (meniscectomy). In 1983 at Winnipeg she underwent a tibial osteotomy. In the mid-80s this procedure was affected because she suffered a pinching painful sensation in the knee.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Later in Regina she saw an orthopaedic surgeon who, according to the plaintiff, concluded that bones were rubbing in the knee and "he took a bone wedge from my tibia, he realigned the leg and I was in a cast for eight weeks." Thereafter, the bone fused.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Ms. Zacharias testified that after that she had no more knee problems. While she worked at Canada Safeway at Fort St. John, the knee would ache and swell from time to time but she never missed work. She stated that pre-accident she was golfing, walking, dancing and experienced no problems.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As to her recreational activities, she said she had a membership at the golf club in Fort St. John and golfed three or four times a week. She said golfing did not affect her knee in any way.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Ms. Zacharias said that after the car accident when at work her knee was painful. She continued to work at Safeway until the end of April, 1997. "It was getting to the point that it was too painful to be on it. I would go home in tears."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After the accident her knee got progressively worse and that she went to see Dr. Vinton, a local physician in Fort St. John, in August, 1996. She referred Ms. Zacharias to a specialist in Grande Prairie, Alberta, Dr. Joseph C. Sendziak, an orthopaedic surgeon.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Dr. Sendziak's rather extraordinary lack of concern for political correctness, he opines in his report of December 3, 1996.</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This girl was seen on the 26th of November regarding persisting problems with her right knee. She has had surgery in 1978 with a meniscectomy. She has dual medial incisions. In addition she also had a valgus osteotomy carried out in the early eighties.</w:t>
      </w:r>
    </w:p>
    <w:p>
      <w:pPr>
        <w:spacing w:before="120" w:line="260" w:lineRule="atLeast"/>
        <w:ind w:left="720"/>
        <w:rPr>
          <w:lang w:val="en-US" w:eastAsia="en-US" w:bidi="ar-SA"/>
        </w:rPr>
      </w:pPr>
      <w:r>
        <w:rPr>
          <w:rFonts w:ascii="arial" w:eastAsia="arial" w:hAnsi="arial" w:cs="arial"/>
          <w:color w:val="000000"/>
          <w:sz w:val="20"/>
          <w:lang w:val="en-US" w:eastAsia="en-US" w:bidi="ar-SA"/>
        </w:rPr>
        <w:t>She now has a significant tricompartmental disease yet has a range of motion of five through one hundred degrees. She is certainly too young to be considered for a joint replacement.At this juncture she has really not been on a prolonged anti-inflammatory program. I have simply placed her on Ibuprofen 600 mgs. t.i.d. In the event of flare I would suggest intra-articular steroid injection. This girl will probably ultimately come to joint replacement prior to age sixty. There is no conservative surgical procedure that would suit her at the present time.</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Ms. Zacharias was 49 years of age at the time of that consultation.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April, 1997, Ms. Zacharias saw Dr. Wright, a general practitioner in Fort St. John and it was his suggestion she take two weeks off work. He also injected her knee with a solution she described as "artificial cartilage in my knee." Afterward, she was prescribed a Generation II knee brace which was moulded for her out of heavy plastic.</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At the end of April, Ms Zacharias said,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I had to make an decision. I was in a lot of pain, couldn't be on it, my work didn't allow me to sit. I wanted them to cut my leg off. I was taking pain killers, it was swollen all the time to almost basketball size.</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In August, 1997, Ms. Zacharias went to see Dr. Donald Garbuz, an orthopaedic surgeon practicing in Vancouver. In his report of October 3, 2002, Dr. Garbuz,</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Lorraine initially saw me in 1997. She had a car accident on January 23, 1996. At that time her car had spun out. She was outside the car when another car hit her car and a direct valgus injury was sustained to her right knee. Prior to that she states she did have some pain in her right knee, but after the accident her pain became quite severe. When I saw her in August 1997 she had sever pain in her right knee. Her walking tolerance was only half a block. She had tried all conservative measures without any help. When I saw her, despite her young age, and given her severe disability and pain, we decided to proceed with total knee arthroplasty.</w:t>
      </w:r>
    </w:p>
    <w:p>
      <w:pPr>
        <w:spacing w:before="120" w:line="260" w:lineRule="atLeast"/>
        <w:ind w:left="720"/>
        <w:rPr>
          <w:lang w:val="en-US" w:eastAsia="en-US" w:bidi="ar-SA"/>
        </w:rPr>
      </w:pPr>
      <w:r>
        <w:rPr>
          <w:rFonts w:ascii="arial" w:eastAsia="arial" w:hAnsi="arial" w:cs="arial"/>
          <w:color w:val="000000"/>
          <w:sz w:val="20"/>
          <w:lang w:val="en-US" w:eastAsia="en-US" w:bidi="ar-SA"/>
        </w:rPr>
        <w:t>It should be mentioned that Lorraine clearly state to me today, and it is quite clear she is honest about this, she had previous surgery on her knee. She had a high tibial osteotomy in 1983 and meniscectomy on the right side in 1974. However she quite clearly states that she was functioning quite well, working full-time until the accident.</w:t>
      </w:r>
    </w:p>
    <w:p>
      <w:pPr>
        <w:spacing w:before="120" w:line="260" w:lineRule="atLeast"/>
        <w:ind w:left="720"/>
        <w:rPr>
          <w:lang w:val="en-US" w:eastAsia="en-US" w:bidi="ar-SA"/>
        </w:rPr>
      </w:pPr>
      <w:r>
        <w:rPr>
          <w:rFonts w:ascii="arial" w:eastAsia="arial" w:hAnsi="arial" w:cs="arial"/>
          <w:color w:val="000000"/>
          <w:sz w:val="20"/>
          <w:lang w:val="en-US" w:eastAsia="en-US" w:bidi="ar-SA"/>
        </w:rPr>
        <w:t>On November 13, 1997 I carried out a total knee arthroplasty on the right side. Post operatively she did have a complication, a pulmonary embolus, but this was treated with anti=coagulation without any further sequela.</w:t>
      </w:r>
    </w:p>
    <w:p>
      <w:pPr>
        <w:spacing w:before="120" w:line="260" w:lineRule="atLeast"/>
        <w:ind w:left="720"/>
        <w:rPr>
          <w:lang w:val="en-US" w:eastAsia="en-US" w:bidi="ar-SA"/>
        </w:rPr>
      </w:pPr>
      <w:r>
        <w:rPr>
          <w:rFonts w:ascii="arial" w:eastAsia="arial" w:hAnsi="arial" w:cs="arial"/>
          <w:color w:val="000000"/>
          <w:sz w:val="20"/>
          <w:lang w:val="en-US" w:eastAsia="en-US" w:bidi="ar-SA"/>
        </w:rPr>
        <w:t>Lorraine subsequently developed a very stiff knee due to the formation of heterotopic ossification. On April 15, 1999 I took her back to the operating room for excision of the heterotopic ossification. Since that time her flexion of her knee has improved. I have seen her periodically since then, and I thought overall she was doing very well.</w:t>
      </w:r>
    </w:p>
    <w:p>
      <w:pPr>
        <w:spacing w:before="120" w:line="260" w:lineRule="atLeast"/>
        <w:ind w:left="720"/>
        <w:rPr>
          <w:lang w:val="en-US" w:eastAsia="en-US" w:bidi="ar-SA"/>
        </w:rPr>
      </w:pPr>
      <w:r>
        <w:rPr>
          <w:rFonts w:ascii="arial" w:eastAsia="arial" w:hAnsi="arial" w:cs="arial"/>
          <w:color w:val="000000"/>
          <w:sz w:val="20"/>
          <w:lang w:val="en-US" w:eastAsia="en-US" w:bidi="ar-SA"/>
        </w:rPr>
        <w:t>I saw her today on October 3rd for a further assessment of her knee. She states that overall her knee is quite comfortable. A lot of her pre-operative pain has resolved. She still describes discomfort proximally in the lateral aspect of the knee in the area of the fibula. She has not worked since the accident. She states that if she works such as at a standing job she gets a lot of discomfort and aching in her knee. This in itself is not unusual for patients with multiple surgeries on their knee, including a knee replacement.</w:t>
      </w:r>
    </w:p>
    <w:p>
      <w:pPr>
        <w:spacing w:before="120" w:line="260" w:lineRule="atLeast"/>
        <w:ind w:left="720"/>
        <w:rPr>
          <w:lang w:val="en-US" w:eastAsia="en-US" w:bidi="ar-SA"/>
        </w:rPr>
      </w:pPr>
      <w:r>
        <w:rPr>
          <w:rFonts w:ascii="arial" w:eastAsia="arial" w:hAnsi="arial" w:cs="arial"/>
          <w:color w:val="000000"/>
          <w:sz w:val="20"/>
          <w:lang w:val="en-US" w:eastAsia="en-US" w:bidi="ar-SA"/>
        </w:rPr>
        <w:t>She states that on the flat she can walk up to one mile and tries to walk three to four times a week.</w:t>
      </w:r>
    </w:p>
    <w:p>
      <w:pPr>
        <w:spacing w:line="260" w:lineRule="atLeast"/>
        <w:jc w:val="center"/>
        <w:rPr>
          <w:lang w:val="en-US" w:eastAsia="en-US" w:bidi="ar-SA"/>
        </w:rPr>
      </w:pPr>
      <w:r>
        <w:rPr>
          <w:lang w:val="en-US" w:eastAsia="en-US" w:bidi="ar-SA"/>
        </w:rPr>
        <w:br/>
      </w:r>
      <w:r>
        <w:rPr>
          <w:rFonts w:ascii="arial" w:eastAsia="arial" w:hAnsi="arial" w:cs="arial"/>
          <w:color w:val="000000"/>
          <w:sz w:val="20"/>
          <w:lang w:val="en-US" w:eastAsia="en-US" w:bidi="ar-SA"/>
        </w:rPr>
        <w:t>. . .</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SUMMARY AND IMPRESSION: Lorraine Zacharias is a very pleasant, now fifty-five year old, female. I first encountered her back in 1997 when she was fifty. At that time she had severe symptomatology from osteoarthritis of her knee. I would state that I do believe the injury exacerbated a pre-existing condition. I think it is clearly a combination of both the motor vehicle accident and that she's had previous problems in her knee that she came to total knee arthroplasty. In terms of what would have happened if she hadn't had the motor vehicle accident, this is uncertain. The natural history of osteoarthritis is for progression, however this is over a variable period of time. I would clearly state that I think the motor vehicle accident hastened her need for total knee arthroplasty. It is impossible, based on the literature, to put a time frame on how much this hastened it by. However it has a clear effect on her need for knee replacement.</w:t>
      </w:r>
    </w:p>
    <w:p>
      <w:pPr>
        <w:spacing w:before="120" w:line="260" w:lineRule="atLeast"/>
        <w:ind w:left="720"/>
        <w:rPr>
          <w:lang w:val="en-US" w:eastAsia="en-US" w:bidi="ar-SA"/>
        </w:rPr>
      </w:pPr>
      <w:r>
        <w:rPr>
          <w:rFonts w:ascii="arial" w:eastAsia="arial" w:hAnsi="arial" w:cs="arial"/>
          <w:color w:val="000000"/>
          <w:sz w:val="20"/>
          <w:lang w:val="en-US" w:eastAsia="en-US" w:bidi="ar-SA"/>
        </w:rPr>
        <w:t>From a prognosis point of view, I think she is completely recovered from the surgery. As in many patients who have had several operations on their knee, although much improved they often do have some ongoing limitations. I would state that she cannot stand or sit for prolonged periods of time as this may cause a fair bit of discomfort. As well, any heavy lifting or prolonged standing or walking at a job should be avoided as this may accelerate the wear of the polyethylene and subsequently accelerate the need for future revision surgery.</w:t>
      </w:r>
    </w:p>
    <w:p>
      <w:pPr>
        <w:spacing w:before="120" w:line="260" w:lineRule="atLeast"/>
        <w:ind w:left="720"/>
        <w:rPr>
          <w:lang w:val="en-US" w:eastAsia="en-US" w:bidi="ar-SA"/>
        </w:rPr>
      </w:pPr>
      <w:r>
        <w:rPr>
          <w:rFonts w:ascii="arial" w:eastAsia="arial" w:hAnsi="arial" w:cs="arial"/>
          <w:color w:val="000000"/>
          <w:sz w:val="20"/>
          <w:lang w:val="en-US" w:eastAsia="en-US" w:bidi="ar-SA"/>
        </w:rPr>
        <w:t>In terms of further treatment, at the present time I don't anticipate any treatment in the near future. However anybody with a total knee arthroplasty at the age of fifty is most likely going to require subsequent revision surgery. At fifteen years probably 75-80% of total knee arthroplasies are still in use and the rest have to be revised at some time in between. I would suggest that this will probably be Lorraine's fate, but I cannot say that with certainty at the present time.</w:t>
      </w:r>
    </w:p>
    <w:p>
      <w:pPr>
        <w:spacing w:before="120" w:line="260" w:lineRule="atLeast"/>
        <w:ind w:left="720"/>
        <w:rPr>
          <w:lang w:val="en-US" w:eastAsia="en-US" w:bidi="ar-SA"/>
        </w:rPr>
      </w:pPr>
      <w:r>
        <w:rPr>
          <w:rFonts w:ascii="arial" w:eastAsia="arial" w:hAnsi="arial" w:cs="arial"/>
          <w:color w:val="000000"/>
          <w:sz w:val="20"/>
          <w:lang w:val="en-US" w:eastAsia="en-US" w:bidi="ar-SA"/>
        </w:rPr>
        <w:t>In summary, the, she had osteoarthritis of her knee. I think her accident that she was in on January 23, 1996 exacerbated her problem. For this reason her pain and disability increased and she subsequently needed a total knee arthroplasty.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plaintiff and her husband had moved to Cumberland on Vancouver Island in October 1997.</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Ms. Zacharias said that the heterotopic ossification felt like an egg on her right knee and it was very painful to touch. She said it prevented her from bending her leg. Under the care of an orthopaedic surgeon in Comox she used the CPM machine at St Joseph's Hospital to stretch the muscle. As a result of that she said she had a little more flexibility.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On April 15, 1999, as noted in Dr. Garbuz' report, he operated on her to remove the heterotopic ossification.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Meanwhile, Ms. Zacharias' employer, Safeway Limited, made her an offer of a buyout. However, to obtain this buyout she had to return to the original store she worked at in Fort St. John for a three week period. She did this in March, 1998. Upon doing so, she obtained a buyout and she was no longer qualified for long-term disability. She said that the three weeks at Fort St. John were the "worst three weeks of her life." There was swelling of her right knee, "I couldn't tolerate the pain in the area of ossification." All of which, of course, was pre the removal of the ossification by Dr. Garbuz.</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Because of the type of work she was doing at the bakery at the Safeway store, she realized she could not do the job any longer.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discussing her present circumstances surrounding the injuries she says: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I have adapted quite well. I can't golf. Getting on and off the cart hurts.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With regard to her domestic chores, she is not able to wash the floors any longer. She says she can still walk but she must take care. Her knee, she states, does not feel stable.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However, notwithstanding that she feels she could not do the work at Canada Safeway, she stated, "I feel I am ready to go back to work at something where I am not on my feet all the time."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As to employment, she assists her husband in his graphic sign work, but does not receive a salary.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 Robert Zacharias testified about his wife and consequences of this accident upon the family. Mr. Zacharias is 59 years of age and has operated his graphic sign business for five years. He confirmed that his wife helps out when needed, such as when he goes out on calls. He stated that as of the date of the trial his business was doing well because his competitor was undergoing renovations and his clients came to Mr. Zacharias. However, he said that before that his business was not doing too well. He said his income last year, that is 2002, was $14,000. During this time the plaintiff cashed in an RRSP to assist the family.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On the issue of damages the defendant submits that this accident hastened surgery that would have been necessary by the order of approximately one year. Also the defendant submits that the second knee operation which the plaintiff underwent would have been required in any event. Therefore its occurrence should not be factored into the award of 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Further, counsel submits that Ms. Zacharias is in condition now that she would have been in as a result of what was a requirement of, he asserts, "inevitable arthroplasty." On this point he submits there should be no award for loss of earning capacity.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Further, he submits that the ossification which Ms. Zacharias developed after the arthroplasty surgery, he says there was no evidence that this was the result of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With reference to the quantum to be awarded for general damages in this case, the seminal case is Athey v. Leonati </w:t>
      </w:r>
      <w:hyperlink r:id="rId164" w:history="1">
        <w:r>
          <w:rPr>
            <w:rFonts w:ascii="arial" w:eastAsia="arial" w:hAnsi="arial" w:cs="arial"/>
            <w:i/>
            <w:color w:val="0077CC"/>
            <w:sz w:val="20"/>
            <w:u w:val="single"/>
            <w:shd w:val="clear" w:color="auto" w:fill="FFFFFF"/>
            <w:lang w:val="en-US" w:eastAsia="en-US" w:bidi="ar-SA"/>
          </w:rPr>
          <w:t>[1996] S.C.J. No. 102</w:t>
        </w:r>
      </w:hyperlink>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Ms. Zacharias developed knee problems while attending school in Winnipeg. As I understand, the injury was while play sports. This initial cause and continuing right knee problem was not as a result of any tortious conduct by a third party. Mr. Justice Major of the Supreme Court of Canada sets the issue out at page 6 of his reasons for judgment. He states: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The only issue was whether the disc herniation was caused by the injuries sustained in the accidents or whether it was attributable to the appellant's pre-existing back problems.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At page 8, Mr. Justice Major states: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[para. 18] This proposition has long been established in the jurisprudence. Lord Reid stated in McGhee v. National Coal Board, [1972] 3 All E.R. 1008 at 1010:</w:t>
      </w:r>
    </w:p>
    <w:p>
      <w:pPr>
        <w:spacing w:before="120" w:line="260" w:lineRule="atLeast"/>
        <w:ind w:left="1080"/>
        <w:rPr>
          <w:lang w:val="en-US" w:eastAsia="en-US" w:bidi="ar-SA"/>
        </w:rPr>
      </w:pPr>
      <w:r>
        <w:rPr>
          <w:rFonts w:ascii="arial" w:eastAsia="arial" w:hAnsi="arial" w:cs="arial"/>
          <w:color w:val="000000"/>
          <w:sz w:val="20"/>
          <w:lang w:val="en-US" w:eastAsia="en-US" w:bidi="ar-SA"/>
        </w:rPr>
        <w:t>It has always been the law that a pursuer succeeds if he can shew [sic] that fault of the defender caused or materially contributed to his injury. There may have been two separate causes but it is enough if one of the causes arose from fault of the defender. The pursuer does not have to prove that this cause would of itself have been enough to cause him injury.</w:t>
      </w:r>
    </w:p>
    <w:p>
      <w:pPr>
        <w:spacing w:before="120" w:line="260" w:lineRule="atLeast"/>
        <w:ind w:left="720"/>
        <w:rPr>
          <w:lang w:val="en-US" w:eastAsia="en-US" w:bidi="ar-SA"/>
        </w:rPr>
      </w:pPr>
      <w:r>
        <w:rPr>
          <w:rFonts w:ascii="arial" w:eastAsia="arial" w:hAnsi="arial" w:cs="arial"/>
          <w:color w:val="000000"/>
          <w:sz w:val="20"/>
          <w:lang w:val="en-US" w:eastAsia="en-US" w:bidi="ar-SA"/>
        </w:rPr>
        <w:t xml:space="preserve">[para. 19] The law does not excuse a defendant from liability merely because other causal factors for which he is not responsible also helped produce the harm: Fleming, supra, at p. 200. It is sufficient if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a cause of the harm: School Division of Assiniboine South, No. 3 v. Greater Winnipeg Gas Co., </w:t>
      </w:r>
      <w:hyperlink r:id="rId165" w:history="1">
        <w:r>
          <w:rPr>
            <w:rFonts w:ascii="arial" w:eastAsia="arial" w:hAnsi="arial" w:cs="arial"/>
            <w:i/>
            <w:color w:val="0077CC"/>
            <w:sz w:val="20"/>
            <w:u w:val="single"/>
            <w:shd w:val="clear" w:color="auto" w:fill="FFFFFF"/>
            <w:lang w:val="en-US" w:eastAsia="en-US" w:bidi="ar-SA"/>
          </w:rPr>
          <w:t>[1971] 4 W.W.R. 746</w:t>
        </w:r>
      </w:hyperlink>
      <w:r>
        <w:rPr>
          <w:rFonts w:ascii="arial" w:eastAsia="arial" w:hAnsi="arial" w:cs="arial"/>
          <w:color w:val="000000"/>
          <w:sz w:val="20"/>
          <w:lang w:val="en-US" w:eastAsia="en-US" w:bidi="ar-SA"/>
        </w:rPr>
        <w:t xml:space="preserve"> (Man. C.A.), at p. 753, aff'd </w:t>
      </w:r>
      <w:r>
        <w:rPr>
          <w:rFonts w:ascii="arial" w:eastAsia="arial" w:hAnsi="arial" w:cs="arial"/>
          <w:i/>
          <w:color w:val="000000"/>
          <w:sz w:val="20"/>
          <w:lang w:val="en-US" w:eastAsia="en-US" w:bidi="ar-SA"/>
        </w:rPr>
        <w:t>[1973] 6 W.W.R. 765</w:t>
      </w:r>
      <w:r>
        <w:rPr>
          <w:rFonts w:ascii="arial" w:eastAsia="arial" w:hAnsi="arial" w:cs="arial"/>
          <w:color w:val="000000"/>
          <w:sz w:val="20"/>
          <w:lang w:val="en-US" w:eastAsia="en-US" w:bidi="ar-SA"/>
        </w:rPr>
        <w:t xml:space="preserve"> (S.C.C.), [1973] S.C.R. vi, Ken Cooper-Stephenson, Personal Injury Damages in Canada (2d ed. 1996), at p. 748.</w:t>
      </w:r>
    </w:p>
    <w:p>
      <w:pPr>
        <w:spacing w:before="120" w:line="260" w:lineRule="atLeast"/>
        <w:ind w:left="720"/>
        <w:rPr>
          <w:lang w:val="en-US" w:eastAsia="en-US" w:bidi="ar-SA"/>
        </w:rPr>
      </w:pPr>
      <w:r>
        <w:rPr>
          <w:rFonts w:ascii="arial" w:eastAsia="arial" w:hAnsi="arial" w:cs="arial"/>
          <w:color w:val="000000"/>
          <w:sz w:val="20"/>
          <w:lang w:val="en-US" w:eastAsia="en-US" w:bidi="ar-SA"/>
        </w:rPr>
        <w:t xml:space="preserve">[para. 20] This position is entrenched in our law and there is no reason at present to depart from it. If the law permitted apportionment between tortious causes and non-tortious causes, a plaintiff could recover 100 per cent of his or her loss only when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sole cause of the injuries. Since most events are the result of a complex set of causes, there will frequently be non-tortious causes contributing to the injury. Defendants could frequently and easily identify non-tortious contributing causes, so plaintiffs would rarely receive full compensation even after proving that the defendant caused the injury. This would be contrary to established principles and the essential purpose of tort law, which is to restore the plaintiff to the position he or she would have enjoyed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Supreme Court of Canada deals with multiple tortious causes but it is not necessary in the case at bar to reflect on those portions of Mr. Justice Major's decision.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On the facts of this case as submitted by Mr. Strandberg, Ms. Zacharias required total knee arthroplasty in any event. In Dr. Garbuz' opinion (supra) he states,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In terms of what would have happened if she hadn't had the motor vehicle accident, this is uncertain. Natural history for osteoarthritis is for progression, however, this is over a variable period of time. I would clearly state that I think the motor vehicle accident hastened her need for total knee arthroplasty. It is impossible, based on the literature, to put a time frame on how much this hastened it by. However it has a clear effect on her need for knee replacement.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defence called no expert evidence.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only certain aspect about the future of Ms. Zacharias' injured knee is that in approximately 15 years, according to Dr. Garbuz, she may require once again a total knee arthroplasty. He states that after that period of time 75-80 percent of those receiving arthroplasty, revision is required. He states in his report (supra)</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I would suggest that this will probably be Lorraine's fate, but I cannot say that with certainty at the present time.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This opinion is such that I can accept it on a balance of probability it will occur, and therefore the principle of Athey v. Leonati (supra) applies.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I found that on the balance of probabilities that as a result of the 100 percent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defendant the need for the plaintiff's arthroplasty was caused or contributed to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However, I am unable to find on the balance of probabilities that this surgical requirement would have been necessary in the plaintiff's lifetime.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From the time of the accident in 1996 until the arthroplasty surgery and the recovery time from such surgery, the plaintiff has suffered pain, inconvenience and it has affected her recreational and social life. Further, her activities, such as golf, have been curtailed. She is, however, able to walk on the flat for one mile and she attempts to do this three or four times a week and considering that in 10-15 years a further operation will be necessary upon this knee and there will be further recuperation time necessary as this plaintiff ages the discomfort that now exists will continue.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 set the general damages at $80,000.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plaintiff also seeks an award for loss of capacity to earn income. The evidence of the plaintiff and her husband reveal that the principle reason for leaving Fort St. John and her employment at Canada Safeway was that Mr. Zacharias' lease of Petro Canada was either not renewed or for some other cause which she and he did not elaborate 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It is also apparent that Ms. Zacharias could not continue with Safeway as at that time she had accepted the buy out and had completed the three weeks necessary to obtain that buy out.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On the evidence I heard from a co-worker Margaret Wagner at Safeway in Fort St. John, the plaintiff was a conscientious and capable employee in the bakery department at that store.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 find that but for this accident, Ms. Zacharias would have found work in the Comox-Courtenay-Cumberland area perhaps with a grocery chain.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 further find that she accepted the buy out because she knew that she could not continue to work with her knee injury. The work as she described it necessitated her carrying trays with bakery products and kneeling with the heavy trays to put the product on display stands.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At the time of trial Ms. Zacharias was 56 year-of-age. She has in the order of 13 years in the work force under very limiting conditions. Ms. Zacharias testified that she had no training for any occupation save as a bakery employee at a chain super market.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evidence from Ms. Zacharias is that her income in 1994 through to 1996 in the was in the order of $40,000 per annum on average. The court did not receive any expert evidence relative to this issue. I am, however, considering the contingencies such as but for this accident she would have obtained employment in the Courtenay area and also the usual negative contingencies that one must consider in the daily lives of people. I set the loss of capacity to earn at $100,000.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Ms. Zacharias was on long-term disability from Canada Safeway from October, 1997, to March, 1999. I am not prepared to reduce the loss of income award by deducting the amount received by her under the long-term disability program. Ms. Zacharias testified she was a member of the United Food and Commercial Workers' Union. She stated: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We had a good medical-dental plan, prescription-pension plan and accumulated time off plan.</w:t>
      </w:r>
    </w:p>
    <w:p>
      <w:pPr>
        <w:spacing w:before="120" w:line="260" w:lineRule="atLeast"/>
        <w:ind w:left="720"/>
        <w:rPr>
          <w:lang w:val="en-US" w:eastAsia="en-US" w:bidi="ar-SA"/>
        </w:rPr>
      </w:pPr>
      <w:r>
        <w:rPr>
          <w:rFonts w:ascii="arial" w:eastAsia="arial" w:hAnsi="arial" w:cs="arial"/>
          <w:color w:val="000000"/>
          <w:sz w:val="20"/>
          <w:lang w:val="en-US" w:eastAsia="en-US" w:bidi="ar-SA"/>
        </w:rPr>
        <w:t>Part-time employees had less benefits than full-time employees. Part-time employees were paid more than us with fewer benefits.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 find that the benefits received by Ms. Zacharias were as a result of Union Negotiations and are non-deductible.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 set her past wage loss from April 29, 1997, to November 3, 1998, at $60,000.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There will be court-ordered interest at the rate set by the Registrar of Honourable Court from time together with costs to the plaintiff.</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LANDER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9" style="position:absolute;z-index:25186816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66"/>
          <w:headerReference w:type="default" r:id="rId167"/>
          <w:footerReference w:type="even" r:id="rId168"/>
          <w:footerReference w:type="default" r:id="rId169"/>
          <w:headerReference w:type="first" r:id="rId170"/>
          <w:footerReference w:type="first" r:id="rId17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72" w:history="1">
        <w:r>
          <w:rPr>
            <w:rFonts w:ascii="arial" w:eastAsia="arial" w:hAnsi="arial" w:cs="arial"/>
            <w:b/>
            <w:bCs/>
            <w:i/>
            <w:color w:val="0077CC"/>
            <w:kern w:val="32"/>
            <w:sz w:val="28"/>
            <w:szCs w:val="32"/>
            <w:u w:val="single"/>
            <w:shd w:val="clear" w:color="auto" w:fill="FFFFFF"/>
            <w:lang w:val="en-US" w:eastAsia="en-US" w:bidi="ar-SA"/>
          </w:rPr>
          <w:t>0715257 B.C. Ltd. v. Longiaru, [2008] B.C.J. No. 1808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Kamloops,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A.F. Cullen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2,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September 24,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40300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Kamloops</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[2008] B.C.J. No. 1808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2008 BCSC 1281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51 B.L.R. (4th) 78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2008 CarswellBC 2000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172 A.C.W.S. (3d) 369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0715257 B.C. Ltd. and YKA Flight Discovery, Ltd., Plaintiffs, and Samuel Joseph Longiaru and Kathleen Diane McKelvey,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(142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70" style="position:absolute;z-index:2516674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66" w:name="Keywords_7"/>
      <w:bookmarkEnd w:id="66"/>
      <w:r>
        <w:rPr>
          <w:rFonts w:ascii="arial" w:eastAsia="arial" w:hAnsi="arial" w:cs="arial"/>
          <w:b/>
          <w:color w:val="000000"/>
          <w:sz w:val="20"/>
          <w:lang w:val="en-US" w:eastAsia="en-US" w:bidi="ar-SA"/>
        </w:rPr>
        <w:t>Contracts — Misrepresentation — What constitutes — Action by purchasers under share purchase agreement for damages for misrepresentation dismissed — Defendants did not breach the agreement by misrepresenting the value of the principal assets of the company whose shares were purchased — Intent of the agreement was to reflect the book value of the assets, which were aircraft.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Contracts — Breach of contract — General principles — Action by purchasers under share purchase agreement for damages for misrepresentation dismissed — Defendants did not breach the agreement by misrepresenting the value of the principal assets of the company whose shares were purchased — Intent of the agreement was to reflect the book value of the assets, which were aircraft — They also did not breach their obligation to take the necessary steps assign a head lease to the plaintiffs.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Contracts — Remedies — Damages — Action by purchasers under share purchase agreement for damages for misrepresentation dismissed — Defendants did not breach the agreement by misrepresenting the value of the principal assets of the company whose shares were purchased — Intent of the agreement was to reflect the book value of the assets, which were aircraft — They also did not breach their obligation to take the necessary steps assign a head lease to the plaintiffs.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67" w:name="Case Summary_7"/>
            <w:bookmarkEnd w:id="6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0715257 BC Ltd. and YKA Flight Discovery, Ltd. for damages for breach of an agreement under which 0715257 purchased the shares of YKA from the defendants. YKA operated a flight school from leased premises under a sublease. Defendants were alleged to have breached the share purchase agreement by misrepresenting the value of the principal capital assets of YKA, which were three aircraft. Misrepresentation induced 0715257 to enter into the agreement to its financial detriment. Defendants also breached the agreement by not taking the necessary steps to assign the head lease to YKA. In addition to damages the plaintiffs sought to discharge the security agreement over the aircraft in favour of the defendants. Defendants denied there were any misrepresentations and the plaintiffs never made such assertions until shortly before the action was commenced. They only raised such an allegation because they could not pay out the promissory note for the balance of the purchase price of the shares and did not want the defendants to realize on their security. Plaintiffs were alleged not to have done what was required of them to complete the assignment of the head lease. Defendants counterclaimed for vacant possession of the premises and a declaration that they took the necessary steps regarding the assignment of the head lease. HELD: Action dismissed. Counterclaim allowed in part. Plaintiffs did not make out their case for breach of contract. Value of the aircraft in the financial statements was clearly their book value, which was the cost of the asset less its accumulated depreciation. Intent of the contract was to reflect this value of the aircraft and not the realizable or market value of the aircraft, as alleged by the plaintiffs. Agreement was drafted by the plaintiffs' solicitor and it made no reference to market or realizable value. Entire agreement clause in the agreement excluded liability for pre-contractual discussions, negotiations or representations. Claim for damages and to discharge the security agreement was denied. Defendants were entitled to payment of the outstanding balance of the principal of the promissory note, which was $85,503, plus interest, plus additional claims they were entitled to under the purchase agreement. Neither party was entitled to the relief sought regarding the lease and sublease. Defendants did not fail to undertake the necessary steps to facilitate the lease assignment. Both parties were confronted with circumstances that impeded resolution of the issues. It was not appropriate to grant the defendants vacant possession as the plaintiffs did not breach their lease obligations.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68" w:name="Legislation Cited_7"/>
      <w:bookmarkEnd w:id="6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71" style="position:absolute;z-index:2517186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18A</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69" w:name="Counsel_8"/>
      <w:bookmarkEnd w:id="6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72" style="position:absolute;z-index:2517698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D.K. Hori.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D.A. Paulsen.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70" w:name="Judgment_8"/>
      <w:bookmarkEnd w:id="70"/>
      <w:r>
        <w:pict>
          <v:line id="_x0000_s1073" style="position:absolute;z-index:25182003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71" w:name="A.F. CULLEN J."/>
            <w:bookmarkEnd w:id="71"/>
            <w:r>
              <w:rPr>
                <w:rFonts w:ascii="arial" w:eastAsia="arial" w:hAnsi="arial" w:cs="arial"/>
                <w:b/>
                <w:color w:val="000000"/>
                <w:sz w:val="30"/>
                <w:lang w:val="en-US" w:eastAsia="en-US" w:bidi="ar-SA"/>
              </w:rPr>
              <w:t>A.F. CULLEN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In this action, the plaintiffs, 0715257 B.C. Ltd. ("0715257") and YKA Flight Discovery, Ltd. ("YKA"), seek relief against the defendants, Samuel Joseph Longiaru ("Mr. Longiaru") and Kathleen Diane McKelvey ("Dr. McKelvey") for damages said to arise from an alleged breach of an agreement under which the plaintiff 0715257 purchased the shares of YKA from the defendants Mr. Longiaru and Dr. McKelvey.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Under the agreement which was entered into on August 3, 2005, the purchase price was $240,000 (adjusted to $217,294) which 0715257 agreed to pay by way of certified funds in the amount of $100,000 and the balance of $117,294 by monthly payments of $2,000 blending principal and interest, secured by a promissory note. The monthly payments were to be made until August 1st, 2007, when the balance owing of $85,503.29 became due and payable.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Under the agreement, YKA was a guarantor of the promissory note. The indebtedness under the agreement was further secured by a specific security agreement for aircraft, charging three aircraft which comprised YKA's primary capital assets. The security agreement, the guarantee and the promissory note were all entered into on August 3,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YKA was incorporated by the defendants in 1994, and in June 1995 it began operations as a flight school. Until the share purchase in August 2005, the defendant, Mr. Longiaru was an officer and director of YKA as well as its chief flight instructor and maintenance coordinator.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two principals of 0715257, Gary Mechar and Tammy Pitkeathly, had no aviation business experience when they began negotiations for the share purchase in the fall of 2004, although Mr. Mechar was a licensed pilot in both Canada and in the United States.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YKA operated its flight training school from a building which the defendants had constructed on property leased to them originally from Her Majesty the Queen in Right of Canada by a lease dated April 6, 1995. The property was leased to the defendants, who in turn sublet it to YKA at a rental of $222 per month. Subsequently, the property was conveyed to the Kamloops Airport Authority Ltd. which took over the lease between Her Majesty the Queen and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share purchase agreement provided for a continuation of YKA's sub-lease of the property with an option for YKA to assume the head lease. It also provided for continued rental of the building for a minimum 12 months at $1,378 per month and contained an option to purchase the building "at a price to be agreed upon".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plaintiffs assert that the defendants have interfered with their efforts to arrange an assignment of the head lease from the Kamloops Airport Authority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fundamental assertion by the plaintiffs is that the defendants breached the share purchase agreement by misrepresenting the value of the principal capital assets of YKA, being the three aircraft: two diamond Katana aircraft (1996 DA20-A1, C-GEML and 1996 DA20-A1, C-FWAP) and a Piper Warrior aircraft (1976 PA-28151 GCDVS). The plaintiffs further assert that that misrepresentation induced the plaintiff 0715257 to enter into the agreement to its financial detriment.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plaintiffs also claim that the defendants have breached the share purchase agreement by failing or neglecting to take the necessary steps to assign the head lease to YKA Flight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plaintiffs say the defendants are in breach of the implied terms of good faith of the share purchase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Following execution of the agreement, the plaintiffs made payments on the promissory note until August 1st, 2007, at which time the outstanding amount owing under the agreement was $85,503.29.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On October 30, 2007, the plaintiffs paid $10,696 to counsel for the defendants and on December 5, 2007, after selling the two Katana aircraft, they paid an additional $81,100 to counsel for the defendants. Those sums were paid in trust rather than directly to the defendants because the plaintiffs by this action have sought damages from the defendants and seek to offset what is owed under the contract against the claim for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plaintiffs have continued to make the rental payments to the defendants for the property and the building, but those sums were paid in trust to counsel for the defendants until the date of this hearing. At the hearing I ordered that the rental payment be made directly to the defendants in the absence of evidence that the defendants were impecunious and would be unable to satisfy a judgment against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plaintiffs' application is brought pursuant to Rule 18A. In the circumstances as alleged, the plaintiffs seek the following relief:</w:t>
      </w:r>
      <w:r>
        <w:rPr>
          <w:rFonts w:ascii="arial" w:eastAsia="arial" w:hAnsi="arial" w:cs="arial"/>
          <w:sz w:val="20"/>
          <w:lang w:val="en-US" w:eastAsia="en-US" w:bidi="ar-SA"/>
        </w:rPr>
        <w:cr/>
      </w:r>
    </w:p>
    <w:p>
      <w:pPr>
        <w:numPr>
          <w:numId w:val="10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Judgment against the defendants jointly and severally for damages in an amount to be assessed by the court;</w:t>
      </w:r>
    </w:p>
    <w:p>
      <w:pPr>
        <w:numPr>
          <w:numId w:val="10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that the judgment be set off against any amounts found to be owing by the plaintiffs to the defendants pursuant to the promissory note dated August 1, 2005, and that the balance owing after such set-off be paid by the defendants to the plaintiff;</w:t>
      </w:r>
    </w:p>
    <w:p>
      <w:pPr>
        <w:numPr>
          <w:numId w:val="10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discharging the specific security agreement for aircraft dated August 3, 2005 between YKA and the defendants;</w:t>
      </w:r>
    </w:p>
    <w:p>
      <w:pPr>
        <w:numPr>
          <w:numId w:val="10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that the defendants take all necessary steps to assign their lease to the Kamloops Airport Authority over the property on which YKA operates its business;</w:t>
      </w:r>
    </w:p>
    <w:p>
      <w:pPr>
        <w:numPr>
          <w:numId w:val="10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defendants resist the plaintiffs' claim against them on the primary basis that there was no misrepresentation in the share purchase agreement as to the value of YKA's principal capital assets - the aircraft. The defendants contend that after signing the agreement on August 3, 2005 the plaintiffs made no assertions that there were "any problems arising out of the agreement or that the plaintiffs felt the defendants had misrepresented anything in the agreement until mere days before this action was commenced by the plaintiffs on August 8, 2007". The defendants submitted that the plaintiffs' allegations were made and the action was launched to forestall the defendants from realizing on the security they had over YKA's aircraft, because the plaintiffs did not have the ability to pay out the promissory note on August 1, 2007 as required by 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defendants contended that in alleging a misrepresentation as to the value of the aircraft in the share agreement, the plaintiffs have failed to distinguish between what is described in the agreement as the "net book value" of the aircraft and the fair market value of the aircraft, which is what the evidence addresses.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relation to the plaintiffs' allegations concerning the defendants' "failure to undertake the necessary steps to facilitate the assumption of the head lease", the defendants submitted that they have taken the necessary steps, but that the plaintiffs have not acted reasonably and have failed to take the necessary steps to complete the assignment of the head lease. The defendants contended that in making no attempt to negotiate with them for the building and ultimately declining to exercise the option to purchase the building, the plaintiffs "are attempting to use the assignment of the head lease to get the building for free."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With respect to the plaintiffs' application for an order discharging the security over the aircraft, the defendants contended that the funds held in trust amounting to $85,740.63 are insufficient to satisfy the balance owing on the promissory note, which as of March 31, 2008 amounted to $94,981.27.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By way of counter-claim, the defendants further contended that based on their allegations that the plaintiffs failed to properly exercise their option to take an assignment of the head lease or to purchase the building, the court should order that the plaintiffs deliver vacant possession of both the building and the property after a declaration that the defendants have taken the "necessary steps" regarding the assignment of the head lease clause in the share purchase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defendants also sought payment of all the rental payments and accumulated interest made in trust, and as well sought an order for ongoing rental payments until the date of vacancy.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Finally, the defendants sought an order restraining the plaintiffs from removing YKA's Cessna aircraft "from the Kamloops area" and an order allowing them to realize on the security held on that aircraft. (The Cessna replaced the Piper Warrior which crashed in October 2006 and was substituted as security for the promissory note under the specific security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TERMS OF THE SHARE PURCHASE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light of the parties' countervailing positions, the significant terms of the share purchase agreement are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BACKGROUND</w:t>
      </w:r>
    </w:p>
    <w:p>
      <w:pPr>
        <w:numPr>
          <w:numId w:val="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Vendors are the registered and beneficial owners of all the issued and outstanding shares in the capital of YKA Flight Discovery, Ltd. (the "Company"), being 240 Class "A" common voting shares, without par value (the "Shares").</w:t>
      </w:r>
    </w:p>
    <w:p>
      <w:pPr>
        <w:numPr>
          <w:numId w:val="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Company carries on a flight instruction and aircraft rental business in Kamloops, British Columbia.</w:t>
      </w:r>
    </w:p>
    <w:p>
      <w:pPr>
        <w:numPr>
          <w:numId w:val="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Company is now or will become indebted to the Vendors (the "Shareholders Loans").</w:t>
      </w:r>
    </w:p>
    <w:p>
      <w:pPr>
        <w:numPr>
          <w:numId w:val="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Vendors have agreed to sell and the Purchaser has agreed to purchase, the Shares and Shareholders Loans, on the terms and conditions contained in this Agreement.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DEFINITIONS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"Financial Statements" means the financial statements of the Company attached to this Agreement as Schedule 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SCHEDULES II</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following schedules are attached to and incorporated in this agreement by reference and are deemed to be part of the agreement: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Schedule 1 - Financial Statements (1(d), 4.2(b))</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8"/>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PURCHASED SHARES AND PURCHASE PRICE AND ADJUSTMENTS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31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3.1</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Subject to the terms and conditions of this Agreement and based on the representations and warranties of the Vendors set forth in this Agreement, on the Closing Date the Vendors will sell, assign and transfer to the Purchaser and the Purchaser will purchase from the Vendors all (but not less than all) of the Shares and Shareholders Loans for TWO HUNDRED AND FORTY THOUSAND ($240,000.00) DOLLARS (the "purchase Price"), payable to the Vendors as follows: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9"/>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sum of TWELVE THOUSAND ($12,000.00) DOLLARS paid as a deposit (the "Deposit") to the Vendors upon the signing of the Statement of Intent. The Deposit is non-refundable except in the event that the completion of the transaction is prevented for reasons other than the Purchaser's failure to meet its obligations under this Agreement, provided that no more than FIFTY (50%) PERCENT of the Deposit will be refundable;</w:t>
      </w:r>
    </w:p>
    <w:p>
      <w:pPr>
        <w:numPr>
          <w:numId w:val="9"/>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sum of EIGHTY-EIGHT THOUSAND ($88,000.00) DOLLARS to be paid to the Vendors in cash from the Purchaser before or upon completion. Any of this cash amount paid before completion is refundable if the transaction does not complete;</w:t>
      </w:r>
    </w:p>
    <w:p>
      <w:pPr>
        <w:numPr>
          <w:numId w:val="9"/>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balance of the Purchase Price, ONE HUNDRED AND FORTY THOUSAND ($140,000.00) DOLLARS will be paid by way of a promissory note from the Purchaser to the Vendors (the "Promissory Note"). The Promissory Note will bear interest at a rate of SEVEN (7%) PERCENT per annum with monthly payments required in the amount of TWO THOUSAND ($2,000.00) DOLLARS payable on the first of each month, with the balance owing on the Promissory Note due and payable on two (2) years from the Closing date with no penalty or restrictions on earlier payout. The balance due and payable under the Promissory Note will be secured by first charges in favour of the Vendors over the following three aircraft owned by the Company:</w:t>
      </w:r>
    </w:p>
    <w:p>
      <w:pPr>
        <w:numPr>
          <w:numId w:val="10"/>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Piper Warrior, Model No. PA-28-151, mark C-GDVS, Serial Number: 28-7615196;</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Diamond Katana, Model No. DA 20-A1, Mark C-FWAP, Serial Number: 10176; and</w:t>
      </w:r>
    </w:p>
    <w:p>
      <w:pPr>
        <w:numPr>
          <w:numId w:val="1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Diamond Katana, Model No. DA 20-A1, Mark C-GEML, Serial Number: 10204.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VENDOR'S REPRESENTATIONS AND WARRANTIES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order to induce the Purchaser to enter into and consummate this Agreement, the Vendors represents and warrants to the Purchaser as follows: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4.2 Financial and Tax Representations</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Financial Statements are true and correct in every material respect and present fairly the assets, liabilities and financial position of the Company as at the Financial Statement Date and the results of its operations to that date, in accordance with generally accepted accounting principles applied on a basis consistent with that of the previous year.</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are no liabilities, contingent or otherwise, of the Company which are not disclosed or reflected in Schedule 1 except those incurred in the ordinary course of business and the Company has not guaranteed, or agreed to guarantee, any debt, liability or other obligation of any person, firm or corporation. There are no liabilities of any other party capable of creating a lien, claim, encumbrance or charge on any of the assets of the Company.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4.3 Property Representations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property upon which the Company operates, which is known at 3073 Airport Way, Kamloops, BC and which comprises an area of 3402.52 square metres, more or less, and which is more particularly shown as Parcel No. 37 on Drawing No. P130P007N009 (the "Property"), is leased to the Company by the Vendors by way of a sublease (the "Sublease"). The Property is leased to the Vendors from her Majesty the Queen in Right of Canada (the "Head Lease"). The Vendors will continue to sublease the Property to the Company at their cost ($222.00) or other such amount as agreed between the parties from time to time. The term of the Sublease will be for a minimum of 12 months after the Closing date and for as long as the parties agree after that. The Sublease may only be terminated by a party by way of delivering notice in writing to the other party ninety (90) days in advance of the proposed termination date. Termination of the Sublease is subject to the Company having the option of assuming the Head Lease. If the Company chooses to assume the Head Lease, then the Vendors will undertake the necessary steps to facilitate assumption of Head Lease.</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building in which the Company operates and which is situate upon the Property (the "Building") is owned by the Vendors or by a company that is controlled by the Vendors. The Vendors will rent the building to the Company on a month to month basis for $1,378.00 plus GST per month inclusive of property taxes, which are to be paid by the Vendors (the "Building Lease"). The Vendors will lease the Building to the Company for a minimum of 12 months after the Closing date and for as long as the parties agree after that. The Building Lease may only be terminated by a party by way of delivering notice in writing to the other party ninety (90) days in advance of the proposed termination date. Termination of the Building Lease is subject to the Company having the option of purchasing the Building at a price to be agreed as between the parties.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12.1 Reliance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Vendors acknowledge and agree that the Purchaser has entered into this Agreement relying on the representations, warranties, covenants and agreements and other terms and conditions of this Agreement and that no information which is now known, which may become known or which could upon investigation have become known to the Purchaser or any of its present or future officers, directors or professional advisors in any way limits or extinguishes any rights the Purchaser may have against the Vendors, including without limitation, any right to indemnity under section 12.3 of this Agreement.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12.3 Indemnification by the Vendors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Vendors covenant and agree, jointly and severally, to indemnify and save harmless the Purchaser from any loss, damage, liability, cost and expense (including without limitation any tax liability) suffered by the Purchaser directly or indirectly as a result of or arising out of any breach of representation, warranty, covenant or agreement of the Vendors contained in this Agreement, the Vendors' Closing Certificate or any document or certificate delivered under this Agreement. Save for the adjustments to the Purchase Price described in paragraph 3.4, the Purchaser will not rely on this indemnity unless the amount claimed exceeds TWO THOUSAND ($2,000.00) DOLLARS.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12.11 Entire Agreement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This Agreement contains the whole agreement between the Vendors and Purchaser pertaining to the subject matter hereof and supersedes all prior agreements, understandings, negotiations and discussions between the parties and there are no representations, warranties, covenants, conditions or other terms other than expressly contained in this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financial statements annexed as Schedule 1 included the following: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7842"/>
        <w:gridCol w:w="261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768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YKA Flight Discovery Ltd.</w:t>
            </w:r>
          </w:p>
        </w:tc>
        <w:tc>
          <w:tcPr>
            <w:tcW w:w="256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768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Notes to Financial Statements</w:t>
            </w:r>
          </w:p>
        </w:tc>
        <w:tc>
          <w:tcPr>
            <w:tcW w:w="256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768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(Unaudited - see Notice to Reader)</w:t>
            </w:r>
          </w:p>
        </w:tc>
        <w:tc>
          <w:tcPr>
            <w:tcW w:w="2560"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February 28,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241"/>
        <w:gridCol w:w="2510"/>
        <w:gridCol w:w="1464"/>
        <w:gridCol w:w="324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 Capital</w:t>
            </w:r>
          </w:p>
        </w:tc>
        <w:tc>
          <w:tcPr>
            <w:tcW w:w="245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2005</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2004</w:t>
            </w:r>
          </w:p>
        </w:tc>
        <w:tc>
          <w:tcPr>
            <w:tcW w:w="317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17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Assets</w:t>
            </w:r>
          </w:p>
        </w:tc>
        <w:tc>
          <w:tcPr>
            <w:tcW w:w="245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17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673"/>
        <w:gridCol w:w="1464"/>
        <w:gridCol w:w="2091"/>
        <w:gridCol w:w="1464"/>
        <w:gridCol w:w="2718"/>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63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43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Cost</w:t>
            </w:r>
          </w:p>
        </w:tc>
        <w:tc>
          <w:tcPr>
            <w:tcW w:w="204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Accumulated</w:t>
            </w:r>
          </w:p>
        </w:tc>
        <w:tc>
          <w:tcPr>
            <w:tcW w:w="143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Net Book</w:t>
            </w:r>
          </w:p>
        </w:tc>
        <w:tc>
          <w:tcPr>
            <w:tcW w:w="266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Net Book</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63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43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04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Amortization</w:t>
            </w:r>
          </w:p>
        </w:tc>
        <w:tc>
          <w:tcPr>
            <w:tcW w:w="143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Value</w:t>
            </w:r>
          </w:p>
        </w:tc>
        <w:tc>
          <w:tcPr>
            <w:tcW w:w="266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Value</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464"/>
        <w:gridCol w:w="419"/>
        <w:gridCol w:w="836"/>
        <w:gridCol w:w="1359"/>
        <w:gridCol w:w="1255"/>
        <w:gridCol w:w="941"/>
        <w:gridCol w:w="523"/>
        <w:gridCol w:w="941"/>
        <w:gridCol w:w="2718"/>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43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Equipment</w:t>
            </w:r>
          </w:p>
        </w:tc>
        <w:tc>
          <w:tcPr>
            <w:tcW w:w="41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81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5,280</w:t>
            </w:r>
          </w:p>
        </w:tc>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$ 4,503</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777</w:t>
            </w:r>
          </w:p>
        </w:tc>
        <w:tc>
          <w:tcPr>
            <w:tcW w:w="51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832</w:t>
            </w:r>
          </w:p>
        </w:tc>
        <w:tc>
          <w:tcPr>
            <w:tcW w:w="266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9"/>
        <w:gridCol w:w="1150"/>
        <w:gridCol w:w="1359"/>
        <w:gridCol w:w="2196"/>
        <w:gridCol w:w="1464"/>
        <w:gridCol w:w="2718"/>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Computer</w:t>
            </w:r>
          </w:p>
        </w:tc>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5,091</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3,322</w:t>
            </w:r>
          </w:p>
        </w:tc>
        <w:tc>
          <w:tcPr>
            <w:tcW w:w="215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1,769</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1,965</w:t>
            </w:r>
          </w:p>
        </w:tc>
        <w:tc>
          <w:tcPr>
            <w:tcW w:w="266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equipment</w:t>
            </w:r>
          </w:p>
        </w:tc>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15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662"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673"/>
        <w:gridCol w:w="1046"/>
        <w:gridCol w:w="1359"/>
        <w:gridCol w:w="2196"/>
        <w:gridCol w:w="1464"/>
        <w:gridCol w:w="2718"/>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63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Automotive</w:t>
            </w:r>
          </w:p>
        </w:tc>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4,371</w:t>
            </w:r>
          </w:p>
        </w:tc>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3,715</w:t>
            </w:r>
          </w:p>
        </w:tc>
        <w:tc>
          <w:tcPr>
            <w:tcW w:w="215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656</w:t>
            </w:r>
          </w:p>
        </w:tc>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729</w:t>
            </w:r>
          </w:p>
        </w:tc>
        <w:tc>
          <w:tcPr>
            <w:tcW w:w="266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Aircraft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50"/>
        <w:gridCol w:w="1569"/>
        <w:gridCol w:w="1359"/>
        <w:gridCol w:w="2196"/>
        <w:gridCol w:w="1464"/>
        <w:gridCol w:w="2718"/>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GDVS</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36,812</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12,845</w:t>
            </w:r>
          </w:p>
        </w:tc>
        <w:tc>
          <w:tcPr>
            <w:tcW w:w="215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23,967</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24,261</w:t>
            </w:r>
          </w:p>
        </w:tc>
        <w:tc>
          <w:tcPr>
            <w:tcW w:w="2662"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FWAP</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127,338</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26,231</w:t>
            </w:r>
          </w:p>
        </w:tc>
        <w:tc>
          <w:tcPr>
            <w:tcW w:w="215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101,107</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102,126</w:t>
            </w:r>
          </w:p>
        </w:tc>
        <w:tc>
          <w:tcPr>
            <w:tcW w:w="2662"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GEML</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115,440</w:t>
            </w:r>
          </w:p>
        </w:tc>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16,164</w:t>
            </w:r>
          </w:p>
        </w:tc>
        <w:tc>
          <w:tcPr>
            <w:tcW w:w="215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99,276</w:t>
            </w:r>
          </w:p>
        </w:tc>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100,200</w:t>
            </w:r>
          </w:p>
        </w:tc>
        <w:tc>
          <w:tcPr>
            <w:tcW w:w="266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719"/>
        <w:gridCol w:w="1359"/>
        <w:gridCol w:w="2196"/>
        <w:gridCol w:w="1464"/>
        <w:gridCol w:w="2718"/>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66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$294,332</w:t>
            </w:r>
          </w:p>
        </w:tc>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$66,780</w:t>
            </w:r>
          </w:p>
        </w:tc>
        <w:tc>
          <w:tcPr>
            <w:tcW w:w="215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$227,552</w:t>
            </w:r>
          </w:p>
        </w:tc>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$230,113</w:t>
            </w:r>
          </w:p>
        </w:tc>
        <w:tc>
          <w:tcPr>
            <w:tcW w:w="266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Notwithstanding the terms of the agreement, including the entire agreement clause, the plaintiffs adduced evidence through Mr. Mechar that Mr. Longiaru made certain representations as to the value of the three aircraft owned by YKA which Mr. Mechar and Ms. Pitkeathly relied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an affidavit sworn August 7, 2007 Mr. Mechar deposed as follows:</w:t>
      </w:r>
      <w:r>
        <w:rPr>
          <w:rFonts w:ascii="arial" w:eastAsia="arial" w:hAnsi="arial" w:cs="arial"/>
          <w:sz w:val="20"/>
          <w:lang w:val="en-US" w:eastAsia="en-US" w:bidi="ar-SA"/>
        </w:rPr>
        <w:cr/>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all times during the negotiations and the closing of the purchase and sale of the Plaintiff YKA Flight Discovery, Ltd. the Defendants have represented that the value of the three aircraft registered in the name of the Plaintiff YKA Flight Discovery, Ltd. was fairly listed on the financial statements of the Plaintiff YKA Flight Discovery, Ltd., which financial statements are attached to the related Share Purchase Agreement as Schedule 1.</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YKA Flight Discovery, Ltd. insured the aircraft collectively for a total value of $210,000 prior to, during, and since the negotiation for the purchase and sale of the business.</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represented that they had allowed $180,000 of the purchase price on account of the value of the aircraft in their considerations and that such a value represented a discount for being able to sell all three aircraft together and quickly as opposed to being required to sell the aircraft individually which they estimated would take a year or more.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He appended to his affidavit a letter dated August 3, 2007 to the defendants where he wrote as follows in paras. 2 and 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Firstly, our main concerns are with respect to the aircraft included in the assets held by YKA Flight Discovery, Ltd. (the "Company") at the execution of the agreement and which secure the balance due under the promissory note we issued per the agreement. These concerns fall into two areas, those being valuation and condition.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agreement, at section 4, you have made various representations and warranties in order to induce us to enter into and to consummate that agreement. These representations include Financial and Tax Representations in section 4.2, and more specifically, the representation at paragraph 4.2(a) that the "Financial Statements are true and correct in every material respect and </w:t>
      </w:r>
      <w:r>
        <w:rPr>
          <w:rFonts w:ascii="arial" w:eastAsia="arial" w:hAnsi="arial" w:cs="arial"/>
          <w:b/>
          <w:i/>
          <w:color w:val="000000"/>
          <w:sz w:val="20"/>
          <w:lang w:val="en-US" w:eastAsia="en-US" w:bidi="ar-SA"/>
        </w:rPr>
        <w:t>present fairly the assets</w:t>
      </w:r>
      <w:r>
        <w:rPr>
          <w:rFonts w:ascii="arial" w:eastAsia="arial" w:hAnsi="arial" w:cs="arial"/>
          <w:color w:val="000000"/>
          <w:sz w:val="20"/>
          <w:lang w:val="en-US" w:eastAsia="en-US" w:bidi="ar-SA"/>
        </w:rPr>
        <w:t>, ..." (emphasis added). The Financial Statements included in the agreement as Schedule 1 represent Capital Assets having a value of $227,552 which is detailed at Note 1 to the statements listing the total value of the aircraft owned by the Company as $224,350. This is consistent with our negotiations with respect to the purchase price of the Company. However, we have since been informed that the aircraft were in fact worth far less than represented at the time of the execution of 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addition, Mr. Mechar deposed as follows in an affidavit sworn February 29, 2008:</w:t>
      </w:r>
      <w:r>
        <w:rPr>
          <w:rFonts w:ascii="arial" w:eastAsia="arial" w:hAnsi="arial" w:cs="arial"/>
          <w:sz w:val="20"/>
          <w:lang w:val="en-US" w:eastAsia="en-US" w:bidi="ar-SA"/>
        </w:rPr>
        <w:cr/>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During this meeting I noted to Mr. Longiaru that the financial statements recorded certain values for the aircraft owned by YKA as "book values" and I asked Mr. Longiaru whether the market value of the aircraft were close to the "book values" in the financial statements.</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Longiaru advised me that the market value of the aircraft were about the same value as or perhaps a little less than the book values in the financial statements.</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Longiaru then advised me that the aircraft were insured for a total of $210,000.00 and that the market value of the aircraft was somewhere between the insured value and the book value.</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Mr. Longiaru proposed a purchase price of $240,000.00 he explained to me that he was willing to accept $180,000.00 on account of the aircraft and $60,000.00 for the business and remaining assets of YKA.</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Longiaru went on to explain that although the aircraft were in fact worth a little more than $180,000.00, it would probably take him two to three years to sell all three aircraft and that he would likely have to sell them one at a time. Therefore, since we were buying all three aircraft together and purchasing them immediately, he was prepared to discount the price to $180,000.00.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meeting referred to by Mr. Mechar in his affidavit was "in the later part of ... negotiations" which had begun in January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Mechar deposed that he and Ms. Pitkeathly did not obtain an independent appraisal because Mr. Longiaru had assured them of the aircraft's value of $210,000 to $230,000. As to the disposition of the aircraft, Mr. Mechar deposed that the Piper Warrior crashed in October of 2006. It was covered by insurance and the plaintiff YKA received $69,000 ($70,000 less $1,000 deductible) in insurance proceeds for the aircraft.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two Katana aircraft were sold for a total of $85,000 after, according to Mr. Mechar, about $30,000 was put into the Katana (CGEML) in November of 2005. The Katana aircraft were sold in November of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According to Mr. Mechar in an affidavit sworn August 7, 2008, after the Piper Warrior crashed in October 2006, in his search for a replacement, he became aware that the aircrafts' blue book values "for aircraft of the type purchased by the plaintiff were approximately $96,000 in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addition to Mr. Mechar's affidavit, the plaintiffs tendered the affidavit of Andrew H. North, sworn October 5, 2007. Mr. North, a certified aircraft appraiser, attested to values of the three aircraft as of February 28, 2005 as $35,230 (USD), $33,810 (USD), and $18,710 (USD) respectively.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the meantime, following the loss of the Piper aircraft, and before the insurance proceeds were secured, there was some correspondence between Mr. Longiaru and Ms. Pitkeathly concerning the defendants' security for the financing of the share purchase.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a January 6, 2007 letter, Mr. Longiaru expressed concern that the payment might "not be forthcoming any time soon" and that the loan was "technically in default".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 Longiaru suggested several options to protect the defendants' financial interests and asserted that the value of the outstanding loan was $93,850 as of January 1, 2007. He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believe that the Katanas would have value to cover the loan, by law, Mountainaire's interests in the aircraft pre-empt my own, meaning that any bills run up between now and then, on those two aircraft would come off the top and the remainder might be insufficient to pay off the loan in its entirety.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so, the security must be great enough to cover both Mountainaire's interests as well as those of Diane and 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response in the January 17, 2007 letter, Ms. Pitkeathly noted that the defendants were listed as loss payees in respect of all three claims and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Upon this year's insurance renewal, this lien remains in effect on the two remaining Katana aircraft, collectively valued at $138,000 (less the deductible). About three months ago, I undertook a market research as to their value of sold, and found a reasonable list price would be $50,000 each (USD). These two planes alone hold more security value than the balance you stated remaining on the note at $93,850 (CAD).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Ms. Pitkeathly went on to note that the Piper Warrior "if sold could not have been worth more than $38,000 (CAD) but would collect insurance proceeds of $69,000." She indicated that it was the plaintiffs' desire to use the insurance proceeds to buy a replacement aircraft which could then serve as additional collateral under the security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Ms. Pitkeathly went on to question why Mr. Longiaru expressed worry about the payment of the loan on August 1, 2007 as 0715257 had never defaulted on any payment. She expressed the view that "our working relationship was of a satisfactory nature" and that she "had thought our relationship had some basis of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Ms. Pitkeathly did not raise any concern about the apparent disparity between the book value or insured value of the aircraft and the value which her market research turned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Longiaru swore an affidavit on March 20, 2008 on behalf of the defendants. He described McKelvey as a "silent partner" in YKA who took no part in the negotiations.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He deposed that to his understanding, Mr. Mechar was a student of the company in 1996 or 1997 and "is a licensed pilot in the United States with about 200 hours of flight experience". He deposed that after negotiations for the sale of the company commenced, he provided Mr. Mechar with the company's financial statements going back to at least 2001 and daily bookkeeping records back to November 1,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He deposed that in deciding on a fair selling price for the company, he "did some of his own informal market research by way of trade magazines and publications, classified ads and internet sites to determine a fair market value for the three aircraft." He arrived at the figure of $240,000 through his estimate of $180,000 for the three aircraft and $60,000 for the rest of the business. In his affidavit he broke down the aircraft values as $50,000 for the Katana GEML, $60,000 for the Katana FWAP and $70,000 for the Piper. He enumerated the factors comprising the balance of the value of the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He deposed that he informed Mr. Mechar of the basis for his estimate of the value of the company in early 2005. He deposed that he explained to Mr. Mechar that his estimates for the aircraft were his own non-expert estimates, based on his own informal research. He denied telling Mr. Mechar that the $180,000 value for the aircraft was based on a "discounted quick sale price for those aircraft".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He deposed that in a subsequent meeting, Ms. Pitkeathly raised the issue of getting an appraisal of the aircraft. Mr. Longiaru deposed that he told them they certainly could get an appraisal done if wanted, but, even if the aircraft where appraised as less than estimated, "it likely wouldn't change (his) impression of the value of the business." According to Mr. Longiaru the issue did not come up again.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Mr. Longiaru deposed that neither Mr. Mechar nor Ms. Pitkeathly asked him to divulge the source of his research for his estimate of the value of the aircraft or tell him that they were relying on his estimates. He said Mr. Mechar said he would have his accountant review the financial statements and later told him that neither he nor his accountant had any concerns with the "material".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Mr. Longiaru denied having a discussion with Mr. Mechar in which he "warranted in any way that the book values expressed in the financial statements represented the fair market value for the three aircraft." He never told Mr. Mechar or Ms. Pitkeathly the aircraft were discounted because they were being sold together. He further deposed that he never received a counter-offer from the defendants' principals after providing them with his estimate of the value of the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Mr. Longiaru deposed that in the course of the negotiations for the share purchase agreement, Mr. Mechar drew up a statement of intent "setting up the general framework for the sale of the company". Mr. Longiaru emailed some revisions to the statement of intent on March 6, 2005 to Mr. Mechar and ultimately the parties agreed on a third statement of intent which Mr. Mechar indicated he would take to his solicitor to have incorporated into a formal share purchase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All three of the statements of intent contained the following paragraphs:</w:t>
      </w:r>
      <w:r>
        <w:rPr>
          <w:rFonts w:ascii="arial" w:eastAsia="arial" w:hAnsi="arial" w:cs="arial"/>
          <w:sz w:val="20"/>
          <w:lang w:val="en-US" w:eastAsia="en-US" w:bidi="ar-SA"/>
        </w:rPr>
        <w:cr/>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agreement of purchase and sale will be at the expense of and prepared by the purchasers and subject to the approval of the vendors</w:t>
      </w:r>
    </w:p>
    <w:p>
      <w:pPr>
        <w:numPr>
          <w:numId w:val="2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All reasonably necessary "standard" representations, warranties, conditions, clarifications and the like that may be required to satisfy various professional advisors to the parties will be included in the agreement of purchase and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None of the statements of intent made any reference to the value of YKA's assets or to the inclusion of any warranties respecting their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Mr. Longiaru further deposed that he had a separate conversation with Mr. Mechar about insurance. He deposed that he explained to Mr. Mechar that he insured all three aircraft for $70,000 each in "agreed value form" with the insurer, PSA Insurance Services. He explained that he told Mr. Mechar that the Piper Warrior was insured for its estimated value because it would be easiest to replace. The other two aircraft would be more difficult to replace so he insured them for more than their estimated value to accommodate for the additional cost of finding replacements. Mr. Longiaru denied telling Mr. Mechar that the market values of the three aircraft were close to their insured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Mr. Longiaru denied any conversation with Mr. Mechar or Ms. Pitkeathly and stated that they assumed the aircraft to have a value of $210,000 - $230,000. He deposed that he was never asked to confirm in the agreement the market value of the aircraft.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Mr. Longiaru deposed that he believed all the warranties and representations in the agreement and the financial statements attached to the agreement were true and correct. He deposed that Mr. Mechar told him that during negotiations he had his own accountant advising him, and he deposed that Mr. Mechar raised no questions about the financial records and did not seek to insert the market value of the aircraft into 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Mr. Longiaru deposed that when the insurance proceeds of $69,000 for the crashed Piper Warrior were ultimately paid out to him and Dr. McKelvey, they were turned over to the plaintiffs to purchase a replacement aircraft and the security agreement was amended to include that new aircraft -- a 1975 Cessna marked GMMU as security for the outstanding amount owing under the share purchase agreement. Mr. Longiaru deposed that he understood that the cost of the Cessna was $65,000.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Mr. Longiaru deposed that never during the insurance payment process, or after, did the plaintiffs ever suggest the market values were less than they were led to believe. Mr. Longiaru deposed further that there was some discussion from Mr. Mechar and Ms. Pitkeathly about paying out the promissory note early, and at one point Mr. Mechar advised him that the payout would occur on July 4, 2007. That did not happen. According to Mr. Longiaru, Mr. Mechar told him that there was "a problem transferring money".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In a subsequent conversation with Ms. Pitkeathly, in July of 2007, the date of August 3, 2007 was selected for the full payout. Mr. Longiaru deposed that he made arrangements for receipt of the funds and to have the security agreement discharged upon the receipt. He deposed however that he was informed by his then lawyer on August 2, 2007 that the payout would not be made because the plaintiffs raised "concerns" in a letter written by Ms. Pitkeathly "about the purchase price as far as it was based on the value, condition and suitability of the aircraft at the time of its purchase."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letter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are advised that you are representing Mr. Samuel Longiaru in this matter and that he is unavailable at this time.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have concerns that have arisen during the course of the performance of the agreement(s) related to this purchase and do not intend pay [sic] the balance outstanding on the related promissory note until these concerns have been addressed satisfactorily.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Specifically, these concerns relate to the purchase price as far as it was based on the value, condition, and suitability of the aircraft at the time of the purchase, and our options regarding the land lease assignment and the rented building purchase.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feel that a meeting with your client to resolve these concerns in a mutually satisfactory manner is appropriate. We would appreciate your assurance, in lieu of Mr. Longiaru's absence, that no attempts to realize on the security will take place without at least three business days written notice to the writer by fax at the number listed in this letterhead. Without such an undertaking, we will commence litigation immediately and seek an injunction from the Court.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Further, we remind your client that the aviation community is a small community and reputation is important, but is easily damaged. Our priority is to protect the integrity of the business, and to ensure that the interests of our customers and staff are protected through these discussions. With that in mind we would ask that no disclosure of our private information, including the details of this transaction, and the concerns that have arisen will be undertaken until such discussions have taken place between myself and Mr. Longiaru.</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are hopeful that we can resolve these concerns and avoid the costly and lengthy litigation that will otherwise result.</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Please reply before noon on Friday, August 3, 2007, failing which we will have no choice but to seek an Order of the Court to protect our interests.</w:t>
      </w:r>
      <w:r>
        <w:rPr>
          <w:rFonts w:ascii="arial" w:eastAsia="arial" w:hAnsi="arial" w:cs="arial"/>
          <w:color w:val="000000"/>
          <w:sz w:val="20"/>
          <w:lang w:val="en-US" w:eastAsia="en-US" w:bidi="ar-SA"/>
        </w:rPr>
        <w:t xml:space="preserve"> [emphasis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Mr. Longiaru deposed that before the letter of August 2, 2007 he had no indications concerning the plaintiffs' "concerns or misgivings over the terms of the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On August 6, 2007 the defendants were served with a writ and statement of claim and a short leave application for an application to restrain the defendants from taking any steps to realize on their security on the aircraft.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Mr. Longiaru deposed that a consent order was worked out whereby YKA would offer the two Katana aircraft for sale under joint conduct of sale and the proceeds of sale would be placed in trust with the defendants' lawyers, pending determination of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aircraft were initially listed for sale at $110,000, but the price was "unilaterally" dropped by the plaintiffs to $88,885 on August 13, 2007. Subsequently correspondence was exchanged between the parties as to the pricing and marketing of the aircraft. A sale for $88,000 was agreed to but fell through in October. A subsequent sale for $90,000 to Sea Land Air Management Ltd. ("Sea Land"), subject to pre-purchase inspection, was consented to by the defendants in late October of 2007. On November 19, 2007 Mr. Mechar wrote the defendants advising that following the pre-purchase inspection the price had been lowered to $85,000 and Sea Land accepted that price by a revised offer to purchase. The funds for the purchase were subsequently placed in trust pending determination of this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In a responsive affidavit dated April 23, 2008, Mr. Mechar deposed that Mr. Longiaru told him and Ms. Pitkeathly he was "experienced in the aircraft business and was knowledgeable about aircraft values." Mr. Mechar deposed that Mr. Longiaru told them the aircraft could vary from his valuation by about $10,000.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Mr. Mechar deposed that he told Mr. Longiaru that the book value of the aircraft was $230,000, the insured value was $210,000 and they "had to rely on what Mr. Longiaru was telling them". He deposed that Mr. Longiaru confirmed the aircraft were worth between $210,000 and $230,000. He further deposed that the discussion concerning the insured values for the aircraft, referred to by Mr. Longiaru in his affidavit, took place after the agreement was entered into when the plaintiffs were about to renew the insurance. He deposed that that was when Mr. Longiaru explained about the agreed value concept.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Mr. Mechar denied telling Mr. Longiaru that he had or was consulting with an accountant throughout the negotiation process. Mr. Mechar deposed that "on many occasions we tried to speak to Mr. Longiaru about the issues ... some of which are the subject of this law suit, but he always refused to discuss those issues and avoided any conversation with 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It is the plaintiffs' contention that the evidence supports a finding that the defendants misrepresented the value of the three aircraft owned by YKA as reflected in the financial statements attached as Schedule 1 to the share purchase agreement. The plaintiffs further say that that misrepresentation constitutes a breach of paragraph 4.2 (a) of the share purchase agreement which in turn entitles them to indemnity for the damages they have suffered pursuant to paragraph 12.3 of 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In their amended statement of claim, the plaintiffs assert in respect of the misrepresentation of the value of the aircraft as follows:</w:t>
      </w:r>
      <w:r>
        <w:rPr>
          <w:rFonts w:ascii="arial" w:eastAsia="arial" w:hAnsi="arial" w:cs="arial"/>
          <w:sz w:val="20"/>
          <w:lang w:val="en-US" w:eastAsia="en-US" w:bidi="ar-SA"/>
        </w:rPr>
        <w:cr/>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Defendants, as the Vendors, made certain representations and warranties in the Share Purchase Agreement, including,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that:</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assets, liabilities and financial position of the Plaintiff Flight Discovery were presented fairly in the financial Statements of the Plaintiff Flight Discovery that were attached to the Share Purchase Agreement (the "Financial Statements") and that those Financial Statements were true and correct in every material aspect;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value of the aircraft owned by the Plaintiff Flight Discovery was listed on the Financial Statements as $224,350 collectively when in fact the true collective value of the aircraft was approximately $96,067 and, as such, the aircraft value was overstated by $128,283 and was not fairly represented on the Financial Statements contrary to the representation and warranties give [sic] by the Defendants in the Share Purchase Agreement.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knew or ought to have known that the Financial Statements did NOT fairly represent the assets of the Plaintiff Flight Discovery.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have breached their representations and warranties under the terms of the Share Purchase Agreement and the Plaintiffs are entitled to indemnity from the Defendants therefore under the terms of the Share Purchase Agreement.</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are entitled to set off the indemnity claimed against the balance due and payable under the Promissory Note.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In submissions, counsel for the plaintiffs referred to and relied on evidence that the defendant Mr. Longiaru represented to the principals of the plaintiff companies that the value of the three aircraft was between $210,000 and $230,000 or "at the very best for the defendants, the representations were that the aircraft were worth $180,000". The plaintiffs also submitted that "the defendants warranted in the share purchase agreement that the value of the aircraft were [sic] fairly represented in the financial statements of YKA which listed the book value of the aircraft at $224,350."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plaintiffs submitted that the evidence establishes that the representations were made with the intention that they would be relied on by 0715257 and to induce 0715257 to purchase the YKA shares. The plaintiffs further contended the evidence establishes that Mr. Longiaru either knew the statements were false or was reckless as to whether they were true or false and that the false representations induced the plaintiff, 0715257 to enter into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plaintiffs submitted that the remedies for a material misrepresentation include the right to either repudiate the contract or to seek damages for a breach of warranty and, in the result, the plaintiffs have commenced this action claiming damages for breach of warranty.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plaintiffs submitted that their damages include, but are not limited to, the difference between the represented value and the actual value of the aircraft.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They contended as well that 0715257 has sustained business losses and operating losses as a result of the purchase of the shares induced by the material misrepresentation. The parties agree that if I conclude that there was a breach of warranty, damages are to be assessed at a later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In response, the defendants submitted that it is important to consider that the agreement at issue was a share purchase agreement rather than an asset purchase agreement, and that the plaintiffs were buying "a viable flight school business", not just three aircraft. The defendants submit that there is no evidence to suggest the purchase price of $240,000 was not fair market value for the company's shares.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defendants submitted that it is critical to understand that the financial statements represented that the three aircraft had a net book value of $224,350, not a market value of that amount. The defendants contended that clause 4.2(a), which warrants that the statements are "true and correct" and "present fairly the assets, liabilities and financial position" of the company in accordance with generally accepted accounting principles has not been contravened by the defendants, nor are such allegations supported by any evidence. There is no representation in clause 4.2(a) that the fair market value of the aircraft is reflected there or that the assets were not fairly presented "in accordance with GAAP".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defendants submitted that there was evidence that Mr. Mechar had "at least an introductory accounting background and understood the term "book value"." The defendants further submitted that although the plaintiffs have referenced evidence to pre-contractual misrepresentations, they have not pleaded negligent misrepresentation and, in any event, the evidence of the pre-contractual discussions and negotiations touching on the market value of the aircraft is irrelevant and inadmissible in light of the entire agreement clause.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defendants submitted that the entire agreement clause expressly confines a consideration of the warranties, covenants, conditions or terms said to have been breached to those in the written contract, and excludes consideration of any evidence relating to pre-contractual discussions, negotiations or representations.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The defendants rely on </w:t>
      </w:r>
      <w:r>
        <w:rPr>
          <w:rFonts w:ascii="arial" w:eastAsia="arial" w:hAnsi="arial" w:cs="arial"/>
          <w:b/>
          <w:i/>
          <w:color w:val="000000"/>
          <w:sz w:val="20"/>
          <w:lang w:val="en-US" w:eastAsia="en-US" w:bidi="ar-SA"/>
        </w:rPr>
        <w:t>Arens v. MSA Ford Sales Ltd.</w:t>
      </w:r>
      <w:r>
        <w:rPr>
          <w:rFonts w:ascii="arial" w:eastAsia="arial" w:hAnsi="arial" w:cs="arial"/>
          <w:color w:val="000000"/>
          <w:sz w:val="20"/>
          <w:lang w:val="en-US" w:eastAsia="en-US" w:bidi="ar-SA"/>
        </w:rPr>
        <w:t xml:space="preserve">, </w:t>
      </w:r>
      <w:hyperlink r:id="rId173" w:history="1">
        <w:r>
          <w:rPr>
            <w:rFonts w:ascii="arial" w:eastAsia="arial" w:hAnsi="arial" w:cs="arial"/>
            <w:i/>
            <w:color w:val="0077CC"/>
            <w:sz w:val="20"/>
            <w:u w:val="single"/>
            <w:shd w:val="clear" w:color="auto" w:fill="FFFFFF"/>
            <w:lang w:val="en-US" w:eastAsia="en-US" w:bidi="ar-SA"/>
          </w:rPr>
          <w:t>2002 BCCA 509</w:t>
        </w:r>
      </w:hyperlink>
      <w:r>
        <w:rPr>
          <w:rFonts w:ascii="arial" w:eastAsia="arial" w:hAnsi="arial" w:cs="arial"/>
          <w:color w:val="000000"/>
          <w:sz w:val="20"/>
          <w:lang w:val="en-US" w:eastAsia="en-US" w:bidi="ar-SA"/>
        </w:rPr>
        <w:t xml:space="preserve">, </w:t>
      </w:r>
      <w:hyperlink r:id="rId173" w:history="1">
        <w:r>
          <w:rPr>
            <w:rFonts w:ascii="arial" w:eastAsia="arial" w:hAnsi="arial" w:cs="arial"/>
            <w:i/>
            <w:color w:val="0077CC"/>
            <w:sz w:val="20"/>
            <w:u w:val="single"/>
            <w:shd w:val="clear" w:color="auto" w:fill="FFFFFF"/>
            <w:lang w:val="en-US" w:eastAsia="en-US" w:bidi="ar-SA"/>
          </w:rPr>
          <w:t>5 B.C.L.R. (4th) 272</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A-Wear Clothing Inc. v. Axion Fashions Ltd.</w:t>
      </w:r>
      <w:r>
        <w:rPr>
          <w:rFonts w:ascii="arial" w:eastAsia="arial" w:hAnsi="arial" w:cs="arial"/>
          <w:color w:val="000000"/>
          <w:sz w:val="20"/>
          <w:lang w:val="en-US" w:eastAsia="en-US" w:bidi="ar-SA"/>
        </w:rPr>
        <w:t xml:space="preserve">, </w:t>
      </w:r>
      <w:hyperlink r:id="rId174" w:history="1">
        <w:r>
          <w:rPr>
            <w:rFonts w:ascii="arial" w:eastAsia="arial" w:hAnsi="arial" w:cs="arial"/>
            <w:i/>
            <w:color w:val="0077CC"/>
            <w:sz w:val="20"/>
            <w:u w:val="single"/>
            <w:shd w:val="clear" w:color="auto" w:fill="FFFFFF"/>
            <w:lang w:val="en-US" w:eastAsia="en-US" w:bidi="ar-SA"/>
          </w:rPr>
          <w:t>2002 BCSC 316</w:t>
        </w:r>
      </w:hyperlink>
      <w:r>
        <w:rPr>
          <w:rFonts w:ascii="arial" w:eastAsia="arial" w:hAnsi="arial" w:cs="arial"/>
          <w:color w:val="000000"/>
          <w:sz w:val="20"/>
          <w:lang w:val="en-US" w:eastAsia="en-US" w:bidi="ar-SA"/>
        </w:rPr>
        <w:t xml:space="preserve">, </w:t>
      </w:r>
      <w:hyperlink r:id="rId174" w:history="1">
        <w:r>
          <w:rPr>
            <w:rFonts w:ascii="arial" w:eastAsia="arial" w:hAnsi="arial" w:cs="arial"/>
            <w:i/>
            <w:color w:val="0077CC"/>
            <w:sz w:val="20"/>
            <w:u w:val="single"/>
            <w:shd w:val="clear" w:color="auto" w:fill="FFFFFF"/>
            <w:lang w:val="en-US" w:eastAsia="en-US" w:bidi="ar-SA"/>
          </w:rPr>
          <w:t>22 B.L.R. (3d) 234</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No. 2002 Taurus Ventures Ltd. v. Intrawest Corp.</w:t>
      </w:r>
      <w:r>
        <w:rPr>
          <w:rFonts w:ascii="arial" w:eastAsia="arial" w:hAnsi="arial" w:cs="arial"/>
          <w:color w:val="000000"/>
          <w:sz w:val="20"/>
          <w:lang w:val="en-US" w:eastAsia="en-US" w:bidi="ar-SA"/>
        </w:rPr>
        <w:t xml:space="preserve">, </w:t>
      </w:r>
      <w:hyperlink r:id="rId175" w:history="1">
        <w:r>
          <w:rPr>
            <w:rFonts w:ascii="arial" w:eastAsia="arial" w:hAnsi="arial" w:cs="arial"/>
            <w:i/>
            <w:color w:val="0077CC"/>
            <w:sz w:val="20"/>
            <w:u w:val="single"/>
            <w:shd w:val="clear" w:color="auto" w:fill="FFFFFF"/>
            <w:lang w:val="en-US" w:eastAsia="en-US" w:bidi="ar-SA"/>
          </w:rPr>
          <w:t>2007 BCCA 228</w:t>
        </w:r>
      </w:hyperlink>
      <w:r>
        <w:rPr>
          <w:rFonts w:ascii="arial" w:eastAsia="arial" w:hAnsi="arial" w:cs="arial"/>
          <w:color w:val="000000"/>
          <w:sz w:val="20"/>
          <w:lang w:val="en-US" w:eastAsia="en-US" w:bidi="ar-SA"/>
        </w:rPr>
        <w:t xml:space="preserve">, </w:t>
      </w:r>
      <w:hyperlink r:id="rId175" w:history="1">
        <w:r>
          <w:rPr>
            <w:rFonts w:ascii="arial" w:eastAsia="arial" w:hAnsi="arial" w:cs="arial"/>
            <w:i/>
            <w:color w:val="0077CC"/>
            <w:sz w:val="20"/>
            <w:u w:val="single"/>
            <w:shd w:val="clear" w:color="auto" w:fill="FFFFFF"/>
            <w:lang w:val="en-US" w:eastAsia="en-US" w:bidi="ar-SA"/>
          </w:rPr>
          <w:t>64 B.C.L.R. (4th) 8</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Taurus Ventures</w:t>
      </w:r>
      <w:r>
        <w:rPr>
          <w:rFonts w:ascii="arial" w:eastAsia="arial" w:hAnsi="arial" w:cs="arial"/>
          <w:color w:val="000000"/>
          <w:sz w:val="20"/>
          <w:lang w:val="en-US" w:eastAsia="en-US" w:bidi="ar-SA"/>
        </w:rPr>
        <w:t>"), in support of their submissions with respect to the effect of the entire agreement clause.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At the close of oral submissions I asked the parties to supplement their arguments to address the question whether in light of the contradictions in the evidence this matter was amenable to resolution by Rule 18A, and whether the decision of the B.C. Court of Appeal in </w:t>
      </w:r>
      <w:r>
        <w:rPr>
          <w:rFonts w:ascii="arial" w:eastAsia="arial" w:hAnsi="arial" w:cs="arial"/>
          <w:b/>
          <w:i/>
          <w:color w:val="000000"/>
          <w:sz w:val="20"/>
          <w:lang w:val="en-US" w:eastAsia="en-US" w:bidi="ar-SA"/>
        </w:rPr>
        <w:t>Zippy Print v. Pawliuk</w:t>
      </w:r>
      <w:r>
        <w:rPr>
          <w:rFonts w:ascii="arial" w:eastAsia="arial" w:hAnsi="arial" w:cs="arial"/>
          <w:color w:val="000000"/>
          <w:sz w:val="20"/>
          <w:lang w:val="en-US" w:eastAsia="en-US" w:bidi="ar-SA"/>
        </w:rPr>
        <w:t xml:space="preserve"> </w:t>
      </w:r>
      <w:hyperlink r:id="rId176" w:history="1">
        <w:r>
          <w:rPr>
            <w:rFonts w:ascii="arial" w:eastAsia="arial" w:hAnsi="arial" w:cs="arial"/>
            <w:i/>
            <w:color w:val="0077CC"/>
            <w:sz w:val="20"/>
            <w:u w:val="single"/>
            <w:shd w:val="clear" w:color="auto" w:fill="FFFFFF"/>
            <w:lang w:val="en-US" w:eastAsia="en-US" w:bidi="ar-SA"/>
          </w:rPr>
          <w:t>(1994), 100 B.C.L.R. (2d) 55</w:t>
        </w:r>
      </w:hyperlink>
      <w:r>
        <w:rPr>
          <w:rFonts w:ascii="arial" w:eastAsia="arial" w:hAnsi="arial" w:cs="arial"/>
          <w:color w:val="000000"/>
          <w:sz w:val="20"/>
          <w:lang w:val="en-US" w:eastAsia="en-US" w:bidi="ar-SA"/>
        </w:rPr>
        <w:t xml:space="preserve">, </w:t>
      </w:r>
      <w:hyperlink r:id="rId177" w:history="1">
        <w:r>
          <w:rPr>
            <w:rFonts w:ascii="arial" w:eastAsia="arial" w:hAnsi="arial" w:cs="arial"/>
            <w:i/>
            <w:color w:val="0077CC"/>
            <w:sz w:val="20"/>
            <w:u w:val="single"/>
            <w:shd w:val="clear" w:color="auto" w:fill="FFFFFF"/>
            <w:lang w:val="en-US" w:eastAsia="en-US" w:bidi="ar-SA"/>
          </w:rPr>
          <w:t>[1995] 1 W.W.R. 324</w:t>
        </w:r>
      </w:hyperlink>
      <w:r>
        <w:rPr>
          <w:rFonts w:ascii="arial" w:eastAsia="arial" w:hAnsi="arial" w:cs="arial"/>
          <w:color w:val="000000"/>
          <w:sz w:val="20"/>
          <w:lang w:val="en-US" w:eastAsia="en-US" w:bidi="ar-SA"/>
        </w:rPr>
        <w:t xml:space="preserve"> (C.A.) ("</w:t>
      </w:r>
      <w:r>
        <w:rPr>
          <w:rFonts w:ascii="arial" w:eastAsia="arial" w:hAnsi="arial" w:cs="arial"/>
          <w:b/>
          <w:i/>
          <w:color w:val="000000"/>
          <w:sz w:val="20"/>
          <w:lang w:val="en-US" w:eastAsia="en-US" w:bidi="ar-SA"/>
        </w:rPr>
        <w:t>Zippy Print</w:t>
      </w:r>
      <w:r>
        <w:rPr>
          <w:rFonts w:ascii="arial" w:eastAsia="arial" w:hAnsi="arial" w:cs="arial"/>
          <w:color w:val="000000"/>
          <w:sz w:val="20"/>
          <w:lang w:val="en-US" w:eastAsia="en-US" w:bidi="ar-SA"/>
        </w:rPr>
        <w:t>") was applicable to the facts and issues at bar. I received the defendants' supplemental submissions on June 6, 2008 and those of the plaintiffs on June 16,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The defendants contended that this matter is resolvable under Rule 18A firstly on the basis that the entire agreement clause excludes the need to consider the evidence in conflict, and, secondly, even if there is a need to consider the evidence it is not beyond the ability of the court on an 18A application to resolve issues of credibility. In support of that latter proposition the defendants cited </w:t>
      </w:r>
      <w:r>
        <w:rPr>
          <w:rFonts w:ascii="arial" w:eastAsia="arial" w:hAnsi="arial" w:cs="arial"/>
          <w:b/>
          <w:i/>
          <w:color w:val="000000"/>
          <w:sz w:val="20"/>
          <w:lang w:val="en-US" w:eastAsia="en-US" w:bidi="ar-SA"/>
        </w:rPr>
        <w:t>McMillan v. Kaiser Equipment Ltd.</w:t>
      </w:r>
      <w:r>
        <w:rPr>
          <w:rFonts w:ascii="arial" w:eastAsia="arial" w:hAnsi="arial" w:cs="arial"/>
          <w:color w:val="000000"/>
          <w:sz w:val="20"/>
          <w:lang w:val="en-US" w:eastAsia="en-US" w:bidi="ar-SA"/>
        </w:rPr>
        <w:t xml:space="preserve">, </w:t>
      </w:r>
      <w:hyperlink r:id="rId178" w:history="1">
        <w:r>
          <w:rPr>
            <w:rFonts w:ascii="arial" w:eastAsia="arial" w:hAnsi="arial" w:cs="arial"/>
            <w:i/>
            <w:color w:val="0077CC"/>
            <w:sz w:val="20"/>
            <w:u w:val="single"/>
            <w:shd w:val="clear" w:color="auto" w:fill="FFFFFF"/>
            <w:lang w:val="en-US" w:eastAsia="en-US" w:bidi="ar-SA"/>
          </w:rPr>
          <w:t>2004 BCCA 270</w:t>
        </w:r>
      </w:hyperlink>
      <w:r>
        <w:rPr>
          <w:rFonts w:ascii="arial" w:eastAsia="arial" w:hAnsi="arial" w:cs="arial"/>
          <w:color w:val="000000"/>
          <w:sz w:val="20"/>
          <w:lang w:val="en-US" w:eastAsia="en-US" w:bidi="ar-SA"/>
        </w:rPr>
        <w:t xml:space="preserve">, </w:t>
      </w:r>
      <w:hyperlink r:id="rId178" w:history="1">
        <w:r>
          <w:rPr>
            <w:rFonts w:ascii="arial" w:eastAsia="arial" w:hAnsi="arial" w:cs="arial"/>
            <w:i/>
            <w:color w:val="0077CC"/>
            <w:sz w:val="20"/>
            <w:u w:val="single"/>
            <w:shd w:val="clear" w:color="auto" w:fill="FFFFFF"/>
            <w:lang w:val="en-US" w:eastAsia="en-US" w:bidi="ar-SA"/>
          </w:rPr>
          <w:t>33 B.C.L.R. (4th) 44</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Inspiration Management Ltd. v. McDiarmid St. Lawrence Ltd.</w:t>
      </w:r>
      <w:r>
        <w:rPr>
          <w:rFonts w:ascii="arial" w:eastAsia="arial" w:hAnsi="arial" w:cs="arial"/>
          <w:color w:val="000000"/>
          <w:sz w:val="20"/>
          <w:lang w:val="en-US" w:eastAsia="en-US" w:bidi="ar-SA"/>
        </w:rPr>
        <w:t xml:space="preserve">, </w:t>
      </w:r>
      <w:hyperlink r:id="rId179" w:history="1">
        <w:r>
          <w:rPr>
            <w:rFonts w:ascii="arial" w:eastAsia="arial" w:hAnsi="arial" w:cs="arial"/>
            <w:i/>
            <w:color w:val="0077CC"/>
            <w:sz w:val="20"/>
            <w:u w:val="single"/>
            <w:shd w:val="clear" w:color="auto" w:fill="FFFFFF"/>
            <w:lang w:val="en-US" w:eastAsia="en-US" w:bidi="ar-SA"/>
          </w:rPr>
          <w:t>[1989] 36 B.C.L.R. (2d) 202</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McMillan v. Kaiser</w:t>
      </w:r>
      <w:r>
        <w:rPr>
          <w:rFonts w:ascii="arial" w:eastAsia="arial" w:hAnsi="arial" w:cs="arial"/>
          <w:color w:val="000000"/>
          <w:sz w:val="20"/>
          <w:lang w:val="en-US" w:eastAsia="en-US" w:bidi="ar-SA"/>
        </w:rPr>
        <w:t xml:space="preserve">, in which the court referred to and relied on its previous decision in </w:t>
      </w:r>
      <w:r>
        <w:rPr>
          <w:rFonts w:ascii="arial" w:eastAsia="arial" w:hAnsi="arial" w:cs="arial"/>
          <w:b/>
          <w:i/>
          <w:color w:val="000000"/>
          <w:sz w:val="20"/>
          <w:lang w:val="en-US" w:eastAsia="en-US" w:bidi="ar-SA"/>
        </w:rPr>
        <w:t>McDiarmid St. Lawrence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it was held at para. 22: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should be noted that the mere fact that there is a conflict in the evidence does not in and of itself preclude a chambers judge from proceeding under Rule 18A. A summary trial almost invariably involves the resolution of credibility issues for it is only in the rarest of cases that there will be a complete agreement on the evidence. The crucial question is whether the court is able to achieve a just and fair result by proceeding summarily.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Insofar as </w:t>
      </w:r>
      <w:r>
        <w:rPr>
          <w:rFonts w:ascii="arial" w:eastAsia="arial" w:hAnsi="arial" w:cs="arial"/>
          <w:b/>
          <w:i/>
          <w:color w:val="000000"/>
          <w:sz w:val="20"/>
          <w:lang w:val="en-US" w:eastAsia="en-US" w:bidi="ar-SA"/>
        </w:rPr>
        <w:t>Zippy Print</w:t>
      </w:r>
      <w:r>
        <w:rPr>
          <w:rFonts w:ascii="arial" w:eastAsia="arial" w:hAnsi="arial" w:cs="arial"/>
          <w:color w:val="000000"/>
          <w:sz w:val="20"/>
          <w:lang w:val="en-US" w:eastAsia="en-US" w:bidi="ar-SA"/>
        </w:rPr>
        <w:t xml:space="preserve"> is concerned, the defendants submitted that it has no application to the case at bar as it was predicated upon a cause of action for negligent misrepresentation whereas in the present case the cause of action is based on a claim of breach of contract. The defendants noted that in </w:t>
      </w:r>
      <w:r>
        <w:rPr>
          <w:rFonts w:ascii="arial" w:eastAsia="arial" w:hAnsi="arial" w:cs="arial"/>
          <w:b/>
          <w:i/>
          <w:color w:val="000000"/>
          <w:sz w:val="20"/>
          <w:lang w:val="en-US" w:eastAsia="en-US" w:bidi="ar-SA"/>
        </w:rPr>
        <w:t>Zippy Print</w:t>
      </w:r>
      <w:r>
        <w:rPr>
          <w:rFonts w:ascii="arial" w:eastAsia="arial" w:hAnsi="arial" w:cs="arial"/>
          <w:color w:val="000000"/>
          <w:sz w:val="20"/>
          <w:lang w:val="en-US" w:eastAsia="en-US" w:bidi="ar-SA"/>
        </w:rPr>
        <w:t xml:space="preserve"> the Court of Appeal, in discussing the applicability of an entire agreement clause, observed at para. 34: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usual rule in relation to clauses excluding liability is that if the liability can be based on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some other ground, and if the clause does not specifically state that liability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excluded, then liability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not excluded.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The defendants went on to submit that even if the matter is considered on the basis of negligent misrepresentation, then the subsequent decision of the court in </w:t>
      </w:r>
      <w:r>
        <w:rPr>
          <w:rFonts w:ascii="arial" w:eastAsia="arial" w:hAnsi="arial" w:cs="arial"/>
          <w:b/>
          <w:i/>
          <w:color w:val="000000"/>
          <w:sz w:val="20"/>
          <w:lang w:val="en-US" w:eastAsia="en-US" w:bidi="ar-SA"/>
        </w:rPr>
        <w:t>Taurus Ventures</w:t>
      </w:r>
      <w:r>
        <w:rPr>
          <w:rFonts w:ascii="arial" w:eastAsia="arial" w:hAnsi="arial" w:cs="arial"/>
          <w:color w:val="000000"/>
          <w:sz w:val="20"/>
          <w:lang w:val="en-US" w:eastAsia="en-US" w:bidi="ar-SA"/>
        </w:rPr>
        <w:t xml:space="preserve"> provides a basis for distinguishing the present case from </w:t>
      </w:r>
      <w:r>
        <w:rPr>
          <w:rFonts w:ascii="arial" w:eastAsia="arial" w:hAnsi="arial" w:cs="arial"/>
          <w:b/>
          <w:i/>
          <w:color w:val="000000"/>
          <w:sz w:val="20"/>
          <w:lang w:val="en-US" w:eastAsia="en-US" w:bidi="ar-SA"/>
        </w:rPr>
        <w:t>Zippy Print</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Taurus Ventures</w:t>
      </w:r>
      <w:r>
        <w:rPr>
          <w:rFonts w:ascii="arial" w:eastAsia="arial" w:hAnsi="arial" w:cs="arial"/>
          <w:color w:val="000000"/>
          <w:sz w:val="20"/>
          <w:lang w:val="en-US" w:eastAsia="en-US" w:bidi="ar-SA"/>
        </w:rPr>
        <w:t>, the court held at para. 54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Like the entire agreement clause in </w:t>
      </w:r>
      <w:r>
        <w:rPr>
          <w:rFonts w:ascii="arial" w:eastAsia="arial" w:hAnsi="arial" w:cs="arial"/>
          <w:i/>
          <w:color w:val="000000"/>
          <w:sz w:val="20"/>
          <w:lang w:val="en-US" w:eastAsia="en-US" w:bidi="ar-SA"/>
        </w:rPr>
        <w:t>Zippy Print</w:t>
      </w:r>
      <w:r>
        <w:rPr>
          <w:rFonts w:ascii="arial" w:eastAsia="arial" w:hAnsi="arial" w:cs="arial"/>
          <w:color w:val="000000"/>
          <w:sz w:val="20"/>
          <w:lang w:val="en-US" w:eastAsia="en-US" w:bidi="ar-SA"/>
        </w:rPr>
        <w:t xml:space="preserve">, the entire agreement clause in this case does not expressly exclude liability for </w:t>
      </w:r>
      <w:r>
        <w:rPr>
          <w:rFonts w:ascii="arial" w:eastAsia="arial" w:hAnsi="arial" w:cs="arial"/>
          <w:color w:val="000000"/>
          <w:sz w:val="20"/>
          <w:u w:val="single"/>
          <w:lang w:val="en-US" w:eastAsia="en-US" w:bidi="ar-SA"/>
        </w:rPr>
        <w:t>negligent</w:t>
      </w:r>
      <w:r>
        <w:rPr>
          <w:rFonts w:ascii="arial" w:eastAsia="arial" w:hAnsi="arial" w:cs="arial"/>
          <w:color w:val="000000"/>
          <w:sz w:val="20"/>
          <w:lang w:val="en-US" w:eastAsia="en-US" w:bidi="ar-SA"/>
        </w:rPr>
        <w:t xml:space="preserve"> misrepresentations. However, in </w:t>
      </w:r>
      <w:r>
        <w:rPr>
          <w:rFonts w:ascii="arial" w:eastAsia="arial" w:hAnsi="arial" w:cs="arial"/>
          <w:i/>
          <w:color w:val="000000"/>
          <w:sz w:val="20"/>
          <w:lang w:val="en-US" w:eastAsia="en-US" w:bidi="ar-SA"/>
        </w:rPr>
        <w:t>Bow Valley Husky (Bermuda) Ltd. v. Saint John Shipbuilding Ltd.</w:t>
      </w:r>
      <w:r>
        <w:rPr>
          <w:rFonts w:ascii="arial" w:eastAsia="arial" w:hAnsi="arial" w:cs="arial"/>
          <w:color w:val="000000"/>
          <w:sz w:val="20"/>
          <w:lang w:val="en-US" w:eastAsia="en-US" w:bidi="ar-SA"/>
        </w:rPr>
        <w:t xml:space="preserve">, </w:t>
      </w:r>
      <w:hyperlink r:id="rId180" w:history="1">
        <w:r>
          <w:rPr>
            <w:rFonts w:ascii="arial" w:eastAsia="arial" w:hAnsi="arial" w:cs="arial"/>
            <w:i/>
            <w:color w:val="0077CC"/>
            <w:sz w:val="20"/>
            <w:u w:val="single"/>
            <w:shd w:val="clear" w:color="auto" w:fill="FFFFFF"/>
            <w:lang w:val="en-US" w:eastAsia="en-US" w:bidi="ar-SA"/>
          </w:rPr>
          <w:t>[1997] 3 S.C.R. 1210</w:t>
        </w:r>
      </w:hyperlink>
      <w:r>
        <w:rPr>
          <w:rFonts w:ascii="arial" w:eastAsia="arial" w:hAnsi="arial" w:cs="arial"/>
          <w:color w:val="000000"/>
          <w:sz w:val="20"/>
          <w:lang w:val="en-US" w:eastAsia="en-US" w:bidi="ar-SA"/>
        </w:rPr>
        <w:t xml:space="preserve">, the Supreme Court of Canada held that exclusion clauses in the contract, none of which referred expressly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nonetheless applied to exclude liability for negligent failure to warn: see </w:t>
      </w:r>
      <w:r>
        <w:rPr>
          <w:rFonts w:ascii="arial" w:eastAsia="arial" w:hAnsi="arial" w:cs="arial"/>
          <w:i/>
          <w:color w:val="000000"/>
          <w:sz w:val="20"/>
          <w:lang w:val="en-US" w:eastAsia="en-US" w:bidi="ar-SA"/>
        </w:rPr>
        <w:t>Air-Nova v. Messier-Dowty Ltd</w:t>
      </w:r>
      <w:r>
        <w:rPr>
          <w:rFonts w:ascii="arial" w:eastAsia="arial" w:hAnsi="arial" w:cs="arial"/>
          <w:color w:val="000000"/>
          <w:sz w:val="20"/>
          <w:lang w:val="en-US" w:eastAsia="en-US" w:bidi="ar-SA"/>
        </w:rPr>
        <w:t xml:space="preserve">. </w:t>
      </w:r>
      <w:hyperlink r:id="rId181" w:history="1">
        <w:r>
          <w:rPr>
            <w:rFonts w:ascii="arial" w:eastAsia="arial" w:hAnsi="arial" w:cs="arial"/>
            <w:i/>
            <w:color w:val="0077CC"/>
            <w:sz w:val="20"/>
            <w:u w:val="single"/>
            <w:shd w:val="clear" w:color="auto" w:fill="FFFFFF"/>
            <w:lang w:val="en-US" w:eastAsia="en-US" w:bidi="ar-SA"/>
          </w:rPr>
          <w:t>(2000), 128 O.A.C. 11</w:t>
        </w:r>
      </w:hyperlink>
      <w:r>
        <w:rPr>
          <w:rFonts w:ascii="arial" w:eastAsia="arial" w:hAnsi="arial" w:cs="arial"/>
          <w:color w:val="000000"/>
          <w:sz w:val="20"/>
          <w:lang w:val="en-US" w:eastAsia="en-US" w:bidi="ar-SA"/>
        </w:rPr>
        <w:t xml:space="preserve"> (C.A.) at para. 33, </w:t>
      </w:r>
      <w:r>
        <w:rPr>
          <w:rFonts w:ascii="arial" w:eastAsia="arial" w:hAnsi="arial" w:cs="arial"/>
          <w:i/>
          <w:color w:val="000000"/>
          <w:sz w:val="20"/>
          <w:lang w:val="en-US" w:eastAsia="en-US" w:bidi="ar-SA"/>
        </w:rPr>
        <w:t>Antorisa</w:t>
      </w:r>
      <w:r>
        <w:rPr>
          <w:rFonts w:ascii="arial" w:eastAsia="arial" w:hAnsi="arial" w:cs="arial"/>
          <w:color w:val="000000"/>
          <w:sz w:val="20"/>
          <w:lang w:val="en-US" w:eastAsia="en-US" w:bidi="ar-SA"/>
        </w:rPr>
        <w:t xml:space="preserve">, </w:t>
      </w:r>
      <w:hyperlink r:id="rId182" w:history="1">
        <w:r>
          <w:rPr>
            <w:rFonts w:ascii="arial" w:eastAsia="arial" w:hAnsi="arial" w:cs="arial"/>
            <w:i/>
            <w:color w:val="0077CC"/>
            <w:sz w:val="20"/>
            <w:u w:val="single"/>
            <w:shd w:val="clear" w:color="auto" w:fill="FFFFFF"/>
            <w:lang w:val="en-US" w:eastAsia="en-US" w:bidi="ar-SA"/>
          </w:rPr>
          <w:t>[2006] O.J. No. 3427</w:t>
        </w:r>
      </w:hyperlink>
      <w:r>
        <w:rPr>
          <w:rFonts w:ascii="arial" w:eastAsia="arial" w:hAnsi="arial" w:cs="arial"/>
          <w:color w:val="000000"/>
          <w:sz w:val="20"/>
          <w:lang w:val="en-US" w:eastAsia="en-US" w:bidi="ar-SA"/>
        </w:rPr>
        <w:t xml:space="preserve"> at paras 39-40. Furthermore, </w:t>
      </w:r>
      <w:r>
        <w:rPr>
          <w:rFonts w:ascii="arial" w:eastAsia="arial" w:hAnsi="arial" w:cs="arial"/>
          <w:i/>
          <w:color w:val="000000"/>
          <w:sz w:val="20"/>
          <w:lang w:val="en-US" w:eastAsia="en-US" w:bidi="ar-SA"/>
        </w:rPr>
        <w:t>Zippy Print</w:t>
      </w:r>
      <w:r>
        <w:rPr>
          <w:rFonts w:ascii="arial" w:eastAsia="arial" w:hAnsi="arial" w:cs="arial"/>
          <w:color w:val="000000"/>
          <w:sz w:val="20"/>
          <w:lang w:val="en-US" w:eastAsia="en-US" w:bidi="ar-SA"/>
        </w:rPr>
        <w:t xml:space="preserve"> is distinguishable from this case on its facts. This case does not involve an enterprise inducing a customer to enter into a standard form contract of adhesion. Mr. Houghton was a sophisticated dealer in real estate, and acknowledged that he read and understood the contract, including the entire agreement clause. [original emphasis]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In considering that the entire agreement clause was effective in excluding liability for negligent misrepresentation in </w:t>
      </w:r>
      <w:r>
        <w:rPr>
          <w:rFonts w:ascii="arial" w:eastAsia="arial" w:hAnsi="arial" w:cs="arial"/>
          <w:b/>
          <w:i/>
          <w:color w:val="000000"/>
          <w:sz w:val="20"/>
          <w:lang w:val="en-US" w:eastAsia="en-US" w:bidi="ar-SA"/>
        </w:rPr>
        <w:t>Taurus Ventures</w:t>
      </w:r>
      <w:r>
        <w:rPr>
          <w:rFonts w:ascii="arial" w:eastAsia="arial" w:hAnsi="arial" w:cs="arial"/>
          <w:color w:val="000000"/>
          <w:sz w:val="20"/>
          <w:lang w:val="en-US" w:eastAsia="en-US" w:bidi="ar-SA"/>
        </w:rPr>
        <w:t>, the court held as follows at para. 59: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my view that, in the circumstances of this case, the entire agreement clause excludes Taurus from claiming in tort for negligent misrepresentation. The Supreme Court of Canada has stated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need not be expressly referred to in an exclusion clause in order to exclude an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parties were both sophisticated, commercial entities. Mr. Houghton had extensive experience in real estate development, was a "player" in the Whistler real estate market, and had dealt extensively with Intrawest. The contract was not a "standard adhesion contract". It included, in the Disclosure Statement, a detailed description of not only Lot 13, but the Kadenwood development, and the responsibilities and obligations of the various parties involved in the development, including Intrawest, the owners of the lots in the development, and the strata corporation. Mr. Houghton read the Disclosure Statement before Taurus entered into the contract. He had personal contact with Intrawest representatives both before and after he purchased Lot 13. He had ample opportunity to ask questions and seek answers to any concerns he had about the details of the development of Kadenwood. In these circumstances, where the contract was clearly intended to govern the relationship between the parties, it would not accord with commercial reality to give no effect to the entire agreement clause in determining whether Taurus can claim a tort remedy.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The defendants pointed out that in </w:t>
      </w:r>
      <w:r>
        <w:rPr>
          <w:rFonts w:ascii="arial" w:eastAsia="arial" w:hAnsi="arial" w:cs="arial"/>
          <w:b/>
          <w:i/>
          <w:color w:val="000000"/>
          <w:sz w:val="20"/>
          <w:lang w:val="en-US" w:eastAsia="en-US" w:bidi="ar-SA"/>
        </w:rPr>
        <w:t>Zippy Print</w:t>
      </w:r>
      <w:r>
        <w:rPr>
          <w:rFonts w:ascii="arial" w:eastAsia="arial" w:hAnsi="arial" w:cs="arial"/>
          <w:color w:val="000000"/>
          <w:sz w:val="20"/>
          <w:lang w:val="en-US" w:eastAsia="en-US" w:bidi="ar-SA"/>
        </w:rPr>
        <w:t xml:space="preserve"> the contract containing the entire agreement clause was a standard form contract of adhesion whereas in the case at bar there is evidence that the share purchase agreement was drafted by a solicitor retained by the plaintiffs. The defendants also submitted that in </w:t>
      </w:r>
      <w:r>
        <w:rPr>
          <w:rFonts w:ascii="arial" w:eastAsia="arial" w:hAnsi="arial" w:cs="arial"/>
          <w:b/>
          <w:i/>
          <w:color w:val="000000"/>
          <w:sz w:val="20"/>
          <w:lang w:val="en-US" w:eastAsia="en-US" w:bidi="ar-SA"/>
        </w:rPr>
        <w:t>Zippy Print</w:t>
      </w:r>
      <w:r>
        <w:rPr>
          <w:rFonts w:ascii="arial" w:eastAsia="arial" w:hAnsi="arial" w:cs="arial"/>
          <w:color w:val="000000"/>
          <w:sz w:val="20"/>
          <w:lang w:val="en-US" w:eastAsia="en-US" w:bidi="ar-SA"/>
        </w:rPr>
        <w:t xml:space="preserve"> the court stated that an entire agreement clause in a standard form contract of adhesion would be effective if "the intended effect of the exclusion clause can be shown to have been brought home to the party to whom the representation was made by being specifically drawn to the attention of that party, or by being specifically acknowledged by that party, or in some other way." (</w:t>
      </w:r>
      <w:r>
        <w:rPr>
          <w:rFonts w:ascii="arial" w:eastAsia="arial" w:hAnsi="arial" w:cs="arial"/>
          <w:b/>
          <w:i/>
          <w:color w:val="000000"/>
          <w:sz w:val="20"/>
          <w:lang w:val="en-US" w:eastAsia="en-US" w:bidi="ar-SA"/>
        </w:rPr>
        <w:t>Zippy Print</w:t>
      </w:r>
      <w:r>
        <w:rPr>
          <w:rFonts w:ascii="arial" w:eastAsia="arial" w:hAnsi="arial" w:cs="arial"/>
          <w:color w:val="000000"/>
          <w:sz w:val="20"/>
          <w:lang w:val="en-US" w:eastAsia="en-US" w:bidi="ar-SA"/>
        </w:rPr>
        <w:t xml:space="preserve"> at para. 45)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 defendants submitted that in the circumstances in the case at bar the entire agreement clause should be given effect and therefore no consideration should be given to evidence of representations made outside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plaintiffs contended in response that "the representation of fair market value of the aircraft at $210,000 to $230,000 forms part of the representation and warranties contained in the agreement by virtue of the financial statement which is attached to the agreement as Exhibit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With respect to their ultimate submission that the defendants represented the value of the aircraft at $180,000, the plaintiffs acknowledge that there was no evidence to link that representation to the contract and thus the court may need to resolve the conflict in the evidence concerning whether representations were made tying the market value of the aircraft to what was contained in the financial statements.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In addressing the effect of the entire agreement clause, the plaintiffs submitted that the principles set out in </w:t>
      </w:r>
      <w:r>
        <w:rPr>
          <w:rFonts w:ascii="arial" w:eastAsia="arial" w:hAnsi="arial" w:cs="arial"/>
          <w:b/>
          <w:i/>
          <w:color w:val="000000"/>
          <w:sz w:val="20"/>
          <w:lang w:val="en-US" w:eastAsia="en-US" w:bidi="ar-SA"/>
        </w:rPr>
        <w:t>Zippy Print</w:t>
      </w:r>
      <w:r>
        <w:rPr>
          <w:rFonts w:ascii="arial" w:eastAsia="arial" w:hAnsi="arial" w:cs="arial"/>
          <w:color w:val="000000"/>
          <w:sz w:val="20"/>
          <w:lang w:val="en-US" w:eastAsia="en-US" w:bidi="ar-SA"/>
        </w:rPr>
        <w:t xml:space="preserve"> are not limited to contracts of adhesion, that "nowhere in the authorities quoted by the court in </w:t>
      </w:r>
      <w:r>
        <w:rPr>
          <w:rFonts w:ascii="arial" w:eastAsia="arial" w:hAnsi="arial" w:cs="arial"/>
          <w:b/>
          <w:i/>
          <w:color w:val="000000"/>
          <w:sz w:val="20"/>
          <w:lang w:val="en-US" w:eastAsia="en-US" w:bidi="ar-SA"/>
        </w:rPr>
        <w:t>Zippy Print</w:t>
      </w:r>
      <w:r>
        <w:rPr>
          <w:rFonts w:ascii="arial" w:eastAsia="arial" w:hAnsi="arial" w:cs="arial"/>
          <w:color w:val="000000"/>
          <w:sz w:val="20"/>
          <w:lang w:val="en-US" w:eastAsia="en-US" w:bidi="ar-SA"/>
        </w:rPr>
        <w:t xml:space="preserve"> is there any distinction between contracts of adhesion and other commercial contracts."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The plaintiffs relied on </w:t>
      </w:r>
      <w:r>
        <w:rPr>
          <w:rFonts w:ascii="arial" w:eastAsia="arial" w:hAnsi="arial" w:cs="arial"/>
          <w:b/>
          <w:i/>
          <w:color w:val="000000"/>
          <w:sz w:val="20"/>
          <w:lang w:val="en-US" w:eastAsia="en-US" w:bidi="ar-SA"/>
        </w:rPr>
        <w:t>Gallen v. Allstate Grain Company</w:t>
      </w:r>
      <w:r>
        <w:rPr>
          <w:rFonts w:ascii="arial" w:eastAsia="arial" w:hAnsi="arial" w:cs="arial"/>
          <w:color w:val="000000"/>
          <w:sz w:val="20"/>
          <w:lang w:val="en-US" w:eastAsia="en-US" w:bidi="ar-SA"/>
        </w:rPr>
        <w:t xml:space="preserve"> </w:t>
      </w:r>
      <w:hyperlink r:id="rId183" w:history="1">
        <w:r>
          <w:rPr>
            <w:rFonts w:ascii="arial" w:eastAsia="arial" w:hAnsi="arial" w:cs="arial"/>
            <w:i/>
            <w:color w:val="0077CC"/>
            <w:sz w:val="20"/>
            <w:u w:val="single"/>
            <w:shd w:val="clear" w:color="auto" w:fill="FFFFFF"/>
            <w:lang w:val="en-US" w:eastAsia="en-US" w:bidi="ar-SA"/>
          </w:rPr>
          <w:t>(1984), 53 B.C.L.R. 38</w:t>
        </w:r>
      </w:hyperlink>
      <w:r>
        <w:rPr>
          <w:rFonts w:ascii="arial" w:eastAsia="arial" w:hAnsi="arial" w:cs="arial"/>
          <w:color w:val="000000"/>
          <w:sz w:val="20"/>
          <w:lang w:val="en-US" w:eastAsia="en-US" w:bidi="ar-SA"/>
        </w:rPr>
        <w:t>, 9 D.L.R. (4th) (C.A.) in which the court considered "a standard form contract" for the "production of and marketing of buckwheat." In that case, it was alleged that the defendant's agent represented that the buckwheat seeds would prevent weeds from taking over and spoiling the crop. In the written contract it was provided that "Allstate gives no warranty as to the productiveness or any other matter pertaining to the seed sold to the producer and will not in any way be responsible for the crop." (</w:t>
      </w:r>
      <w:r>
        <w:rPr>
          <w:rFonts w:ascii="arial" w:eastAsia="arial" w:hAnsi="arial" w:cs="arial"/>
          <w:b/>
          <w:i/>
          <w:color w:val="000000"/>
          <w:sz w:val="20"/>
          <w:lang w:val="en-US" w:eastAsia="en-US" w:bidi="ar-SA"/>
        </w:rPr>
        <w:t>Gallen</w:t>
      </w:r>
      <w:r>
        <w:rPr>
          <w:rFonts w:ascii="arial" w:eastAsia="arial" w:hAnsi="arial" w:cs="arial"/>
          <w:color w:val="000000"/>
          <w:sz w:val="20"/>
          <w:lang w:val="en-US" w:eastAsia="en-US" w:bidi="ar-SA"/>
        </w:rPr>
        <w:t xml:space="preserve"> at p. 48)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In that case, Lambert and Anderson J.J.A. in separate reasons held the pre-contractual representation to be admissible even when its effect might be to add to, subtract from, vary or contradict the document, for a variety of reasons, including to show that the contract was invalid because of misrepresentation, to dispel ambiguities, to establish a term implied by custom, to demonstrate the factual matrix of the agreement, to establish a collateral contract, or to support a claim in tort that the oral statement was in breach of a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Gallen</w:t>
      </w:r>
      <w:r>
        <w:rPr>
          <w:rFonts w:ascii="arial" w:eastAsia="arial" w:hAnsi="arial" w:cs="arial"/>
          <w:color w:val="000000"/>
          <w:sz w:val="20"/>
          <w:lang w:val="en-US" w:eastAsia="en-US" w:bidi="ar-SA"/>
        </w:rPr>
        <w:t>, Lambert J.A. addressed the issue of the admissibility of the oral representations at p. 50: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So if it is said that an oral representation, that was made before the contract document was signed, contains a warranty giving rise to a claim for damages, evidence can be given of the representation, even if the representation adds to, subtracts from, varies or contradicts the document, if the pleadings are appropriate, and if the party on whose behalf the evidence is tendered asserts that from the factual matrix it can be shown that the document does not contain the whole agreement. The oral representation may be part of a single agreement, other parts of which appear in the document (the one-contract theory.) Alternatively, the document may record a complete agreement, but there may be a separate collateral agreement, with different terms, one of which is the oral representation (the two-contract theory.)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the basis of the pleadings in this case, I do not doubt that the evidence was properly admitted on the question of whether the document constituted a record of the whole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Lambert J.A. went on to hold that the trial judge did not err in finding that the statement by the defendant's agent was an oral warranty and concluded that there was no contradiction between the oral warranty and the signed standard form contract; hence, the defendant was liable to the plaintiff on the basis of the oral warranty. Lambert J.A. also found that if there was a contradiction between the oral representation and the written exclusion, then in light of the trial judge's finding that it was "intended to affect the contractual relationship of the parties, as a warranty", and despite the presumption in favour of the written document that derives from the parole evidence principle, "the oral warranty should prevail". (</w:t>
      </w:r>
      <w:r>
        <w:rPr>
          <w:rFonts w:ascii="arial" w:eastAsia="arial" w:hAnsi="arial" w:cs="arial"/>
          <w:b/>
          <w:i/>
          <w:color w:val="000000"/>
          <w:sz w:val="20"/>
          <w:lang w:val="en-US" w:eastAsia="en-US" w:bidi="ar-SA"/>
        </w:rPr>
        <w:t>Gallen</w:t>
      </w:r>
      <w:r>
        <w:rPr>
          <w:rFonts w:ascii="arial" w:eastAsia="arial" w:hAnsi="arial" w:cs="arial"/>
          <w:color w:val="000000"/>
          <w:sz w:val="20"/>
          <w:lang w:val="en-US" w:eastAsia="en-US" w:bidi="ar-SA"/>
        </w:rPr>
        <w:t xml:space="preserve"> at p. 58)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In his concurring judgment, Anderson J.A. held that it was necessary to read the exclusion clause in light of the oral representation and accordingly it did not exclude the defendant from liability for the failure of the crop due to the weed growth. Anderson J.A. concluded at p. 61 that "the proper course to be followed ... is to determine as a matter of construction, having regard to all circumstances including the warranty, whether the exemption clause was, in fact, intended by the parties to exclude the express warranty." He held at p. 62 "the wording of the exemption clause ... is not as a matter of construction so clear and unambiguous as to exclude the oral warranty given by the defendants as to weed control." Anderson J.A. indicated that he placed no reliance on the fact that the written contract was in standard form.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The plaintiffs submitted on the basis of </w:t>
      </w:r>
      <w:r>
        <w:rPr>
          <w:rFonts w:ascii="arial" w:eastAsia="arial" w:hAnsi="arial" w:cs="arial"/>
          <w:b/>
          <w:i/>
          <w:color w:val="000000"/>
          <w:sz w:val="20"/>
          <w:lang w:val="en-US" w:eastAsia="en-US" w:bidi="ar-SA"/>
        </w:rPr>
        <w:t>Zippy Print</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Gallen</w:t>
      </w:r>
      <w:r>
        <w:rPr>
          <w:rFonts w:ascii="arial" w:eastAsia="arial" w:hAnsi="arial" w:cs="arial"/>
          <w:color w:val="000000"/>
          <w:sz w:val="20"/>
          <w:lang w:val="en-US" w:eastAsia="en-US" w:bidi="ar-SA"/>
        </w:rPr>
        <w:t xml:space="preserve"> that whether the representation of value was $180,000 for the aircraft as asserted by the defendants or $210,000 to $230,000 as asserted by the plaintiffs, it is of no moment as in either event the representation was false and induced the plaintiff 0715257 to enter the contract, and the effect of the entire agreement clause is thus avoided by the pre-contractual representation. The plaintiffs submitted that if there is no need to resolve the conflict in evidence, then the matter can be resolved by Rule 18A, but, if I do determine it is necessary to resolve the conflict as to what the defendants represented concerning the value of the aircraft (i.e., whether the share purchase agreement represents the market value of the aircraft to be $210,000 to $230,000), then it would be unjust to decide the issue without a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I conclude that the plaintiffs have not, on the evidence, made out their case in breach of contract against the defendants. The plaintiffs relied on clause 4.2(a) which represents and warrants that "the financial statements are true and correct in every material respect and fairly present the assets, liabilities and financial position of the company" as of February 28, 2005 "in accordance with generally accepted accounting principles applied on a basis consistent with that of the previous year." The value attributed to the three aircraft in the financial statements - $224,350 - is clearly the book value, that is the cost of the asset less its accumulated depreciation. The effect of clause 4.2(a) so far as it relates to the book value of the capital assets is to demonstrate and confirm the remaining depreciation available to the purchaser to use as a deduction against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The individual book values attributed to the three aircraft, $23,967 (CAD), $101,107 (CAD), and $99,276 (CAD) respectively for the Piper Warrior (GDVS) and the two Diamond Katana (FWAP and GEML), did not correspond to the individual insured values of the aircraft of $70,000 each. It is of note that after the share purchase the plaintiffs maintained the coverage at $70,000 per aircraft. It is also of note that in January of 2007, when the defendants were pressing the plaintiffs for being "technically" in breach of the agreement because of the delay in receipt of insurance proceeds for the Piper Warrior and the potentially inadequate security for the indebtedness under the agreement, the plaintiffs did not respond by raising the issue of any disparity between the book value and apparent market value reflected in Ms. Pitkeathly's letter of January 17, 2007 responding to the defendants' January 6, 2007 letter.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The question that arises from the evidence in this case is what was intended by the parties in clause 4.2(a). The contention of the plaintiffs is that clause 4.2(a) confirms the realizable or market value of the assets in question. The contrary contention of the defendants is that it simply confirms the accuracy of the asset's book value and the validity of the accounting procedures by which that value was determined (or calculated).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xml:space="preserve">  In construing the nature and effect of clause 4.2(a), it is necessary to consider the applicable principles of contractual interpretation. In </w:t>
      </w:r>
      <w:r>
        <w:rPr>
          <w:rFonts w:ascii="arial" w:eastAsia="arial" w:hAnsi="arial" w:cs="arial"/>
          <w:b/>
          <w:i/>
          <w:color w:val="000000"/>
          <w:sz w:val="20"/>
          <w:lang w:val="en-US" w:eastAsia="en-US" w:bidi="ar-SA"/>
        </w:rPr>
        <w:t>0746727 B.C. Ltd. v. Cushman &amp; Wakefield LePage Inc.</w:t>
      </w:r>
      <w:r>
        <w:rPr>
          <w:rFonts w:ascii="arial" w:eastAsia="arial" w:hAnsi="arial" w:cs="arial"/>
          <w:color w:val="000000"/>
          <w:sz w:val="20"/>
          <w:lang w:val="en-US" w:eastAsia="en-US" w:bidi="ar-SA"/>
        </w:rPr>
        <w:t xml:space="preserve">, </w:t>
      </w:r>
      <w:hyperlink r:id="rId184" w:history="1">
        <w:r>
          <w:rPr>
            <w:rFonts w:ascii="arial" w:eastAsia="arial" w:hAnsi="arial" w:cs="arial"/>
            <w:i/>
            <w:color w:val="0077CC"/>
            <w:sz w:val="20"/>
            <w:u w:val="single"/>
            <w:shd w:val="clear" w:color="auto" w:fill="FFFFFF"/>
            <w:lang w:val="en-US" w:eastAsia="en-US" w:bidi="ar-SA"/>
          </w:rPr>
          <w:t>[2008] B.C.J. No. 641</w:t>
        </w:r>
      </w:hyperlink>
      <w:r>
        <w:rPr>
          <w:rFonts w:ascii="arial" w:eastAsia="arial" w:hAnsi="arial" w:cs="arial"/>
          <w:color w:val="000000"/>
          <w:sz w:val="20"/>
          <w:lang w:val="en-US" w:eastAsia="en-US" w:bidi="ar-SA"/>
        </w:rPr>
        <w:t xml:space="preserve">, </w:t>
      </w:r>
      <w:hyperlink r:id="rId184" w:history="1">
        <w:r>
          <w:rPr>
            <w:rFonts w:ascii="arial" w:eastAsia="arial" w:hAnsi="arial" w:cs="arial"/>
            <w:i/>
            <w:color w:val="0077CC"/>
            <w:sz w:val="20"/>
            <w:u w:val="single"/>
            <w:shd w:val="clear" w:color="auto" w:fill="FFFFFF"/>
            <w:lang w:val="en-US" w:eastAsia="en-US" w:bidi="ar-SA"/>
          </w:rPr>
          <w:t>166 A.C.W.S. (3d) 613</w:t>
        </w:r>
      </w:hyperlink>
      <w:r>
        <w:rPr>
          <w:rFonts w:ascii="arial" w:eastAsia="arial" w:hAnsi="arial" w:cs="arial"/>
          <w:color w:val="000000"/>
          <w:sz w:val="20"/>
          <w:lang w:val="en-US" w:eastAsia="en-US" w:bidi="ar-SA"/>
        </w:rPr>
        <w:t xml:space="preserve"> (S.C.), Neilson J. (as she then was) stated as follows in paragraphs 16-20: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principles of contractual interpretation are clear. I distill the following from </w:t>
      </w:r>
      <w:r>
        <w:rPr>
          <w:rFonts w:ascii="arial" w:eastAsia="arial" w:hAnsi="arial" w:cs="arial"/>
          <w:i/>
          <w:color w:val="000000"/>
          <w:sz w:val="20"/>
          <w:lang w:val="en-US" w:eastAsia="en-US" w:bidi="ar-SA"/>
        </w:rPr>
        <w:t>Group Eight Investments Ltd. v. Taddei et al.</w:t>
      </w:r>
      <w:r>
        <w:rPr>
          <w:rFonts w:ascii="arial" w:eastAsia="arial" w:hAnsi="arial" w:cs="arial"/>
          <w:color w:val="000000"/>
          <w:sz w:val="20"/>
          <w:lang w:val="en-US" w:eastAsia="en-US" w:bidi="ar-SA"/>
        </w:rPr>
        <w:t xml:space="preserve">, </w:t>
      </w:r>
      <w:hyperlink r:id="rId185" w:history="1">
        <w:r>
          <w:rPr>
            <w:rFonts w:ascii="arial" w:eastAsia="arial" w:hAnsi="arial" w:cs="arial"/>
            <w:i/>
            <w:color w:val="0077CC"/>
            <w:sz w:val="20"/>
            <w:u w:val="single"/>
            <w:shd w:val="clear" w:color="auto" w:fill="FFFFFF"/>
            <w:lang w:val="en-US" w:eastAsia="en-US" w:bidi="ar-SA"/>
          </w:rPr>
          <w:t>2005 BCCA 489</w:t>
        </w:r>
      </w:hyperlink>
      <w:r>
        <w:rPr>
          <w:rFonts w:ascii="arial" w:eastAsia="arial" w:hAnsi="arial" w:cs="arial"/>
          <w:color w:val="000000"/>
          <w:sz w:val="20"/>
          <w:lang w:val="en-US" w:eastAsia="en-US" w:bidi="ar-SA"/>
        </w:rPr>
        <w:t xml:space="preserve"> at paras. 19-20; </w:t>
      </w:r>
      <w:r>
        <w:rPr>
          <w:rFonts w:ascii="arial" w:eastAsia="arial" w:hAnsi="arial" w:cs="arial"/>
          <w:i/>
          <w:color w:val="000000"/>
          <w:sz w:val="20"/>
          <w:lang w:val="en-US" w:eastAsia="en-US" w:bidi="ar-SA"/>
        </w:rPr>
        <w:t>Gilchrist v. Western Star Trucks Inc., et al.</w:t>
      </w:r>
      <w:r>
        <w:rPr>
          <w:rFonts w:ascii="arial" w:eastAsia="arial" w:hAnsi="arial" w:cs="arial"/>
          <w:color w:val="000000"/>
          <w:sz w:val="20"/>
          <w:lang w:val="en-US" w:eastAsia="en-US" w:bidi="ar-SA"/>
        </w:rPr>
        <w:t xml:space="preserve">, </w:t>
      </w:r>
      <w:hyperlink r:id="rId186" w:history="1">
        <w:r>
          <w:rPr>
            <w:rFonts w:ascii="arial" w:eastAsia="arial" w:hAnsi="arial" w:cs="arial"/>
            <w:i/>
            <w:color w:val="0077CC"/>
            <w:sz w:val="20"/>
            <w:u w:val="single"/>
            <w:shd w:val="clear" w:color="auto" w:fill="FFFFFF"/>
            <w:lang w:val="en-US" w:eastAsia="en-US" w:bidi="ar-SA"/>
          </w:rPr>
          <w:t>2000 BCCA 70</w:t>
        </w:r>
      </w:hyperlink>
      <w:r>
        <w:rPr>
          <w:rFonts w:ascii="arial" w:eastAsia="arial" w:hAnsi="arial" w:cs="arial"/>
          <w:color w:val="000000"/>
          <w:sz w:val="20"/>
          <w:lang w:val="en-US" w:eastAsia="en-US" w:bidi="ar-SA"/>
        </w:rPr>
        <w:t xml:space="preserve"> at paras. 17-18; </w:t>
      </w:r>
      <w:r>
        <w:rPr>
          <w:rFonts w:ascii="arial" w:eastAsia="arial" w:hAnsi="arial" w:cs="arial"/>
          <w:i/>
          <w:color w:val="000000"/>
          <w:sz w:val="20"/>
          <w:lang w:val="en-US" w:eastAsia="en-US" w:bidi="ar-SA"/>
        </w:rPr>
        <w:t>Delisle v. Bulman Group Ltd.</w:t>
      </w:r>
      <w:r>
        <w:rPr>
          <w:rFonts w:ascii="arial" w:eastAsia="arial" w:hAnsi="arial" w:cs="arial"/>
          <w:color w:val="000000"/>
          <w:sz w:val="20"/>
          <w:lang w:val="en-US" w:eastAsia="en-US" w:bidi="ar-SA"/>
        </w:rPr>
        <w:t xml:space="preserve"> </w:t>
      </w:r>
      <w:hyperlink r:id="rId187" w:history="1">
        <w:r>
          <w:rPr>
            <w:rFonts w:ascii="arial" w:eastAsia="arial" w:hAnsi="arial" w:cs="arial"/>
            <w:i/>
            <w:color w:val="0077CC"/>
            <w:sz w:val="20"/>
            <w:u w:val="single"/>
            <w:shd w:val="clear" w:color="auto" w:fill="FFFFFF"/>
            <w:lang w:val="en-US" w:eastAsia="en-US" w:bidi="ar-SA"/>
          </w:rPr>
          <w:t>(1990), 54 B.C.L.R. (2d) 343</w:t>
        </w:r>
      </w:hyperlink>
      <w:r>
        <w:rPr>
          <w:rFonts w:ascii="arial" w:eastAsia="arial" w:hAnsi="arial" w:cs="arial"/>
          <w:color w:val="000000"/>
          <w:sz w:val="20"/>
          <w:lang w:val="en-US" w:eastAsia="en-US" w:bidi="ar-SA"/>
        </w:rPr>
        <w:t xml:space="preserve"> (S.C.); and </w:t>
      </w:r>
      <w:r>
        <w:rPr>
          <w:rFonts w:ascii="arial" w:eastAsia="arial" w:hAnsi="arial" w:cs="arial"/>
          <w:i/>
          <w:color w:val="000000"/>
          <w:sz w:val="20"/>
          <w:lang w:val="en-US" w:eastAsia="en-US" w:bidi="ar-SA"/>
        </w:rPr>
        <w:t>Glaswegian Enterprises Inc. v. BC Tel Mobility Cellular Inc.</w:t>
      </w:r>
      <w:r>
        <w:rPr>
          <w:rFonts w:ascii="arial" w:eastAsia="arial" w:hAnsi="arial" w:cs="arial"/>
          <w:color w:val="000000"/>
          <w:sz w:val="20"/>
          <w:lang w:val="en-US" w:eastAsia="en-US" w:bidi="ar-SA"/>
        </w:rPr>
        <w:t xml:space="preserve"> </w:t>
      </w:r>
      <w:hyperlink r:id="rId188" w:history="1">
        <w:r>
          <w:rPr>
            <w:rFonts w:ascii="arial" w:eastAsia="arial" w:hAnsi="arial" w:cs="arial"/>
            <w:i/>
            <w:color w:val="0077CC"/>
            <w:sz w:val="20"/>
            <w:u w:val="single"/>
            <w:shd w:val="clear" w:color="auto" w:fill="FFFFFF"/>
            <w:lang w:val="en-US" w:eastAsia="en-US" w:bidi="ar-SA"/>
          </w:rPr>
          <w:t>(1997), 49 B.C.L.R. (3d) 317</w:t>
        </w:r>
      </w:hyperlink>
      <w:r>
        <w:rPr>
          <w:rFonts w:ascii="arial" w:eastAsia="arial" w:hAnsi="arial" w:cs="arial"/>
          <w:color w:val="000000"/>
          <w:sz w:val="20"/>
          <w:lang w:val="en-US" w:eastAsia="en-US" w:bidi="ar-SA"/>
        </w:rPr>
        <w:t xml:space="preserve"> at paras. 18-20 (C.A.)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goal is to determine what the intention of the parties was at the time the contract was entered into, looking first to the plain and ordinary meaning of the words in the contract. The words are to be interpreted in the context of the whole of the contract and in a manner that does not render one part of the contract ineffective.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well, the language of the contract must be read in the context of the surrounding circumstances at the time the contract was made. Such evidence will include evidence of facts known to both parties prior to the execution of the agreement, but not negotiations or evidence of the subjective intent of the parties. The context should not take priority over the words themselves.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standard is objective. What is a reasonable interpretation of the provision in question?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this examination reveals an unambiguous meaning, it is not necessary to go further. However, if it produces two reasonable interpretations, thereby creating ambiguity, or if the plain language leads to an absurdity, the court may look beyond the words of the contract to extrinsic evidence to assist in determining the parties' intent. Such evidence will include facts leading up to the agreement, circumstances existing at the time of it, and evidence of subsequent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In the present case, the "surrounding circumstances" at the time the contract was made include the amount each aircraft was insured for, a figure which is incongruent with the book value of each of the aircraft in the financial statements, Note 1. In my view, that fact weighs heavily against construing clause 4.2(a) as confirming the realizable or market value of each of the aircraft. Moreover, this is not a case of a standard form agreement drafted by the defendants. Rather, it is an agreement drafted by the plaintiffs' solicitor pursuant to the plaintiffs' instructions and it makes no reference to the market or realizable value of the aircraft. Even if there could be said to be an ambiguity in the wording of clause 4.2(a), the plaintiffs' conduct in maintaining the individual insurance coverage for the three aircraft after the share purchase, and by not raising it as an issue in January 2007 despite accepting that two of the three aircraft had lower values than those set forth in the financial statements, augers against a reasonable interpretation that the financial statements were intended to warranty the market value of the aircraft.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xml:space="preserve">  Although the plaintiffs have not pleaded negligent misrepresentation or the existence of a collateral contract, I am satisfied that in the circumstances the effect of the entire agreement clause operates to exclude any liability of the defendants for pre-contractual discussions, negotiations or representations. This is a case in which the plaintiffs had no need to rely on the representations of the defendants. By contrast, in </w:t>
      </w:r>
      <w:r>
        <w:rPr>
          <w:rFonts w:ascii="arial" w:eastAsia="arial" w:hAnsi="arial" w:cs="arial"/>
          <w:b/>
          <w:i/>
          <w:color w:val="000000"/>
          <w:sz w:val="20"/>
          <w:lang w:val="en-US" w:eastAsia="en-US" w:bidi="ar-SA"/>
        </w:rPr>
        <w:t>Zippy Print</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Gallen</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Taurus Ventures</w:t>
      </w:r>
      <w:r>
        <w:rPr>
          <w:rFonts w:ascii="arial" w:eastAsia="arial" w:hAnsi="arial" w:cs="arial"/>
          <w:color w:val="000000"/>
          <w:sz w:val="20"/>
          <w:lang w:val="en-US" w:eastAsia="en-US" w:bidi="ar-SA"/>
        </w:rPr>
        <w:t xml:space="preserve">, the representations at issue related to matters within the exclusive knowledge or control of the defendants. In </w:t>
      </w:r>
      <w:r>
        <w:rPr>
          <w:rFonts w:ascii="arial" w:eastAsia="arial" w:hAnsi="arial" w:cs="arial"/>
          <w:b/>
          <w:i/>
          <w:color w:val="000000"/>
          <w:sz w:val="20"/>
          <w:lang w:val="en-US" w:eastAsia="en-US" w:bidi="ar-SA"/>
        </w:rPr>
        <w:t>Zippy Print</w:t>
      </w:r>
      <w:r>
        <w:rPr>
          <w:rFonts w:ascii="arial" w:eastAsia="arial" w:hAnsi="arial" w:cs="arial"/>
          <w:color w:val="000000"/>
          <w:sz w:val="20"/>
          <w:lang w:val="en-US" w:eastAsia="en-US" w:bidi="ar-SA"/>
        </w:rPr>
        <w:t xml:space="preserve"> it was the "</w:t>
      </w:r>
      <w:r>
        <w:rPr>
          <w:rFonts w:ascii="arial" w:eastAsia="arial" w:hAnsi="arial" w:cs="arial"/>
          <w:i/>
          <w:color w:val="000000"/>
          <w:sz w:val="20"/>
          <w:lang w:val="en-US" w:eastAsia="en-US" w:bidi="ar-SA"/>
        </w:rPr>
        <w:t>pro forma</w:t>
      </w:r>
      <w:r>
        <w:rPr>
          <w:rFonts w:ascii="arial" w:eastAsia="arial" w:hAnsi="arial" w:cs="arial"/>
          <w:color w:val="000000"/>
          <w:sz w:val="20"/>
          <w:lang w:val="en-US" w:eastAsia="en-US" w:bidi="ar-SA"/>
        </w:rPr>
        <w:t xml:space="preserve">" results of an in depth market survey undertaken by the defendants whose agent represented it to be a true and accurate financial picture of the plaintiffs' projected first 12 months operation as a Zippy Print franchisee. In </w:t>
      </w:r>
      <w:r>
        <w:rPr>
          <w:rFonts w:ascii="arial" w:eastAsia="arial" w:hAnsi="arial" w:cs="arial"/>
          <w:b/>
          <w:i/>
          <w:color w:val="000000"/>
          <w:sz w:val="20"/>
          <w:lang w:val="en-US" w:eastAsia="en-US" w:bidi="ar-SA"/>
        </w:rPr>
        <w:t>Gallen</w:t>
      </w:r>
      <w:r>
        <w:rPr>
          <w:rFonts w:ascii="arial" w:eastAsia="arial" w:hAnsi="arial" w:cs="arial"/>
          <w:color w:val="000000"/>
          <w:sz w:val="20"/>
          <w:lang w:val="en-US" w:eastAsia="en-US" w:bidi="ar-SA"/>
        </w:rPr>
        <w:t xml:space="preserve">, it was the defendant's agent's representation in the face of a concern expressed by the plaintiff that the seeds being sold would "smother" any weeds. In </w:t>
      </w:r>
      <w:r>
        <w:rPr>
          <w:rFonts w:ascii="arial" w:eastAsia="arial" w:hAnsi="arial" w:cs="arial"/>
          <w:b/>
          <w:i/>
          <w:color w:val="000000"/>
          <w:sz w:val="20"/>
          <w:lang w:val="en-US" w:eastAsia="en-US" w:bidi="ar-SA"/>
        </w:rPr>
        <w:t>Taurus Ventures</w:t>
      </w:r>
      <w:r>
        <w:rPr>
          <w:rFonts w:ascii="arial" w:eastAsia="arial" w:hAnsi="arial" w:cs="arial"/>
          <w:color w:val="000000"/>
          <w:sz w:val="20"/>
          <w:lang w:val="en-US" w:eastAsia="en-US" w:bidi="ar-SA"/>
        </w:rPr>
        <w:t xml:space="preserve">, the alleged representation concerned the defendant's commitment to undertake future improvements to development property sold to the plaintiff. In each case, the plaintiff could not, before entering the contract, confirm or contradict the representations at issue, and in </w:t>
      </w:r>
      <w:r>
        <w:rPr>
          <w:rFonts w:ascii="arial" w:eastAsia="arial" w:hAnsi="arial" w:cs="arial"/>
          <w:b/>
          <w:i/>
          <w:color w:val="000000"/>
          <w:sz w:val="20"/>
          <w:lang w:val="en-US" w:eastAsia="en-US" w:bidi="ar-SA"/>
        </w:rPr>
        <w:t>Zippy Print</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Gallen</w:t>
      </w:r>
      <w:r>
        <w:rPr>
          <w:rFonts w:ascii="arial" w:eastAsia="arial" w:hAnsi="arial" w:cs="arial"/>
          <w:color w:val="000000"/>
          <w:sz w:val="20"/>
          <w:lang w:val="en-US" w:eastAsia="en-US" w:bidi="ar-SA"/>
        </w:rPr>
        <w:t xml:space="preserve"> the agreements were contracts of adhesion, which have been construed as ineffective in excluding liability where the exclusion clauses were not brought to the attention of or acknowledged by the party affected by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Taurus Ventures</w:t>
      </w:r>
      <w:r>
        <w:rPr>
          <w:rFonts w:ascii="arial" w:eastAsia="arial" w:hAnsi="arial" w:cs="arial"/>
          <w:color w:val="000000"/>
          <w:sz w:val="20"/>
          <w:lang w:val="en-US" w:eastAsia="en-US" w:bidi="ar-SA"/>
        </w:rPr>
        <w:t>, the entire agreement clause was held to be effective to exclude negligent misrepresentation, given among other things the experience of the plaintiff in commercial transactions and his opportunity to seek answers to any concerns he had about the details of the development. Similarly, in the present case, Mr. Mechar had some experience from a previous share purchase agreement and had an opportunity to obtain a pre-contract appraisal of the aircraft (as he did post-contract). The contract was not only not a contract of adhesion, it was a contract drafted by the plaintiffs' solicitor based on statements of intention drafted by Mr. Mechar.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Taurus Ventures</w:t>
      </w:r>
      <w:r>
        <w:rPr>
          <w:rFonts w:ascii="arial" w:eastAsia="arial" w:hAnsi="arial" w:cs="arial"/>
          <w:color w:val="000000"/>
          <w:sz w:val="20"/>
          <w:lang w:val="en-US" w:eastAsia="en-US" w:bidi="ar-SA"/>
        </w:rPr>
        <w:t>, which the Court of Appeal described as "fundamentally a contract case", a new trial was ordered on the issue of whether the defendant breached a collateral contract on the basis that the trial judge erred in finding no evidence of such a contract, and did not decide whether the entire agreement clause would exclude a collateral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In my view, in the present case, the entire agreement clause excludes a collateral contract, and for substantially the same reasons that it excludes negligent misrepresentation. This is not a case where the plaintiffs were limited in or deprived of the opportunity to obtain an appraisal of the aircraft. Nor is it a case where they signed a standard form contract or a contract prepared by the defendants. There was nothing to prevent the plaintiffs from confirming the market value of the aircraft through an appraisal, or having the defendants warrant the market value of the aircraft in the agreement expressly and explicitly. That they did not do either, and that in addition they included an entire agreement clause in an agreement which they drafted, weighs heavily against finding, on an objective basis, an intention of the parties to create contractual terms around the market value of the aircraft.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In the circumstances, I conclude it would thwart the provisions of clause 12.11 to give effect to the plaintiffs' claim, whether as a claim of negligent misrepresentation or as collateral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I thus dismiss the plaintiffs' application for judgment for damages to be set off against any amount found to be owing by the plaintiffs to the defendants. I also dismiss the plaintiffs' application for an order discharging the specific security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In their amended counter-claim, the defendants seek, in part, the following orders:</w:t>
      </w:r>
      <w:r>
        <w:rPr>
          <w:rFonts w:ascii="arial" w:eastAsia="arial" w:hAnsi="arial" w:cs="arial"/>
          <w:sz w:val="20"/>
          <w:lang w:val="en-US" w:eastAsia="en-US" w:bidi="ar-SA"/>
        </w:rPr>
        <w:cr/>
      </w:r>
    </w:p>
    <w:p>
      <w:pPr>
        <w:numPr>
          <w:numId w:val="2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against the Plaintiffs for the payment of the monthly instalment due on the Promissory Note in the amount of $2,000.00 that was due on August 1, 2007 plus interest at the rate of 7% per annum from and including August 1, 2007 to and including the date of judgment or date of payment, whichever is the sooner;</w:t>
      </w:r>
    </w:p>
    <w:p>
      <w:pPr>
        <w:numPr>
          <w:numId w:val="2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against the Plaintiffs for the payment of the outstanding balance of the principal sum of the Promissory Note in the amount of $85,503.29 plus interest at the rate of 7% per annum from and including August 1, 2007 to and including the date of judgment or date of payment, whichever is the sooner;</w:t>
      </w:r>
    </w:p>
    <w:p>
      <w:pPr>
        <w:numPr>
          <w:numId w:val="2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alternative, interest pursuant to the </w:t>
      </w:r>
      <w:r>
        <w:rPr>
          <w:rFonts w:ascii="arial" w:eastAsia="arial" w:hAnsi="arial" w:cs="arial"/>
          <w:i/>
          <w:color w:val="000000"/>
          <w:sz w:val="20"/>
          <w:lang w:val="en-US" w:eastAsia="en-US" w:bidi="ar-SA"/>
        </w:rPr>
        <w:t>Court Order Interest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79</w:t>
      </w:r>
      <w:r>
        <w:rPr>
          <w:rFonts w:ascii="arial" w:eastAsia="arial" w:hAnsi="arial" w:cs="arial"/>
          <w:color w:val="000000"/>
          <w:sz w:val="20"/>
          <w:lang w:val="en-US" w:eastAsia="en-US" w:bidi="ar-SA"/>
        </w:rPr>
        <w:t xml:space="preserve"> from the 1st day of August, 2007 to the date of judgment or date of payment, whichever is the sooner;</w:t>
      </w:r>
    </w:p>
    <w:p>
      <w:pPr>
        <w:numPr>
          <w:numId w:val="2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against the Plaintiff, YKA Flight Discovery, Ltd. for the payment of the unpaid August 1, 2007 Lease and Sublease instalments in the amount of $1,600.00 plus GST in the amount of $96.00;</w:t>
      </w:r>
    </w:p>
    <w:p>
      <w:pPr>
        <w:numPr>
          <w:numId w:val="2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against the Plaintiff, YKA Flight discovery, Ltd. for the payment of any further monthly Lease and Sublease instalments of $1,600.00 plus GST that become due before judgment;</w:t>
      </w:r>
    </w:p>
    <w:p>
      <w:pPr>
        <w:numPr>
          <w:numId w:val="2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Interest on the Lease and Sublease instalments pursuant to the </w:t>
      </w:r>
      <w:r>
        <w:rPr>
          <w:rFonts w:ascii="arial" w:eastAsia="arial" w:hAnsi="arial" w:cs="arial"/>
          <w:i/>
          <w:color w:val="000000"/>
          <w:sz w:val="20"/>
          <w:lang w:val="en-US" w:eastAsia="en-US" w:bidi="ar-SA"/>
        </w:rPr>
        <w:t>Court Order Interest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79</w:t>
      </w:r>
      <w:r>
        <w:rPr>
          <w:rFonts w:ascii="arial" w:eastAsia="arial" w:hAnsi="arial" w:cs="arial"/>
          <w:color w:val="000000"/>
          <w:sz w:val="20"/>
          <w:lang w:val="en-US" w:eastAsia="en-US" w:bidi="ar-SA"/>
        </w:rPr>
        <w:t xml:space="preserve"> from the 1st day of August, 2007 to the date of judgment or date of payment, whichever is the sooner.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In view of the determination I have made, it is appropriate to grant the defendants judgment for the sum of $85,503.29 plus interest at the rate of 7% per annum from and including August 1, 2007 to and including the date of judgment, or the date of payment, whichever is the sooner.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It is also appropriate to grant the order sought by the defendants for an order against the plaintiff, YKA Flight Discovery, Ltd. for the payment of the unpaid August 1, 2007 lease and sub-lease instalments in the amount of $1,600 plus GST in the amount of $96 together with an order for the payment of any further monthly lease and sub-lease instalments of $1,600 plus GST that become due before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xml:space="preserve">  The defendants are also entitled to interest on the lease and sub-lease instalments pursuant to the </w:t>
      </w:r>
      <w:r>
        <w:rPr>
          <w:rFonts w:ascii="arial" w:eastAsia="arial" w:hAnsi="arial" w:cs="arial"/>
          <w:b/>
          <w:i/>
          <w:color w:val="000000"/>
          <w:sz w:val="20"/>
          <w:lang w:val="en-US" w:eastAsia="en-US" w:bidi="ar-SA"/>
        </w:rPr>
        <w:t>Court Order Interest Act</w:t>
      </w:r>
      <w:r>
        <w:rPr>
          <w:rFonts w:ascii="arial" w:eastAsia="arial" w:hAnsi="arial" w:cs="arial"/>
          <w:color w:val="000000"/>
          <w:sz w:val="20"/>
          <w:lang w:val="en-US" w:eastAsia="en-US" w:bidi="ar-SA"/>
        </w:rPr>
        <w:t xml:space="preserve"> from the 1st day of August, 2007 to the date of judgment or date of payment, whichever is the sooner.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As the plaintiffs have paid amounts into trust on account of the indebtedness, interest and rental payments owing under the contract, I order that the amounts held in trust by counsel for the defendants be paid to the defendants and that amount be offset against the amounts owing by the plaintiffs to the defendants as a consequence of this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In the plaintiffs' amended statement of claim, they sought an order that the defendants "took all necessary steps to assign the head lease to YKA Flight Discovery Ltd.". The order being sought in relation to the head lease is predicated on the plaintiffs' claim that despite YKA's option to assume the head lease exercised on October 5, 2007, the defendants have failed, in breach of the terms of the share purchase agreement, to undertake the necessary steps to facilitate assumption of the head 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The evidentiary basis for the plaintiffs' claim in relation to the lease relates to the dealings between the parties and Kamloops Airport Ltd., the lessor of the property. On August 24, 2007 counsel for the defendants under letter to YKA demanded payment of the rent for the property for August in the sum of $222. In a second letter of the same date, the defendants sent a demand for payment of rent for the building for the month of August in the amount of $1,378. The letters provided notice of termination of the lease and sub-lease effective December 31, 2007 if the payments were not received within ten days of the date of the letter.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Further correspondence ensued between the parties and it was agreed that YKA would pay the rents to counsel for the defendants who would hold them in trust pending agreement of both parties or an order from the court, and that there would be no further action on the demand letters without further written 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On October 5, 2007 Mr. Mechar for 0715257 wrote two letters to the defendants. In one letter, 0715257 informed the defendants that the plaintiff intended to assume the head lease under clause 4.3(e) of the SPA and made "formal demand that the landlords take such steps as are necessary to facilitate our assumption of the head lease on December 31, 2007 ..." In the second letter, 0715257 informed the defendants that it did not intend to exercise its option to purchase the building. The letter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we are assuming the lease of the land on which the building is situate, arrangements must be made to remove the building from the land upon termination of the lease as was anticipated during its negotiation. Please contact the writer at your earliest convenience to schedule a convenient time for removal of the building. Please note, however, that the company will not be responsible for rent during the removal period and that if time is required for the removal of the building after we assume the head lease, the company will expect to be paid rent for the land during that time at an agreed 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Mr. Mechar wrote to the defendants again on October 30, 2007, not having received a response to his letters of October 5,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On November 2, 2007 counsel for the defendants wrote back to Mr. Mechar confirming that the defendants had not retracted the termination notices of the sub-lease/lease in the August 24, 2007 demand letter and acknowledged that the plaintiff, 0715257, wished to assume the defendants' lease. The defendants indicated that they were prepared to take reasonable steps to allow the assumption "without derogating from the termination notices."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The defendants further indicated that the plaintiff should contact the airport manager, Fred Legace, to get the necessary approval of the Kamloops Airport Authority before proceeding with the assignment.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Counsel for the defendants also indicated that they would make arrangements for removal of the building.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Mr. Mechar responded on November 2, 2007 that the plaintiff had Mr. Legace's "verbal approval" and were "simply waiting for receipt of the expected written confirmation before forwarding appropriate documents to your attention."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With respect to the building, the plaintiff asserted that its pricing was contrary to what was agreed when the option was negotiated. Mr. Mechar wrote "... we do not in any way waive our rights with respect to the building or our claims for damages with respect to your client's refusal to honour in good faith our agreed option to purchase the building." In effect, he invited the defendants to reconsider the price they were seeking for the building.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On November 20, 2007 the defendants' counsel wrote Mr. Mechar asking whether he had secured the Kamloops Airport Authority approval for assignment of the head lease. He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previously indicated, our clients are prepared to take reasonable steps to allow you to assume the head lease, but will be taking no further steps until they have received notification that the Kamloops Airport Authority has approved such an assignment.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On November 22, 2007 Mr. Mechar wrote back seeking from the defendants a standard form lease assignment to YKA "forthwith to be submitted to the airport for their approval as they require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On November 28, 2007 counsel for the defendants wrote and pointed out that article 6.01 of the head lease prevents an assignment without the prior consent in writing of the Minister of Transport. On November 30, 2007 Mr. Mechar responded that it was the defendants' obligation to obtain the consent of the Minister and pointed out in the share purchase agreement that the vendors undertook the necessary steps to facilitate assumption of the head 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Further correspondence between the parties ensued and on December 20, 2007 counsel for the defendants wrote to Mr. Mechar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Please find enclosed a copy of the Assignment of Lease we have drafted to facilitate the assignment of the Head Lease between our clients and Her Majesty the Queen, to YKA Flight Discovery Ltd. Please review the document. Should you have any questions or concerns about the terms of the Assignment please contact the writer.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are also forwarding a copy of the Assignment of Lease to Mr. Fred Legace, the representative of the Kamloops Airport Ltd., for his consideration. A copy of our cover letter to him is enclosed.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Should Mr. Legace be prepared to consent to the proposed Assignment, we have asked that he sign the Consent document attached to the Assignment of Lease document and return the signed Consent document to our office. We will in turn, provide you with a copy of the signed Consent document, along with a final copy of the Assignment of Lease for your signature.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trust the above to be in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The defendants also sent the following letter to Mr. Legace of Kamloops Airport Ltd.: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Please find enclosed a copy of the Assignment of Lease we have drafted to facilitate the assignment of the Head Lease between our clients, Samuel Longiaru and Diane McKelvey, and Her Majesty The Queen, to YKA Flight Discovery Ltd. We would ask that you please review the document and advise the writer as to whether you are prepared to consent to the proposed assignment.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Should you be prepared to consent to the proposed assignment, we would ask that sign [sic] the Consent document attached to the Assignment of Lease and return the signed Consent to our office. We will in turn provide you with a final copy of the Assignment of Lease with the signatures of Samuel Longiaru, Diane McKelvey, and the signatory for YKA Flight Discovery Ltd.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Should you not be prepared to consent to the proposed assignment, please advise the writer accordingly.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Mr. Mechar deposed as follows in his January 11, 2008 affidavit with respect to his dealings with Mr. Legace: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or about January 8, 2008, I had a telephone conversation with Mr. Fred Legace, the manager of the Kamloops Airport, who advised me that he was consulting with legal counsel for the airport with respect to the assignment of the Defendants land lease to the Plaintiff YKA Flight Discovery, Ltd. and that the Defendants had made a demolition request for the building that was situate on the land which the airport was not prepared to grant and that as a result, and for that reason alone, approval of the lease assignment required further research and time before being resolved.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a result of the above noted conversation with Mr. Legace, it is my information and belief that the Kamloops Airport intends to refuse permission to demolish the building at this time and to take ownership of the building under the terms of the land lease being assigned and to approve the assignment of that land lease by the Defendants to the Plaintiff YKA Flight Discovery, Ltd. Attached hereto and marked as Exhibit G is a true copy of an extract from that land lease with respect to the ownership of improvements made to the 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Subsequently, on January 22, 2008 Kamloops Airport Ltd. sent a memorandum to the parties providing a conditional approval of the proposed assignment of the lease. The conditions which the approval was subject to were set out in clause 2.1 of the memo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Kamloops Airport Ltd. is prepared to consent to the Proposed Assignment subject to compliance with the following conditions:</w:t>
      </w:r>
    </w:p>
    <w:p>
      <w:pPr>
        <w:numPr>
          <w:numId w:val="3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proof of the Assignee's financial ability (or that of an acceptable guarantor) to abide by the terms of the Lease on or before February 5, 2008;</w:t>
      </w:r>
    </w:p>
    <w:p>
      <w:pPr>
        <w:numPr>
          <w:numId w:val="3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discharge of the Rosekrans Mortgage or a consent from the Rosekrans, as mortgagee, to the assignment of the Lease;</w:t>
      </w:r>
    </w:p>
    <w:p>
      <w:pPr>
        <w:numPr>
          <w:numId w:val="3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payment of the costs of Kamloops Airport Ltd. including legal costs on a solicitor and own client basis in respect of the Assignment (and the approval of the Assignment) and in respect of the court proceedings between the Assignee and Assignor;</w:t>
      </w:r>
    </w:p>
    <w:p>
      <w:pPr>
        <w:numPr>
          <w:numId w:val="3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receipt of a written covenant (either in the Assignment or in a separate modification to the Lease) of the Assignee in favour of Kamloops Airport Ltd. in form and substance satisfactory to Kamloops Airport Ltd. that:</w:t>
      </w:r>
    </w:p>
    <w:p>
      <w:pPr>
        <w:numPr>
          <w:numId w:val="3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Assignee adopts all of the covenants of the tenant in Lease No. Pacific 3395 and all amendments thereto and confirms the purpose for which Parcel 37 and the Building will be put will comply [sic] with Article 2 of the Lease; and</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neither the Assignee or the Assignor will demolish, alter or remove the Building without written consent of Kamloops Airport Ltd.; and</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change of control of a corporate tenant constitutes an assignment for the purposes of the Lease.</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applicable, a guarantee for the due performance of the Assignee's obligations under the Lease;</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completion of the above by February 12, 2008 unless otherwise stated; and</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payment of all unpaid outstanding amounts (if any) due under the 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In addition, the memorandum provided for a process for demolishing and removing the building on the leasehold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In an affidavit dated February 29, 2008, Mr. Mechar deposed that "the conditions set out in the memorandum from Kamloops Airport Ltd. are acceptable to the plaintiffs on the assumption that the business of YKA will continue to be operated from the building leased from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Previously, on February 4, 2008, Mr. Mechar had written Mr. Legace "requesting that the deadlines listed in your memorandum be pushed back until after the upcoming hearing, which we expect to effectively finish the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In the meantime, after Mr. Longiaru received the January 23, 2008 memo from Mr. Legace, he proposed an alternative proposal which was sent to Mr. Legace and Mr. Mechar by counsel for the defendants on January 31, 2008. Mr. Mechar responded, indicating he was not prepared to proceed with the assignment under the alternative proposal. Mr. Legace, on the other hand, deposed that the January 22, 2008 memorandum had been revoked and he was prepared to and preferred to consent to the assignment of the lease on the basis of the alternate proposal.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In his affidavit sworn on March 25, 2008, Mr. Legace denied that he ever told Mr. Longiaru that Kamloops Airport Ltd. would never approve or allow the building to be removed from the property. He denied the assertion in Mr. Mechar's affidavit of January 11, 2008 that it was his intention to refuse approval for the dismantling of the building, but he indicated that an application would have to be made in accordance with the January 22, 2008 memorandum.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In their amended statement of defence and counterclaim, the defendants assert that they had issued a notice of termination of both the lease and sub-lease, effective December 31, 2007, but the plaintiff YKA has refused to vacate the building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In relation to the lease and sub-lease, the defendants seek the following relief in their amended counter-claim:</w:t>
      </w:r>
      <w:r>
        <w:rPr>
          <w:rFonts w:ascii="arial" w:eastAsia="arial" w:hAnsi="arial" w:cs="arial"/>
          <w:sz w:val="20"/>
          <w:lang w:val="en-US" w:eastAsia="en-US" w:bidi="ar-SA"/>
        </w:rPr>
        <w:cr/>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declaration that the Plaintiff, YKA Flight Discovery Ltd. ("YKA"), is in default of terms of the sublease of land dated August 1, 2005, between the Plaintiffs and the Defendants (the "Land Sublease");</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declaration that YKA is in default of the terms of the lease of a building dated August 1, 2005, between the Plaintiff and the Defendants (the "Building Lease");</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declaration that the Land Sublease and the Building Lease are terminated;</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that the Plaintiff forthwith deliver vacant possession of the land which is the subject matter of the Land Sublease and the building which is the subject matter of the Building Lease to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I conclude that neither party is entitled to the relief they seek in connection with the lease of the building and the sub-lease of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So far as the plaintiff YKA is concerned, I am not satisfied that the defendants have acted so as to breach the terms of the share purchase agreement by failing to undertake the necessary steps to facilitate the assignment of the lease. Both parties were confronted with circumstances that impeded resolution of the issues, including: 1) the plaintiffs wished to exercise their option to assume the head lease but were unwilling to purchase the building given the price sought by the defendants; (2) the approval of a third party was necessary for the assignment of the head lease and the removal of the building; and (3) a determination of the parties' rights and obligations was dependent on the results of ongoing litigation. In those circumstances, I am not satisfied that it was unreasonable for the defendants to make an alternate proposal conditioning approval of an assignment of the head lease, or that that proposal constituted a breach of the defendants' obligations under the share purchase agreement to undertake the necessary steps to facilitate the assumption of the head 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Moreover, I conclude further that any order I could make would not bind Kamloops Airport Ltd., which is not a party to this action, and which has an independent function to perform. For those reasons I would not make the order sought by the plaintiff YKA in relation to the 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Insofar as the orders sought by the defendants are concerned, I am not satisfied it is appropriate to order that the plaintiffs deliver vacant possession of either the building or the property to the defendants as I am not satisfied that the plaintiffs are in default under either the sub-lease of the property or the lease of the building.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After launching this action, Mr. Mechar sent an email to then counsel for the defendants. The email read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One point that we did not have the opportunity to discuss but that needs to be addressed is the rent which Flight Discovery pays to Mr. Longiaru monthly.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Our position is that after our claims of indemnity are totalled that, in fact, the Vendors owe us money. Further, we feel that a portion of the rent, from our perspective, has been to pay for the options we have with respect to the land and the building, and that we are not getting what we've paid for. So, while we do not want to withhold our rent, we wish to pay it into Court pending the outcome of the proceeding.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Are you amenable to an agreement that we deliver our monthly rent to you to be held in an interest bearing trust which may only be paid out with the written agreement of the parties or Order of the Court?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have our August rent cheque ready to deliver and we do not want to withhold our rent as we do not want to create the impression or permit the suggestion that we simply do not have the money but at the same time. [sic]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Thank You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No response was received by the plaintiffs from counsel for the defendants until August 24, 2007, when counsel for the defendants sent the demand letters requiring full payment under the lease and sub-lease within ten days, and asserting "In the event that you pay the Indebtedness within ten (10) days as demanded, our clients hereby give you notice now that the Lease will be terminated on December 31,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Thereafter, the defendants, through counsel, agreed to accept the rental payments for the lease and sub-lease, in trust, and to take no further action on the demand loan. The defendants' counsel reserved the right to pursue the defendants' remedies as of the deadline set out in the demand letters "subject to our client's requirement to provide you with further 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The defendants have continued thereafter to accept the rental payments in trust in accordance with the agreement until the time of the hearing at which they sought and were granted an order that the defendants be permitted to receive the rental payments directly. The defendants have taken no steps to provide the plaintiffs with further notice of termination of the lease and sub-lease as of December 31, 2007 or as of any other date. The defendants have throughout acted inconsistently with such an intention. In the result, I would dismiss the defendants' application for orders as set out in their counterclaim in paragraphs (h) through (k) inclusive.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As the defendants have had substantial success on this application, I would order costs to the defendants on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A.F. CULLEN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74" style="position:absolute;z-index:25186918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89"/>
          <w:headerReference w:type="default" r:id="rId190"/>
          <w:footerReference w:type="even" r:id="rId191"/>
          <w:footerReference w:type="default" r:id="rId192"/>
          <w:headerReference w:type="first" r:id="rId193"/>
          <w:footerReference w:type="first" r:id="rId19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95" w:history="1">
        <w:r>
          <w:rPr>
            <w:rFonts w:ascii="arial" w:eastAsia="arial" w:hAnsi="arial" w:cs="arial"/>
            <w:b/>
            <w:bCs/>
            <w:i/>
            <w:color w:val="0077CC"/>
            <w:kern w:val="32"/>
            <w:sz w:val="28"/>
            <w:szCs w:val="32"/>
            <w:u w:val="single"/>
            <w:shd w:val="clear" w:color="auto" w:fill="FFFFFF"/>
            <w:lang w:val="en-US" w:eastAsia="en-US" w:bidi="ar-SA"/>
          </w:rPr>
          <w:t>Atlantic Waste Systems Ltd. v. Canada (Attorney General), [2014] B.C.J. No. 510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G.S. Funt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21, September 27 and October 28-29,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24,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S110843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[2014] B.C.J. No. 510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BCSC 490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CarswellBC 782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239 A.C.W.S. (3d) 64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85 C.E.L.R. (3d) 318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Atlantic Waste Systems Ltd., Plaintiff, and Attorney General of Canada and Optimal Collections &amp; Tracing Services Ltd.,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75" style="position:absolute;z-index:2516684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72" w:name="Keywords_8"/>
      <w:bookmarkEnd w:id="72"/>
      <w:r>
        <w:rPr>
          <w:rFonts w:ascii="arial" w:eastAsia="arial" w:hAnsi="arial" w:cs="arial"/>
          <w:b/>
          <w:color w:val="000000"/>
          <w:sz w:val="20"/>
          <w:lang w:val="en-US" w:eastAsia="en-US" w:bidi="ar-SA"/>
        </w:rPr>
        <w:t>Civil litigation — Civil procedure — Parties — Adding or substituting — Motion by defendant Attorney General to amend counterclaim and add Mann, director and officer of plaintiff and Hemmera Envirochem, plaintiff's environmental consultant as defendants to counterclaim allowed — Plaintiff operated landfill site on Indian Reserve and sued for damages when defendant terminated its lease — Defendant counterclaimed for remediation costs incurred due to contamination of site caused by discharge of untreated leachate — Defendant established possible cause of action against both proposed defendants under Fisheries Act and Environmental Management Act — Adding both parties as defendants by way of counterclaim would be just and convenient.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Environmental law — Environmental liability — Personal and corporate liability — Motion by defendant Attorney General to amend counterclaim and add Mann, director and officer of plaintiff and Hemmera Envirochem, plaintiff's environmental consultant as defendants to counterclaim allowed — Plaintiff operated landfill site on Indian Reserve and sued for damages when defendant terminated its lease — Defendant counterclaimed for remediation costs incurred due to contamination of site caused by discharge of untreated leachate — Defendant established possible cause of action against both proposed defendants under Fisheries Act and Environmental Management Act — Adding both parties as defendants by way of counterclaim would be just and convenient.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73" w:name="Case Summary_8"/>
            <w:bookmarkEnd w:id="7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Motion by the defendant Attorney General to amend the counterclaim and add Mann and Hemmera Envirochem as defendants to the counterclaim. The plaintiff operated a landfill site on an Indian Reserve pursuant to a lease agreement with the defendant. When the defendant terminated the lease, the plaintiff sued for damages. The defendant counterclaimed for remediation costs, alleging that the plaintiff failed to cure various breaches of the lease by allowing untreated leachate to be discharged into the soil and groundwater. The defendant alleged Mann was the director and officer of the plaintiff who had both legal and actual control of the plaintiff at the material time. Hemmera was retained by Atlantic as its environmental consultant, and to monitor and report annually on the environmental conditions of the premises during the time of the lease. The defendant alleged Hemmera failed to provide for regular and sufficient sampling, testing and reporting.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74" w:name="Holdings of Court_7"/>
            <w:bookmarkEnd w:id="74"/>
            <w:r>
              <w:rPr>
                <w:rFonts w:ascii="arial" w:eastAsia="arial" w:hAnsi="arial" w:cs="arial"/>
                <w:color w:val="000000"/>
                <w:sz w:val="20"/>
                <w:lang w:val="en-US" w:eastAsia="en-US" w:bidi="ar-SA"/>
              </w:rPr>
              <w:t>HELD: Motion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defendant had met the threshold of establishing a possible cause of action against both proposed defendants under the Fisheries Act and the Environmental Management Act. Adding both parties as defendants by way of counterclaim would be just and convenient to decide the issue between the parties. Mann, as director, manager and officer of Atlantic had a strong connection to the existing proceedings. There was a real connection between the existing action and Hemmera as a result of Hemmera's involvement with the landfill for over six years. The delay in adding Hemmera did not give rise to significant prejudice. A future award of costs could address any injustice if such were to arise.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75" w:name="Legislation Cited_8"/>
      <w:bookmarkEnd w:id="7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76" style="position:absolute;z-index:2517196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Contaminated Sites Regulation, </w:t>
      </w:r>
      <w:hyperlink r:id="rId196" w:history="1">
        <w:r>
          <w:rPr>
            <w:rFonts w:ascii="arial" w:eastAsia="arial" w:hAnsi="arial" w:cs="arial"/>
            <w:i/>
            <w:color w:val="0077CC"/>
            <w:sz w:val="20"/>
            <w:u w:val="single"/>
            <w:shd w:val="clear" w:color="auto" w:fill="FFFFFF"/>
            <w:lang w:val="en-US" w:eastAsia="en-US" w:bidi="ar-SA"/>
          </w:rPr>
          <w:t>B.C. Reg. 375/96, s. 35</w:t>
        </w:r>
      </w:hyperlink>
      <w:r>
        <w:rPr>
          <w:rFonts w:ascii="arial" w:eastAsia="arial" w:hAnsi="arial" w:cs="arial"/>
          <w:color w:val="000000"/>
          <w:sz w:val="20"/>
          <w:lang w:val="en-US" w:eastAsia="en-US" w:bidi="ar-SA"/>
        </w:rPr>
        <w:t>(4)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Environmental Management Act, </w:t>
      </w:r>
      <w:hyperlink r:id="rId197" w:history="1">
        <w:r>
          <w:rPr>
            <w:rFonts w:ascii="arial" w:eastAsia="arial" w:hAnsi="arial" w:cs="arial"/>
            <w:i/>
            <w:color w:val="0077CC"/>
            <w:sz w:val="20"/>
            <w:u w:val="single"/>
            <w:shd w:val="clear" w:color="auto" w:fill="FFFFFF"/>
            <w:lang w:val="en-US" w:eastAsia="en-US" w:bidi="ar-SA"/>
          </w:rPr>
          <w:t>SBC 2003, CHAPTER 53, s. 39</w:t>
        </w:r>
      </w:hyperlink>
      <w:r>
        <w:rPr>
          <w:rFonts w:ascii="arial" w:eastAsia="arial" w:hAnsi="arial" w:cs="arial"/>
          <w:color w:val="000000"/>
          <w:sz w:val="20"/>
          <w:lang w:val="en-US" w:eastAsia="en-US" w:bidi="ar-SA"/>
        </w:rPr>
        <w:t>(1), s. 44, s. 45(1), s. 47, s. 47(8)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Fisheries Act, </w:t>
      </w:r>
      <w:hyperlink r:id="rId198" w:history="1">
        <w:r>
          <w:rPr>
            <w:rFonts w:ascii="arial" w:eastAsia="arial" w:hAnsi="arial" w:cs="arial"/>
            <w:i/>
            <w:color w:val="0077CC"/>
            <w:sz w:val="20"/>
            <w:u w:val="single"/>
            <w:shd w:val="clear" w:color="auto" w:fill="FFFFFF"/>
            <w:lang w:val="en-US" w:eastAsia="en-US" w:bidi="ar-SA"/>
          </w:rPr>
          <w:t>R.S.C. 1985, c. F-14, s. 42</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Rules of Court, </w:t>
      </w:r>
      <w:r>
        <w:rPr>
          <w:rFonts w:ascii="arial" w:eastAsia="arial" w:hAnsi="arial" w:cs="arial"/>
          <w:i/>
          <w:color w:val="000000"/>
          <w:sz w:val="20"/>
          <w:lang w:val="en-US" w:eastAsia="en-US" w:bidi="ar-SA"/>
        </w:rPr>
        <w:t>B.C. Reg. 168/2009, Rule 6-1</w:t>
      </w:r>
      <w:r>
        <w:rPr>
          <w:rFonts w:ascii="arial" w:eastAsia="arial" w:hAnsi="arial" w:cs="arial"/>
          <w:color w:val="000000"/>
          <w:sz w:val="20"/>
          <w:lang w:val="en-US" w:eastAsia="en-US" w:bidi="ar-SA"/>
        </w:rPr>
        <w:t>(7)(c)</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76" w:name="Counsel_9"/>
      <w:bookmarkEnd w:id="7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77" style="position:absolute;z-index:2517708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and B. Mann: D.G. Perry.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the Attorney General of Canada: J.M. MacKenzie; M.K. Bulmer.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Attorney General of British Columbia: J.J. Oliphant.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Hemmera Envirochem Inc.: J.M. Sullivan; L. Cundari.</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77" w:name="Judgment_9"/>
      <w:bookmarkEnd w:id="77"/>
      <w:r>
        <w:pict>
          <v:line id="_x0000_s1078" style="position:absolute;z-index:25182105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0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78" w:name="G.S. FUNT J."/>
            <w:bookmarkEnd w:id="78"/>
            <w:r>
              <w:rPr>
                <w:rFonts w:ascii="arial" w:eastAsia="arial" w:hAnsi="arial" w:cs="arial"/>
                <w:b/>
                <w:color w:val="000000"/>
                <w:sz w:val="30"/>
                <w:lang w:val="en-US" w:eastAsia="en-US" w:bidi="ar-SA"/>
              </w:rPr>
              <w:t>G.S. FUNT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INTRODUCTION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defendant in this proceeding, the Attorney General of Canada ("AG of Canada") filed a counterclaim against the plaintiff, Atlantic Waste Systems Ltd. ("Atlantic"). The AG of Canada has now applied to amend its counterclaim and add, as defendants by way of counterclaim, Mr. Brent Mann and Hemmera Envirochem Inc. ("Hemmera").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At the outset of the hearing, the plaintiff consented to the amendment of the counterclaim. The outstanding application is the proposed addition of Mr. Mann and Hemmera as defendants by way of counterclaim.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AG of Canada's proposed grounds for adding Mr. Mann and Hemmera are distinct, although they are based on many common pleaded facts and legislative provisions.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threshold for adding parties is low, reflecting the 19th century reforms effected by the </w:t>
      </w:r>
      <w:r>
        <w:rPr>
          <w:rFonts w:ascii="arial" w:eastAsia="arial" w:hAnsi="arial" w:cs="arial"/>
          <w:i/>
          <w:color w:val="000000"/>
          <w:sz w:val="20"/>
          <w:lang w:val="en-US" w:eastAsia="en-US" w:bidi="ar-SA"/>
        </w:rPr>
        <w:t>Supreme Court of Judicature Act 1873</w:t>
      </w:r>
      <w:r>
        <w:rPr>
          <w:rFonts w:ascii="arial" w:eastAsia="arial" w:hAnsi="arial" w:cs="arial"/>
          <w:color w:val="000000"/>
          <w:sz w:val="20"/>
          <w:lang w:val="en-US" w:eastAsia="en-US" w:bidi="ar-SA"/>
        </w:rPr>
        <w:t xml:space="preserve">, 36 &amp; 37 Vict, c. 66, and </w:t>
      </w:r>
      <w:r>
        <w:rPr>
          <w:rFonts w:ascii="arial" w:eastAsia="arial" w:hAnsi="arial" w:cs="arial"/>
          <w:i/>
          <w:color w:val="000000"/>
          <w:sz w:val="20"/>
          <w:lang w:val="en-US" w:eastAsia="en-US" w:bidi="ar-SA"/>
        </w:rPr>
        <w:t>Supreme Court of Judicature Act 1875</w:t>
      </w:r>
      <w:r>
        <w:rPr>
          <w:rFonts w:ascii="arial" w:eastAsia="arial" w:hAnsi="arial" w:cs="arial"/>
          <w:color w:val="000000"/>
          <w:sz w:val="20"/>
          <w:lang w:val="en-US" w:eastAsia="en-US" w:bidi="ar-SA"/>
        </w:rPr>
        <w:t>, 38 &amp; 39 Vict, c. 77 [collectively, the "</w:t>
      </w:r>
      <w:r>
        <w:rPr>
          <w:rFonts w:ascii="arial" w:eastAsia="arial" w:hAnsi="arial" w:cs="arial"/>
          <w:i/>
          <w:color w:val="000000"/>
          <w:sz w:val="20"/>
          <w:lang w:val="en-US" w:eastAsia="en-US" w:bidi="ar-SA"/>
        </w:rPr>
        <w:t>Judicature Acts</w:t>
      </w:r>
      <w:r>
        <w:rPr>
          <w:rFonts w:ascii="arial" w:eastAsia="arial" w:hAnsi="arial" w:cs="arial"/>
          <w:color w:val="000000"/>
          <w:sz w:val="20"/>
          <w:lang w:val="en-US" w:eastAsia="en-US" w:bidi="ar-SA"/>
        </w:rPr>
        <w:t>"], and the rules scheduled. For each of Mr. Mann and Hemmera, the AG of Canada has stepped over the threshold.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the result, I will allow the AG of Canada's application to add Mr. Mann and Hemmera as defendants by way of counterclaim.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II.</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GENERAL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A.</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Background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dispute arises from the operation by Atlantic of a landfill on the Langley Indian Reserve No. 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March 1994, Atlantic entered a lease with Her Majesty in right of Canada ("Canada") as represented by the Minister of Indian Affairs and Northern Development (the "Minister") on behalf of the Kwantlen First Nation for a term from May 1, 1994 to April 30, 2012 (the "Lease"). Atlantic has filed a claim for damages and other relief, pleading that Canada wrongfully terminated the Lease on February 1,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Under the </w:t>
      </w:r>
      <w:r>
        <w:rPr>
          <w:rFonts w:ascii="arial" w:eastAsia="arial" w:hAnsi="arial" w:cs="arial"/>
          <w:i/>
          <w:color w:val="000000"/>
          <w:sz w:val="20"/>
          <w:lang w:val="en-US" w:eastAsia="en-US" w:bidi="ar-SA"/>
        </w:rPr>
        <w:t>Crown Liability and Proceedings Act</w:t>
      </w:r>
      <w:r>
        <w:rPr>
          <w:rFonts w:ascii="arial" w:eastAsia="arial" w:hAnsi="arial" w:cs="arial"/>
          <w:color w:val="000000"/>
          <w:sz w:val="20"/>
          <w:lang w:val="en-US" w:eastAsia="en-US" w:bidi="ar-SA"/>
        </w:rPr>
        <w:t xml:space="preserve">, </w:t>
      </w:r>
      <w:hyperlink r:id="rId199" w:history="1">
        <w:r>
          <w:rPr>
            <w:rFonts w:ascii="arial" w:eastAsia="arial" w:hAnsi="arial" w:cs="arial"/>
            <w:i/>
            <w:color w:val="0077CC"/>
            <w:sz w:val="20"/>
            <w:u w:val="single"/>
            <w:shd w:val="clear" w:color="auto" w:fill="FFFFFF"/>
            <w:lang w:val="en-US" w:eastAsia="en-US" w:bidi="ar-SA"/>
          </w:rPr>
          <w:t>R.S.C. 1985, c. C-50</w:t>
        </w:r>
      </w:hyperlink>
      <w:r>
        <w:rPr>
          <w:rFonts w:ascii="arial" w:eastAsia="arial" w:hAnsi="arial" w:cs="arial"/>
          <w:color w:val="000000"/>
          <w:sz w:val="20"/>
          <w:lang w:val="en-US" w:eastAsia="en-US" w:bidi="ar-SA"/>
        </w:rPr>
        <w:t>, Atlantic has brought proceedings against the Crown in the name of the AG of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By way of response and counterclaim, the AG of Canada has pleaded:</w:t>
      </w:r>
      <w:r>
        <w:rPr>
          <w:rFonts w:ascii="arial" w:eastAsia="arial" w:hAnsi="arial" w:cs="arial"/>
          <w:sz w:val="20"/>
          <w:lang w:val="en-US" w:eastAsia="en-US" w:bidi="ar-SA"/>
        </w:rPr>
        <w:cr/>
      </w:r>
    </w:p>
    <w:p>
      <w:pPr>
        <w:numPr>
          <w:numId w:val="10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February 1, 2011, the Minister terminated the Lease for "Atlantic's failure to cure various breaches of the Lease";</w:t>
      </w:r>
    </w:p>
    <w:p>
      <w:pPr>
        <w:numPr>
          <w:numId w:val="10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Atlantic's landfill operations generated leachate;</w:t>
      </w:r>
    </w:p>
    <w:p>
      <w:pPr>
        <w:numPr>
          <w:numId w:val="10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Atlantic failed to contain untreated leachate within the "Leachate Management System" it was contractually obligated to construct and operate under the Lease;</w:t>
      </w:r>
    </w:p>
    <w:p>
      <w:pPr>
        <w:numPr>
          <w:numId w:val="10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a consequence of Atlantic's failure, untreated leachate was discharged into the soil, groundwater, surface water, and sediment on the Reserve;</w:t>
      </w:r>
    </w:p>
    <w:p>
      <w:pPr>
        <w:numPr>
          <w:numId w:val="10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the "deposit and/or serious and imminent danger of deposit of such leachate into Albion Creek and/or the Fraser River";</w:t>
      </w:r>
    </w:p>
    <w:p>
      <w:pPr>
        <w:numPr>
          <w:numId w:val="10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Atlantic failed to undertake the monitoring program under the terms of the Lease which included taking samples on a quarterly basis;</w:t>
      </w:r>
    </w:p>
    <w:p>
      <w:pPr>
        <w:numPr>
          <w:numId w:val="10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Atlantic failed to undertake a contingency program under the terms of the Lease where, for example, leachate quality exceeded the applicable standards;</w:t>
      </w:r>
    </w:p>
    <w:p>
      <w:pPr>
        <w:numPr>
          <w:numId w:val="10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"Atlantic excavated soils and other materials ... without the Minister's consent"; and</w:t>
      </w:r>
    </w:p>
    <w:p>
      <w:pPr>
        <w:numPr>
          <w:numId w:val="10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numerous occasions, Atlantic accepted, stored, dispensed, deposited, dumped and/or buried waste materials not permitted by the terms of the 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B.</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Mr. Mann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Part 1: Statement of Facts</w:t>
      </w:r>
      <w:r>
        <w:rPr>
          <w:rFonts w:ascii="arial" w:eastAsia="arial" w:hAnsi="arial" w:cs="arial"/>
          <w:color w:val="000000"/>
          <w:sz w:val="20"/>
          <w:lang w:val="en-US" w:eastAsia="en-US" w:bidi="ar-SA"/>
        </w:rPr>
        <w:t xml:space="preserve"> of the proposed amended counterclaim, the AG of Canada has pleaded with respect to Mr. Mann:</w:t>
      </w:r>
      <w:r>
        <w:rPr>
          <w:rFonts w:ascii="arial" w:eastAsia="arial" w:hAnsi="arial" w:cs="arial"/>
          <w:sz w:val="20"/>
          <w:lang w:val="en-US" w:eastAsia="en-US" w:bidi="ar-SA"/>
        </w:rPr>
        <w:cr/>
      </w:r>
    </w:p>
    <w:p>
      <w:pPr>
        <w:numPr>
          <w:numId w:val="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[Mr. Mann] has been and continues to be a manager, director and officer of Atlantic, with an address at [12345] Wildwood Place, Surrey, British Columbia. At all material times, [Mr. Mann] had both legal and actual control of Atlantic's operations and activities, including day-to-day management, direction, and overseeing of Atlantic's environmental policies and practices on the Premises.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[Mr. Mann's] Involvement</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At all material times, [Mr. Mann] was managing, directing and overseeing Atlantic's operations, including design and implementation of the Leachate Management Program, the Monitoring Program, the Gas Monitoring Program and the Contingency Program.</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Contamination</w:t>
      </w:r>
    </w:p>
    <w:p>
      <w:pPr>
        <w:numPr>
          <w:numId w:val="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Atlantic's, [Mr. Mann's] and/or Hemmera's operations, activities and omissions have caused or contributed, and continue to cause or contribute, to the entry of various contaminants, including contaminated leachate and hydrocarbons into the soils, groundwater, surface waters and/or sediments on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 AG of Canada, in </w:t>
      </w:r>
      <w:r>
        <w:rPr>
          <w:rFonts w:ascii="arial" w:eastAsia="arial" w:hAnsi="arial" w:cs="arial"/>
          <w:i/>
          <w:color w:val="000000"/>
          <w:sz w:val="20"/>
          <w:lang w:val="en-US" w:eastAsia="en-US" w:bidi="ar-SA"/>
        </w:rPr>
        <w:t>Part 3: Legal Basis</w:t>
      </w:r>
      <w:r>
        <w:rPr>
          <w:rFonts w:ascii="arial" w:eastAsia="arial" w:hAnsi="arial" w:cs="arial"/>
          <w:color w:val="000000"/>
          <w:sz w:val="20"/>
          <w:lang w:val="en-US" w:eastAsia="en-US" w:bidi="ar-SA"/>
        </w:rPr>
        <w:t xml:space="preserve"> of the proposed amended counterclaim, states that Mr. Mann is liable under s. 42 of the </w:t>
      </w:r>
      <w:r>
        <w:rPr>
          <w:rFonts w:ascii="arial" w:eastAsia="arial" w:hAnsi="arial" w:cs="arial"/>
          <w:i/>
          <w:color w:val="000000"/>
          <w:sz w:val="20"/>
          <w:lang w:val="en-US" w:eastAsia="en-US" w:bidi="ar-SA"/>
        </w:rPr>
        <w:t>Fisheries Act</w:t>
      </w:r>
      <w:r>
        <w:rPr>
          <w:rFonts w:ascii="arial" w:eastAsia="arial" w:hAnsi="arial" w:cs="arial"/>
          <w:color w:val="000000"/>
          <w:sz w:val="20"/>
          <w:lang w:val="en-US" w:eastAsia="en-US" w:bidi="ar-SA"/>
        </w:rPr>
        <w:t xml:space="preserve">, </w:t>
      </w:r>
      <w:hyperlink r:id="rId200" w:history="1">
        <w:r>
          <w:rPr>
            <w:rFonts w:ascii="arial" w:eastAsia="arial" w:hAnsi="arial" w:cs="arial"/>
            <w:i/>
            <w:color w:val="0077CC"/>
            <w:sz w:val="20"/>
            <w:u w:val="single"/>
            <w:shd w:val="clear" w:color="auto" w:fill="FFFFFF"/>
            <w:lang w:val="en-US" w:eastAsia="en-US" w:bidi="ar-SA"/>
          </w:rPr>
          <w:t>R.S.C. 1985, c. F-14</w:t>
        </w:r>
      </w:hyperlink>
      <w:r>
        <w:rPr>
          <w:rFonts w:ascii="arial" w:eastAsia="arial" w:hAnsi="arial" w:cs="arial"/>
          <w:color w:val="000000"/>
          <w:sz w:val="20"/>
          <w:lang w:val="en-US" w:eastAsia="en-US" w:bidi="ar-SA"/>
        </w:rPr>
        <w:t xml:space="preserve">, and is a "responsible person" under the </w:t>
      </w:r>
      <w:r>
        <w:rPr>
          <w:rFonts w:ascii="arial" w:eastAsia="arial" w:hAnsi="arial" w:cs="arial"/>
          <w:i/>
          <w:color w:val="000000"/>
          <w:sz w:val="20"/>
          <w:lang w:val="en-US" w:eastAsia="en-US" w:bidi="ar-SA"/>
        </w:rPr>
        <w:t>Environmental Management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2003, c. 53</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EMA</w:t>
      </w:r>
      <w:r>
        <w:rPr>
          <w:rFonts w:ascii="arial" w:eastAsia="arial" w:hAnsi="arial" w:cs="arial"/>
          <w:color w:val="000000"/>
          <w:sz w:val="20"/>
          <w:lang w:val="en-US" w:eastAsia="en-US" w:bidi="ar-SA"/>
        </w:rPr>
        <w:t xml:space="preserve">") liable under s. 47 of the </w:t>
      </w:r>
      <w:r>
        <w:rPr>
          <w:rFonts w:ascii="arial" w:eastAsia="arial" w:hAnsi="arial" w:cs="arial"/>
          <w:i/>
          <w:color w:val="000000"/>
          <w:sz w:val="20"/>
          <w:lang w:val="en-US" w:eastAsia="en-US" w:bidi="ar-SA"/>
        </w:rPr>
        <w:t>EMA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Stripped to essentials for the case at bar, s. 42 of the </w:t>
      </w:r>
      <w:r>
        <w:rPr>
          <w:rFonts w:ascii="arial" w:eastAsia="arial" w:hAnsi="arial" w:cs="arial"/>
          <w:i/>
          <w:color w:val="000000"/>
          <w:sz w:val="20"/>
          <w:lang w:val="en-US" w:eastAsia="en-US" w:bidi="ar-SA"/>
        </w:rPr>
        <w:t>Fisheries Act</w:t>
      </w:r>
      <w:r>
        <w:rPr>
          <w:rFonts w:ascii="arial" w:eastAsia="arial" w:hAnsi="arial" w:cs="arial"/>
          <w:color w:val="000000"/>
          <w:sz w:val="20"/>
          <w:lang w:val="en-US" w:eastAsia="en-US" w:bidi="ar-SA"/>
        </w:rPr>
        <w:t xml:space="preserve"> reads:</w:t>
      </w:r>
      <w:r>
        <w:rPr>
          <w:rFonts w:ascii="arial" w:eastAsia="arial" w:hAnsi="arial" w:cs="arial"/>
          <w:sz w:val="20"/>
          <w:lang w:val="en-US" w:eastAsia="en-US" w:bidi="ar-SA"/>
        </w:rPr>
        <w:cr/>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(1) Where there occurs a deposit of a deleterious substance in water frequented by fish ... or a serious and imminent danger thereof by reason of any condition, the persons who at any material time</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own the deleterious substance or have the charge, management or control thereof, or</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are persons other than those described in paragraph (a) who cause or contribute to the causation of the deposit or danger thereof,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are, subject to subsection (4) in the case of the persons referred to in paragraph (a) and to the extent determined according to their respective degrees of fault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case of the persons referred to in paragraph (b), jointly and severally liable for all costs and expenses incurred by Her Majesty in right of Canada or a province, to the extent that those costs and expenses can be established to have been reasonably incurred in the circumstances, of and incidental to the taking of any measures to prevent any such deposit or condition or to counteract, mitigate or remedy any adverse effects that result or may reasonably be expected to result therefrom.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liability of any person described in paragraph (1)(a) is absolute and does not depend on proof of fault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EMA</w:t>
      </w:r>
      <w:r>
        <w:rPr>
          <w:rFonts w:ascii="arial" w:eastAsia="arial" w:hAnsi="arial" w:cs="arial"/>
          <w:color w:val="000000"/>
          <w:sz w:val="20"/>
          <w:lang w:val="en-US" w:eastAsia="en-US" w:bidi="ar-SA"/>
        </w:rPr>
        <w:t xml:space="preserve"> defines "responsible person" as a person described in s. 45. Stripped for the case at bar, s. 45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45 (1) ... the following persons are responsible for remediation of a contaminated site:</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current owner or operator of the site;</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previous owner or operator of the site;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Operator, owner, and person are defined in s. 39(1):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"operator" means, subject to subsection (2), a person who is or was in control of or responsible for any operation located at a contaminated site, but does not include a secured creditor unless the secured creditor is described in section 45 (3) [persons responsible for remediation of contaminated sites];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"owner" means a person who</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is in possession,</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has the right of control, or</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occupies or controls the use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of real property, and includes, without limitation, a person who has an estate or interest, legal or equitable, in the real property, but does not include a secured creditor unless the secured creditor is described in section 45(3) [persons responsible for remediation of contaminated sites].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"person" includes a government body and any director, officer, employee or agent of a person or government body;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Section 35(4) of the </w:t>
      </w:r>
      <w:r>
        <w:rPr>
          <w:rFonts w:ascii="arial" w:eastAsia="arial" w:hAnsi="arial" w:cs="arial"/>
          <w:i/>
          <w:color w:val="000000"/>
          <w:sz w:val="20"/>
          <w:lang w:val="en-US" w:eastAsia="en-US" w:bidi="ar-SA"/>
        </w:rPr>
        <w:t>Contaminated Sites Regulation,</w:t>
      </w:r>
      <w:r>
        <w:rPr>
          <w:rFonts w:ascii="arial" w:eastAsia="arial" w:hAnsi="arial" w:cs="arial"/>
          <w:color w:val="000000"/>
          <w:sz w:val="20"/>
          <w:lang w:val="en-US" w:eastAsia="en-US" w:bidi="ar-SA"/>
        </w:rPr>
        <w:t xml:space="preserve"> </w:t>
      </w:r>
      <w:hyperlink r:id="rId201" w:history="1">
        <w:r>
          <w:rPr>
            <w:rFonts w:ascii="arial" w:eastAsia="arial" w:hAnsi="arial" w:cs="arial"/>
            <w:i/>
            <w:color w:val="0077CC"/>
            <w:sz w:val="20"/>
            <w:u w:val="single"/>
            <w:shd w:val="clear" w:color="auto" w:fill="FFFFFF"/>
            <w:lang w:val="en-US" w:eastAsia="en-US" w:bidi="ar-SA"/>
          </w:rPr>
          <w:t>B.C. Reg. 375/96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CSR</w:t>
      </w:r>
      <w:r>
        <w:rPr>
          <w:rFonts w:ascii="arial" w:eastAsia="arial" w:hAnsi="arial" w:cs="arial"/>
          <w:color w:val="000000"/>
          <w:sz w:val="20"/>
          <w:lang w:val="en-US" w:eastAsia="en-US" w:bidi="ar-SA"/>
        </w:rPr>
        <w:t xml:space="preserve">"), supplements the </w:t>
      </w:r>
      <w:r>
        <w:rPr>
          <w:rFonts w:ascii="arial" w:eastAsia="arial" w:hAnsi="arial" w:cs="arial"/>
          <w:i/>
          <w:color w:val="000000"/>
          <w:sz w:val="20"/>
          <w:lang w:val="en-US" w:eastAsia="en-US" w:bidi="ar-SA"/>
        </w:rPr>
        <w:t>EMA</w:t>
      </w:r>
      <w:r>
        <w:rPr>
          <w:rFonts w:ascii="arial" w:eastAsia="arial" w:hAnsi="arial" w:cs="arial"/>
          <w:color w:val="000000"/>
          <w:sz w:val="20"/>
          <w:lang w:val="en-US" w:eastAsia="en-US" w:bidi="ar-SA"/>
        </w:rPr>
        <w:t xml:space="preserve"> definitions: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35(4) In an action under section 47(5) of the Act against a director, officer, employee or agent of a person or government body, the plaintiff must prove that the director, officer, employee or agent authorized, permitted or acquiesced in the activity which gave rise to the cost of remediation.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C.</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Hemmera</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Part I: Statement of Facts</w:t>
      </w:r>
      <w:r>
        <w:rPr>
          <w:rFonts w:ascii="arial" w:eastAsia="arial" w:hAnsi="arial" w:cs="arial"/>
          <w:color w:val="000000"/>
          <w:sz w:val="20"/>
          <w:lang w:val="en-US" w:eastAsia="en-US" w:bidi="ar-SA"/>
        </w:rPr>
        <w:t xml:space="preserve"> of the proposed amended counterclaim, the AG of Canada has pleaded with respect to Hemmera.</w:t>
      </w:r>
      <w:r>
        <w:rPr>
          <w:rFonts w:ascii="arial" w:eastAsia="arial" w:hAnsi="arial" w:cs="arial"/>
          <w:sz w:val="20"/>
          <w:lang w:val="en-US" w:eastAsia="en-US" w:bidi="ar-SA"/>
        </w:rPr>
        <w:cr/>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Hemmera Envirochem Inc. ("Hemmera") is a company incorporated pursuant to the laws of British Columbia, with a registered office at 3-2025 Bowen Road, Nanaimo, British Columbia. During the term of the Lease, Hemmera was retained by Atlantic as its environmental consultant, among other tasks, to: monitor and report annually on the environmental conditions of the Premises; to sample and analyze surface water, groundwater and leachate formed in the operation of the landfill; and to ensure that the leachate formed and collected on the Premises was of such quality that it could be released to the environment.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u w:val="single"/>
          <w:lang w:val="en-US" w:eastAsia="en-US" w:bidi="ar-SA"/>
        </w:rPr>
        <w:t>Hemmera's Involvement</w:t>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During the term of the Lease, Atlantic retained Hemmera as its agent to design and carry out the Monitoring Program and the Contingency Program on behalf of Atlantic;</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Further, or in the alternative, during the terms of the Lease, Hemmera was in control of and/or responsible for the design and carrying out of the Monitoring Program and the Contingency Program on the Premises.</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numerous occasions, Hemmera failed to design and/or carry out the Monitoring Program adequately or at all, including failing to provide for regular and sufficient sampling, testing and reporting.</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Further, Hemmera failed to design and/or carry out the Contingency Program adequately or at all, including failing to provide for additional and continuing sampling and failing to inform or report to Atlantic and/or Canada that the leachate was not of such quality that it could be released to the environment.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u w:val="single"/>
          <w:lang w:val="en-US" w:eastAsia="en-US" w:bidi="ar-SA"/>
        </w:rPr>
        <w:t>Contamination</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Atlantic's, [Mr. Mann's] and/or Hemmera's operations, activities and omissions have caused or contributed, and continue to cause or contribute, to the entry of various contaminants, including contaminated leachate, and hydrocarbons into the soils, groundwater surface waters and/or sediments on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AG of Canada also relies on the </w:t>
      </w:r>
      <w:r>
        <w:rPr>
          <w:rFonts w:ascii="arial" w:eastAsia="arial" w:hAnsi="arial" w:cs="arial"/>
          <w:i/>
          <w:color w:val="000000"/>
          <w:sz w:val="20"/>
          <w:lang w:val="en-US" w:eastAsia="en-US" w:bidi="ar-SA"/>
        </w:rPr>
        <w:t>Fisheries Act</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EMA</w:t>
      </w:r>
      <w:r>
        <w:rPr>
          <w:rFonts w:ascii="arial" w:eastAsia="arial" w:hAnsi="arial" w:cs="arial"/>
          <w:color w:val="000000"/>
          <w:sz w:val="20"/>
          <w:lang w:val="en-US" w:eastAsia="en-US" w:bidi="ar-SA"/>
        </w:rPr>
        <w:t xml:space="preserve"> for its case against Hemmera.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III.</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PLEADINGS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For its application, the AG of Canada relies on Rule 6-2 (7)(c) of the </w:t>
      </w:r>
      <w:r>
        <w:rPr>
          <w:rFonts w:ascii="arial" w:eastAsia="arial" w:hAnsi="arial" w:cs="arial"/>
          <w:i/>
          <w:color w:val="000000"/>
          <w:sz w:val="20"/>
          <w:lang w:val="en-US" w:eastAsia="en-US" w:bidi="ar-SA"/>
        </w:rPr>
        <w:t>Rules of Court,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168/2009</w:t>
      </w:r>
      <w:r>
        <w:rPr>
          <w:rFonts w:ascii="arial" w:eastAsia="arial" w:hAnsi="arial" w:cs="arial"/>
          <w:color w:val="000000"/>
          <w:sz w:val="20"/>
          <w:lang w:val="en-US" w:eastAsia="en-US" w:bidi="ar-SA"/>
        </w:rPr>
        <w:t>, which reads:</w:t>
      </w:r>
      <w:r>
        <w:rPr>
          <w:rFonts w:ascii="arial" w:eastAsia="arial" w:hAnsi="arial" w:cs="arial"/>
          <w:sz w:val="20"/>
          <w:lang w:val="en-US" w:eastAsia="en-US" w:bidi="ar-SA"/>
        </w:rPr>
        <w:cr/>
      </w:r>
    </w:p>
    <w:p>
      <w:pPr>
        <w:numPr>
          <w:numId w:val="1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At any stage of a proceeding, the court, on application by any person, may, subject to subrules (9) and (10),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order that a person be added as a party if there may exist, between the person and any party to the proceeding, a question or issue relating to or connected with</w:t>
      </w:r>
    </w:p>
    <w:p>
      <w:pPr>
        <w:numPr>
          <w:numId w:val="2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any relief claimed in the proceeding, or</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subject matter of the proceeding that, in the opinion of the court, it would be just and convenient to determine as between the person and that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At hearing, counsel agreed that the primary guiding authority with respect to adding parties is the decision of our Court of Appeal in </w:t>
      </w:r>
      <w:r>
        <w:rPr>
          <w:rFonts w:ascii="arial" w:eastAsia="arial" w:hAnsi="arial" w:cs="arial"/>
          <w:i/>
          <w:color w:val="000000"/>
          <w:sz w:val="20"/>
          <w:lang w:val="en-US" w:eastAsia="en-US" w:bidi="ar-SA"/>
        </w:rPr>
        <w:t>The Owners, Strata Plan No. VIS3578 v. John A. Neilson Architects Inc.</w:t>
      </w:r>
      <w:r>
        <w:rPr>
          <w:rFonts w:ascii="arial" w:eastAsia="arial" w:hAnsi="arial" w:cs="arial"/>
          <w:color w:val="000000"/>
          <w:sz w:val="20"/>
          <w:lang w:val="en-US" w:eastAsia="en-US" w:bidi="ar-SA"/>
        </w:rPr>
        <w:t xml:space="preserve">, </w:t>
      </w:r>
      <w:hyperlink r:id="rId202" w:history="1">
        <w:r>
          <w:rPr>
            <w:rFonts w:ascii="arial" w:eastAsia="arial" w:hAnsi="arial" w:cs="arial"/>
            <w:i/>
            <w:color w:val="0077CC"/>
            <w:sz w:val="20"/>
            <w:u w:val="single"/>
            <w:shd w:val="clear" w:color="auto" w:fill="FFFFFF"/>
            <w:lang w:val="en-US" w:eastAsia="en-US" w:bidi="ar-SA"/>
          </w:rPr>
          <w:t>2010 BCCA 329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Neilson Architects</w:t>
      </w:r>
      <w:r>
        <w:rPr>
          <w:rFonts w:ascii="arial" w:eastAsia="arial" w:hAnsi="arial" w:cs="arial"/>
          <w:color w:val="000000"/>
          <w:sz w:val="20"/>
          <w:lang w:val="en-US" w:eastAsia="en-US" w:bidi="ar-SA"/>
        </w:rPr>
        <w:t>]. The Court describes the analytical framework:</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[45] Subrule 15(5)(a)(iii) [Rule 6-2(7)(c)] thus establishes two requirements that an applicant must prove to succeed in joining a new defendant. First, it must show that there is a question or issue between the plaintiff and the proposed defendant that relates to the relief, remedy, or subject matter of the proceeding. The threshold is low. It has been expressed as establishing simply that there is a real issue between them that is not frivolous, or that the plaintiff has a possible cause of action against the proposed party. This requirement may be met solely on the basis of proposed amendments to the statement of claim, or the parties may provide affidavit evidence addressing it. If evidence is provided, the court is not to weigh it and assess whether the plaintiff could prove the allegations. It is limited to examining the evidence only to the extent necessary to determine if the required issue between the parties exists: </w:t>
      </w:r>
      <w:r>
        <w:rPr>
          <w:rFonts w:ascii="arial" w:eastAsia="arial" w:hAnsi="arial" w:cs="arial"/>
          <w:i/>
          <w:color w:val="000000"/>
          <w:sz w:val="20"/>
          <w:lang w:val="en-US" w:eastAsia="en-US" w:bidi="ar-SA"/>
        </w:rPr>
        <w:t>Strata Plan LMS 1816 v. Acastina Investments Ltd.</w:t>
      </w:r>
      <w:r>
        <w:rPr>
          <w:rFonts w:ascii="arial" w:eastAsia="arial" w:hAnsi="arial" w:cs="arial"/>
          <w:color w:val="000000"/>
          <w:sz w:val="20"/>
          <w:lang w:val="en-US" w:eastAsia="en-US" w:bidi="ar-SA"/>
        </w:rPr>
        <w:t xml:space="preserve">, </w:t>
      </w:r>
      <w:hyperlink r:id="rId203" w:history="1">
        <w:r>
          <w:rPr>
            <w:rFonts w:ascii="arial" w:eastAsia="arial" w:hAnsi="arial" w:cs="arial"/>
            <w:i/>
            <w:color w:val="0077CC"/>
            <w:sz w:val="20"/>
            <w:u w:val="single"/>
            <w:shd w:val="clear" w:color="auto" w:fill="FFFFFF"/>
            <w:lang w:val="en-US" w:eastAsia="en-US" w:bidi="ar-SA"/>
          </w:rPr>
          <w:t>2004 BCCA 578</w:t>
        </w:r>
      </w:hyperlink>
      <w:r>
        <w:rPr>
          <w:rFonts w:ascii="arial" w:eastAsia="arial" w:hAnsi="arial" w:cs="arial"/>
          <w:color w:val="000000"/>
          <w:sz w:val="20"/>
          <w:lang w:val="en-US" w:eastAsia="en-US" w:bidi="ar-SA"/>
        </w:rPr>
        <w:t xml:space="preserve">, </w:t>
      </w:r>
      <w:hyperlink r:id="rId203" w:history="1">
        <w:r>
          <w:rPr>
            <w:rFonts w:ascii="arial" w:eastAsia="arial" w:hAnsi="arial" w:cs="arial"/>
            <w:i/>
            <w:color w:val="0077CC"/>
            <w:sz w:val="20"/>
            <w:u w:val="single"/>
            <w:shd w:val="clear" w:color="auto" w:fill="FFFFFF"/>
            <w:lang w:val="en-US" w:eastAsia="en-US" w:bidi="ar-SA"/>
          </w:rPr>
          <w:t>33 B.C.L.R. (4th) 69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Acastina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MacMillan Bloedel Ltd. v. Binstead et al.</w:t>
      </w:r>
      <w:r>
        <w:rPr>
          <w:rFonts w:ascii="arial" w:eastAsia="arial" w:hAnsi="arial" w:cs="arial"/>
          <w:color w:val="000000"/>
          <w:sz w:val="20"/>
          <w:lang w:val="en-US" w:eastAsia="en-US" w:bidi="ar-SA"/>
        </w:rPr>
        <w:t xml:space="preserve"> </w:t>
      </w:r>
      <w:hyperlink r:id="rId204" w:history="1">
        <w:r>
          <w:rPr>
            <w:rFonts w:ascii="arial" w:eastAsia="arial" w:hAnsi="arial" w:cs="arial"/>
            <w:i/>
            <w:color w:val="0077CC"/>
            <w:sz w:val="20"/>
            <w:u w:val="single"/>
            <w:shd w:val="clear" w:color="auto" w:fill="FFFFFF"/>
            <w:lang w:val="en-US" w:eastAsia="en-US" w:bidi="ar-SA"/>
          </w:rPr>
          <w:t>(1985), 58 B.C.L.R. 173</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Binstead</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[46] If this first requirement is met, the court must next determine whether it would be just and convenient to decide the issue between the parties in this proceeding. This is a discretionary decision, but that discretion is fettered to the extent that it must be exercised judicially, and in accord with the evidence adduced and the guidelines established in the authorities: </w:t>
      </w:r>
      <w:r>
        <w:rPr>
          <w:rFonts w:ascii="arial" w:eastAsia="arial" w:hAnsi="arial" w:cs="arial"/>
          <w:i/>
          <w:color w:val="000000"/>
          <w:sz w:val="20"/>
          <w:lang w:val="en-US" w:eastAsia="en-US" w:bidi="ar-SA"/>
        </w:rPr>
        <w:t>Letvad v. Fenwick</w:t>
      </w:r>
      <w:r>
        <w:rPr>
          <w:rFonts w:ascii="arial" w:eastAsia="arial" w:hAnsi="arial" w:cs="arial"/>
          <w:color w:val="000000"/>
          <w:sz w:val="20"/>
          <w:lang w:val="en-US" w:eastAsia="en-US" w:bidi="ar-SA"/>
        </w:rPr>
        <w:t xml:space="preserve">, </w:t>
      </w:r>
      <w:hyperlink r:id="rId205" w:history="1">
        <w:r>
          <w:rPr>
            <w:rFonts w:ascii="arial" w:eastAsia="arial" w:hAnsi="arial" w:cs="arial"/>
            <w:i/>
            <w:color w:val="0077CC"/>
            <w:sz w:val="20"/>
            <w:u w:val="single"/>
            <w:shd w:val="clear" w:color="auto" w:fill="FFFFFF"/>
            <w:lang w:val="en-US" w:eastAsia="en-US" w:bidi="ar-SA"/>
          </w:rPr>
          <w:t>2000 BCCA 630</w:t>
        </w:r>
      </w:hyperlink>
      <w:r>
        <w:rPr>
          <w:rFonts w:ascii="arial" w:eastAsia="arial" w:hAnsi="arial" w:cs="arial"/>
          <w:color w:val="000000"/>
          <w:sz w:val="20"/>
          <w:lang w:val="en-US" w:eastAsia="en-US" w:bidi="ar-SA"/>
        </w:rPr>
        <w:t xml:space="preserve">, </w:t>
      </w:r>
      <w:hyperlink r:id="rId205" w:history="1">
        <w:r>
          <w:rPr>
            <w:rFonts w:ascii="arial" w:eastAsia="arial" w:hAnsi="arial" w:cs="arial"/>
            <w:i/>
            <w:color w:val="0077CC"/>
            <w:sz w:val="20"/>
            <w:u w:val="single"/>
            <w:shd w:val="clear" w:color="auto" w:fill="FFFFFF"/>
            <w:lang w:val="en-US" w:eastAsia="en-US" w:bidi="ar-SA"/>
          </w:rPr>
          <w:t>82 B.C.L.R. (3d) 296</w:t>
        </w:r>
      </w:hyperlink>
      <w:r>
        <w:rPr>
          <w:rFonts w:ascii="arial" w:eastAsia="arial" w:hAnsi="arial" w:cs="arial"/>
          <w:color w:val="000000"/>
          <w:sz w:val="20"/>
          <w:lang w:val="en-US" w:eastAsia="en-US" w:bidi="ar-SA"/>
        </w:rPr>
        <w:t xml:space="preserve">. At para. 29 of </w:t>
      </w:r>
      <w:r>
        <w:rPr>
          <w:rFonts w:ascii="arial" w:eastAsia="arial" w:hAnsi="arial" w:cs="arial"/>
          <w:i/>
          <w:color w:val="000000"/>
          <w:sz w:val="20"/>
          <w:lang w:val="en-US" w:eastAsia="en-US" w:bidi="ar-SA"/>
        </w:rPr>
        <w:t>Letvad</w:t>
      </w:r>
      <w:r>
        <w:rPr>
          <w:rFonts w:ascii="arial" w:eastAsia="arial" w:hAnsi="arial" w:cs="arial"/>
          <w:color w:val="000000"/>
          <w:sz w:val="20"/>
          <w:lang w:val="en-US" w:eastAsia="en-US" w:bidi="ar-SA"/>
        </w:rPr>
        <w:t xml:space="preserve">, Esson J.A., writing for the Court, adopted the list of factors to be considered from </w:t>
      </w:r>
      <w:r>
        <w:rPr>
          <w:rFonts w:ascii="arial" w:eastAsia="arial" w:hAnsi="arial" w:cs="arial"/>
          <w:i/>
          <w:color w:val="000000"/>
          <w:sz w:val="20"/>
          <w:lang w:val="en-US" w:eastAsia="en-US" w:bidi="ar-SA"/>
        </w:rPr>
        <w:t>Teal Cedar Products (1977) Ltd. v. Dale Intermediaries Ltd.</w:t>
      </w:r>
      <w:r>
        <w:rPr>
          <w:rFonts w:ascii="arial" w:eastAsia="arial" w:hAnsi="arial" w:cs="arial"/>
          <w:color w:val="000000"/>
          <w:sz w:val="20"/>
          <w:lang w:val="en-US" w:eastAsia="en-US" w:bidi="ar-SA"/>
        </w:rPr>
        <w:t xml:space="preserve"> </w:t>
      </w:r>
      <w:hyperlink r:id="rId206" w:history="1">
        <w:r>
          <w:rPr>
            <w:rFonts w:ascii="arial" w:eastAsia="arial" w:hAnsi="arial" w:cs="arial"/>
            <w:i/>
            <w:color w:val="0077CC"/>
            <w:sz w:val="20"/>
            <w:u w:val="single"/>
            <w:shd w:val="clear" w:color="auto" w:fill="FFFFFF"/>
            <w:lang w:val="en-US" w:eastAsia="en-US" w:bidi="ar-SA"/>
          </w:rPr>
          <w:t>(1996), 71 B.C.A.C. 161</w:t>
        </w:r>
      </w:hyperlink>
      <w:r>
        <w:rPr>
          <w:rFonts w:ascii="arial" w:eastAsia="arial" w:hAnsi="arial" w:cs="arial"/>
          <w:color w:val="000000"/>
          <w:sz w:val="20"/>
          <w:lang w:val="en-US" w:eastAsia="en-US" w:bidi="ar-SA"/>
        </w:rPr>
        <w:t xml:space="preserve">, </w:t>
      </w:r>
      <w:hyperlink r:id="rId206" w:history="1">
        <w:r>
          <w:rPr>
            <w:rFonts w:ascii="arial" w:eastAsia="arial" w:hAnsi="arial" w:cs="arial"/>
            <w:i/>
            <w:color w:val="0077CC"/>
            <w:sz w:val="20"/>
            <w:u w:val="single"/>
            <w:shd w:val="clear" w:color="auto" w:fill="FFFFFF"/>
            <w:lang w:val="en-US" w:eastAsia="en-US" w:bidi="ar-SA"/>
          </w:rPr>
          <w:t>19 B.C.L.R. (3d) 282</w:t>
        </w:r>
      </w:hyperlink>
      <w:r>
        <w:rPr>
          <w:rFonts w:ascii="arial" w:eastAsia="arial" w:hAnsi="arial" w:cs="arial"/>
          <w:color w:val="000000"/>
          <w:sz w:val="20"/>
          <w:lang w:val="en-US" w:eastAsia="en-US" w:bidi="ar-SA"/>
        </w:rPr>
        <w:t>, a decision that dealt with adding further claims under R. 24. These include the extent of the delay, the reasons and any explanation for the delay, any prejudice arising from the delay, and the degree of connection between the existing action and the new parties and claims contemplated. The overriding question is what is just and convenient in the circumstances of the particular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In connection with the first requirement, evidence may be provided only to show there is a question or issue to be tried. In </w:t>
      </w:r>
      <w:r>
        <w:rPr>
          <w:rFonts w:ascii="arial" w:eastAsia="arial" w:hAnsi="arial" w:cs="arial"/>
          <w:i/>
          <w:color w:val="000000"/>
          <w:sz w:val="20"/>
          <w:lang w:val="en-US" w:eastAsia="en-US" w:bidi="ar-SA"/>
        </w:rPr>
        <w:t>Binstead</w:t>
      </w:r>
      <w:r>
        <w:rPr>
          <w:rFonts w:ascii="arial" w:eastAsia="arial" w:hAnsi="arial" w:cs="arial"/>
          <w:color w:val="000000"/>
          <w:sz w:val="20"/>
          <w:lang w:val="en-US" w:eastAsia="en-US" w:bidi="ar-SA"/>
        </w:rPr>
        <w:t>, Justice MacFarlane, in writing for the Court on this point, stated (at 175):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my opinion, with respect, that it is apparent the chambers judge examined that evidence and used it for a purpose beyond that which is contemplated by the rule. It seems to me clear that one of the functions of the chambers judge hearing an application under this rule must be to decide whether there may exist between the appropriate parties a question which can be answered or an issue which can be decided by a court of law or by a judge exercising jurisdiction in a judicial capacity and to see, through whatever means, and not necessarily affidavits, that the question or issue is a real one in the sense that it is not entirely frivolous and would result in courts wasting judicial time. It is not the function, in my opinion, to decide whether on any kind of a balance it is likely that the plaintiff would be able to prove its allegations on a balance of probabilities or to any other degree beyond showing that there may exist such a question or such an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Acastina,</w:t>
      </w:r>
      <w:r>
        <w:rPr>
          <w:rFonts w:ascii="arial" w:eastAsia="arial" w:hAnsi="arial" w:cs="arial"/>
          <w:color w:val="000000"/>
          <w:sz w:val="20"/>
          <w:lang w:val="en-US" w:eastAsia="en-US" w:bidi="ar-SA"/>
        </w:rPr>
        <w:t xml:space="preserve"> the Court held (at 75) that "evidence is not required for joinder under Rule 15(5)(a)(iii) [now Rule 6-2(7)(c)] where the material facts as pleaded establish a real issue between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Rule 6-2(7)(c) reflects the origins of our </w:t>
      </w:r>
      <w:r>
        <w:rPr>
          <w:rFonts w:ascii="arial" w:eastAsia="arial" w:hAnsi="arial" w:cs="arial"/>
          <w:i/>
          <w:color w:val="000000"/>
          <w:sz w:val="20"/>
          <w:lang w:val="en-US" w:eastAsia="en-US" w:bidi="ar-SA"/>
        </w:rPr>
        <w:t>Rules of Court</w:t>
      </w:r>
      <w:r>
        <w:rPr>
          <w:rFonts w:ascii="arial" w:eastAsia="arial" w:hAnsi="arial" w:cs="arial"/>
          <w:color w:val="000000"/>
          <w:sz w:val="20"/>
          <w:lang w:val="en-US" w:eastAsia="en-US" w:bidi="ar-SA"/>
        </w:rPr>
        <w:t xml:space="preserve">, primarily the reforms culminating in the </w:t>
      </w:r>
      <w:r>
        <w:rPr>
          <w:rFonts w:ascii="arial" w:eastAsia="arial" w:hAnsi="arial" w:cs="arial"/>
          <w:i/>
          <w:color w:val="000000"/>
          <w:sz w:val="20"/>
          <w:lang w:val="en-US" w:eastAsia="en-US" w:bidi="ar-SA"/>
        </w:rPr>
        <w:t>Judicature Acts</w:t>
      </w:r>
      <w:r>
        <w:rPr>
          <w:rFonts w:ascii="arial" w:eastAsia="arial" w:hAnsi="arial" w:cs="arial"/>
          <w:color w:val="000000"/>
          <w:sz w:val="20"/>
          <w:lang w:val="en-US" w:eastAsia="en-US" w:bidi="ar-SA"/>
        </w:rPr>
        <w:t xml:space="preserve">: see K. McEwan, Q.C., "A Short History of Rule-Making for Courts" in Janice Dillon and Gordon Turriff, eds, </w:t>
      </w:r>
      <w:r>
        <w:rPr>
          <w:rFonts w:ascii="arial" w:eastAsia="arial" w:hAnsi="arial" w:cs="arial"/>
          <w:i/>
          <w:color w:val="000000"/>
          <w:sz w:val="20"/>
          <w:lang w:val="en-US" w:eastAsia="en-US" w:bidi="ar-SA"/>
        </w:rPr>
        <w:t>British Columbia Annual Practice 2014</w:t>
      </w:r>
      <w:r>
        <w:rPr>
          <w:rFonts w:ascii="arial" w:eastAsia="arial" w:hAnsi="arial" w:cs="arial"/>
          <w:color w:val="000000"/>
          <w:sz w:val="20"/>
          <w:lang w:val="en-US" w:eastAsia="en-US" w:bidi="ar-SA"/>
        </w:rPr>
        <w:t xml:space="preserve"> (Toronto: Thomson Reuters, 2013) at xxi.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In describing the original English rules with respect to parties A. Wilson, in </w:t>
      </w:r>
      <w:r>
        <w:rPr>
          <w:rFonts w:ascii="arial" w:eastAsia="arial" w:hAnsi="arial" w:cs="arial"/>
          <w:i/>
          <w:color w:val="000000"/>
          <w:sz w:val="20"/>
          <w:lang w:val="en-US" w:eastAsia="en-US" w:bidi="ar-SA"/>
        </w:rPr>
        <w:t>The Supreme Court of Judicature Acts 1873 and 1875, Schedule of Rules and Forms</w:t>
      </w:r>
      <w:r>
        <w:rPr>
          <w:rFonts w:ascii="arial" w:eastAsia="arial" w:hAnsi="arial" w:cs="arial"/>
          <w:color w:val="000000"/>
          <w:sz w:val="20"/>
          <w:lang w:val="en-US" w:eastAsia="en-US" w:bidi="ar-SA"/>
        </w:rPr>
        <w:t>, (London: Stevens &amp; Sons, 1875) states, at 192: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changes introduced by this and the following rules of this Order [Order XVI - Parties] are very material changes. In nothing has there been a stronger contrast between Common Law and Chancery procedure than in their doctrines with respect to the parties who ought to be brought before the Court.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Subject to a few exceptions, the Common Law Courts have been rigidly tied down to disposing of claims arising between exactly the same parties upon each side, and in the same rights. They could give a judgment for </w:t>
      </w:r>
      <w:r>
        <w:rPr>
          <w:rFonts w:ascii="arial" w:eastAsia="arial" w:hAnsi="arial" w:cs="arial"/>
          <w:i/>
          <w:color w:val="000000"/>
          <w:sz w:val="20"/>
          <w:lang w:val="en-US" w:eastAsia="en-US" w:bidi="ar-SA"/>
        </w:rPr>
        <w:t>A.</w:t>
      </w:r>
      <w:r>
        <w:rPr>
          <w:rFonts w:ascii="arial" w:eastAsia="arial" w:hAnsi="arial" w:cs="arial"/>
          <w:color w:val="000000"/>
          <w:sz w:val="20"/>
          <w:lang w:val="en-US" w:eastAsia="en-US" w:bidi="ar-SA"/>
        </w:rPr>
        <w:t xml:space="preserve"> against </w:t>
      </w:r>
      <w:r>
        <w:rPr>
          <w:rFonts w:ascii="arial" w:eastAsia="arial" w:hAnsi="arial" w:cs="arial"/>
          <w:i/>
          <w:color w:val="000000"/>
          <w:sz w:val="20"/>
          <w:lang w:val="en-US" w:eastAsia="en-US" w:bidi="ar-SA"/>
        </w:rPr>
        <w:t>C</w:t>
      </w:r>
      <w:r>
        <w:rPr>
          <w:rFonts w:ascii="arial" w:eastAsia="arial" w:hAnsi="arial" w:cs="arial"/>
          <w:color w:val="000000"/>
          <w:sz w:val="20"/>
          <w:lang w:val="en-US" w:eastAsia="en-US" w:bidi="ar-SA"/>
        </w:rPr>
        <w:t xml:space="preserve">., or against </w:t>
      </w:r>
      <w:r>
        <w:rPr>
          <w:rFonts w:ascii="arial" w:eastAsia="arial" w:hAnsi="arial" w:cs="arial"/>
          <w:i/>
          <w:color w:val="000000"/>
          <w:sz w:val="20"/>
          <w:lang w:val="en-US" w:eastAsia="en-US" w:bidi="ar-SA"/>
        </w:rPr>
        <w:t>C.</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D.</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E.</w:t>
      </w:r>
      <w:r>
        <w:rPr>
          <w:rFonts w:ascii="arial" w:eastAsia="arial" w:hAnsi="arial" w:cs="arial"/>
          <w:color w:val="000000"/>
          <w:sz w:val="20"/>
          <w:lang w:val="en-US" w:eastAsia="en-US" w:bidi="ar-SA"/>
        </w:rPr>
        <w:t xml:space="preserve"> but they could not give relief of one sort against </w:t>
      </w:r>
      <w:r>
        <w:rPr>
          <w:rFonts w:ascii="arial" w:eastAsia="arial" w:hAnsi="arial" w:cs="arial"/>
          <w:i/>
          <w:color w:val="000000"/>
          <w:sz w:val="20"/>
          <w:lang w:val="en-US" w:eastAsia="en-US" w:bidi="ar-SA"/>
        </w:rPr>
        <w:t>C.</w:t>
      </w:r>
      <w:r>
        <w:rPr>
          <w:rFonts w:ascii="arial" w:eastAsia="arial" w:hAnsi="arial" w:cs="arial"/>
          <w:color w:val="000000"/>
          <w:sz w:val="20"/>
          <w:lang w:val="en-US" w:eastAsia="en-US" w:bidi="ar-SA"/>
        </w:rPr>
        <w:t xml:space="preserve"> and of another sort against </w:t>
      </w:r>
      <w:r>
        <w:rPr>
          <w:rFonts w:ascii="arial" w:eastAsia="arial" w:hAnsi="arial" w:cs="arial"/>
          <w:i/>
          <w:color w:val="000000"/>
          <w:sz w:val="20"/>
          <w:lang w:val="en-US" w:eastAsia="en-US" w:bidi="ar-SA"/>
        </w:rPr>
        <w:t>D.</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E.</w:t>
      </w:r>
      <w:r>
        <w:rPr>
          <w:rFonts w:ascii="arial" w:eastAsia="arial" w:hAnsi="arial" w:cs="arial"/>
          <w:color w:val="000000"/>
          <w:sz w:val="20"/>
          <w:lang w:val="en-US" w:eastAsia="en-US" w:bidi="ar-SA"/>
        </w:rPr>
        <w:t xml:space="preserve">; nor could they give relief of one kind to </w:t>
      </w:r>
      <w:r>
        <w:rPr>
          <w:rFonts w:ascii="arial" w:eastAsia="arial" w:hAnsi="arial" w:cs="arial"/>
          <w:i/>
          <w:color w:val="000000"/>
          <w:sz w:val="20"/>
          <w:lang w:val="en-US" w:eastAsia="en-US" w:bidi="ar-SA"/>
        </w:rPr>
        <w:t>A.</w:t>
      </w:r>
      <w:r>
        <w:rPr>
          <w:rFonts w:ascii="arial" w:eastAsia="arial" w:hAnsi="arial" w:cs="arial"/>
          <w:color w:val="000000"/>
          <w:sz w:val="20"/>
          <w:lang w:val="en-US" w:eastAsia="en-US" w:bidi="ar-SA"/>
        </w:rPr>
        <w:t xml:space="preserve"> and of another kind to </w:t>
      </w:r>
      <w:r>
        <w:rPr>
          <w:rFonts w:ascii="arial" w:eastAsia="arial" w:hAnsi="arial" w:cs="arial"/>
          <w:i/>
          <w:color w:val="000000"/>
          <w:sz w:val="20"/>
          <w:lang w:val="en-US" w:eastAsia="en-US" w:bidi="ar-SA"/>
        </w:rPr>
        <w:t>B.</w:t>
      </w:r>
      <w:r>
        <w:rPr>
          <w:rFonts w:ascii="arial" w:eastAsia="arial" w:hAnsi="arial" w:cs="arial"/>
          <w:color w:val="000000"/>
          <w:sz w:val="20"/>
          <w:lang w:val="en-US" w:eastAsia="en-US" w:bidi="ar-SA"/>
        </w:rPr>
        <w:t xml:space="preserve">, or of one kind to </w:t>
      </w:r>
      <w:r>
        <w:rPr>
          <w:rFonts w:ascii="arial" w:eastAsia="arial" w:hAnsi="arial" w:cs="arial"/>
          <w:i/>
          <w:color w:val="000000"/>
          <w:sz w:val="20"/>
          <w:lang w:val="en-US" w:eastAsia="en-US" w:bidi="ar-SA"/>
        </w:rPr>
        <w:t>A.</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B.</w:t>
      </w:r>
      <w:r>
        <w:rPr>
          <w:rFonts w:ascii="arial" w:eastAsia="arial" w:hAnsi="arial" w:cs="arial"/>
          <w:color w:val="000000"/>
          <w:sz w:val="20"/>
          <w:lang w:val="en-US" w:eastAsia="en-US" w:bidi="ar-SA"/>
        </w:rPr>
        <w:t xml:space="preserve"> jointly and another to </w:t>
      </w:r>
      <w:r>
        <w:rPr>
          <w:rFonts w:ascii="arial" w:eastAsia="arial" w:hAnsi="arial" w:cs="arial"/>
          <w:i/>
          <w:color w:val="000000"/>
          <w:sz w:val="20"/>
          <w:lang w:val="en-US" w:eastAsia="en-US" w:bidi="ar-SA"/>
        </w:rPr>
        <w:t>A.</w:t>
      </w:r>
      <w:r>
        <w:rPr>
          <w:rFonts w:ascii="arial" w:eastAsia="arial" w:hAnsi="arial" w:cs="arial"/>
          <w:color w:val="000000"/>
          <w:sz w:val="20"/>
          <w:lang w:val="en-US" w:eastAsia="en-US" w:bidi="ar-SA"/>
        </w:rPr>
        <w:t xml:space="preserve"> separately. All the plaintiffs, if more than one, had to be jointly entitled, and all the defendants jointly liable with respect to every single matter upon which the Court was asked to adjudicate.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Chancery, on the other hand, the course has been to deal with the controversy or transaction forming the subject matter of the action as a whole, and endeavour to do complete justice with respect to it; and for that object the Court has insisted on bringing before it all the parties interested in the subject matter. The extreme structure of this rule has been usefully relaxed from time to time in ways which, at this point, it is not necessary to specify; but in the main it has not been departed from.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result has been that a Court of Law could not handle the matter, as a whole, however desirable it might be to do so; but was obliged to confine itself to the specific claim of one person against another. A Court of Equity could only deal with the matter as a whole, whether that were really necessary or not, and could not dispose of the mutual rights of particular persons singly, however convenient it might be to do so.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Judicature Act, 1873, and the rules of this schedule give a very wide latitude as to the matters which may be disposed of in an action, the mode in which a cause may be dealt with, and the persons who may be made parties to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By s. 24 of the Judicature Act, 1873, </w:t>
      </w:r>
      <w:r>
        <w:rPr>
          <w:rFonts w:ascii="arial" w:eastAsia="arial" w:hAnsi="arial" w:cs="arial"/>
          <w:i/>
          <w:color w:val="000000"/>
          <w:sz w:val="20"/>
          <w:lang w:val="en-US" w:eastAsia="en-US" w:bidi="ar-SA"/>
        </w:rPr>
        <w:t>ante</w:t>
      </w:r>
      <w:r>
        <w:rPr>
          <w:rFonts w:ascii="arial" w:eastAsia="arial" w:hAnsi="arial" w:cs="arial"/>
          <w:color w:val="000000"/>
          <w:sz w:val="20"/>
          <w:lang w:val="en-US" w:eastAsia="en-US" w:bidi="ar-SA"/>
        </w:rPr>
        <w:t>, p. 57, the plaintiff may seek in any action to enforce any claim he could hitherto have enforced in any Court whether of law or equity. The defendant may raise any defence which would hitherto have been good either at law or in equity. He may also raise by way of counter claim, not merely a pecuniary set off, but anything that he could have made the subject of a cross action or suit. And he may make each counter claim not only against the plaintiff, but against any third person, if only it be connected with the subject of the 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defendant also may, for the purpose of his counter-claim, bring before the Court any persons not already parties against whom he seeks any relief relating to or connected with the subject matter of the suit; s. 24, sub s. 3 of the Judicature Act, 1873. See Order XIX, Rule 3, </w:t>
      </w:r>
      <w:r>
        <w:rPr>
          <w:rFonts w:ascii="arial" w:eastAsia="arial" w:hAnsi="arial" w:cs="arial"/>
          <w:i/>
          <w:color w:val="000000"/>
          <w:sz w:val="20"/>
          <w:lang w:val="en-US" w:eastAsia="en-US" w:bidi="ar-SA"/>
        </w:rPr>
        <w:t>post</w:t>
      </w:r>
      <w:r>
        <w:rPr>
          <w:rFonts w:ascii="arial" w:eastAsia="arial" w:hAnsi="arial" w:cs="arial"/>
          <w:color w:val="000000"/>
          <w:sz w:val="20"/>
          <w:lang w:val="en-US" w:eastAsia="en-US" w:bidi="ar-SA"/>
        </w:rPr>
        <w:t>, p. 205, and note thereto.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All parties may be added necessary to enable the Court effectually and completely to adjudicate upon and settle all the questions involved in the action; Rule 13, </w:t>
      </w:r>
      <w:r>
        <w:rPr>
          <w:rFonts w:ascii="arial" w:eastAsia="arial" w:hAnsi="arial" w:cs="arial"/>
          <w:i/>
          <w:color w:val="000000"/>
          <w:sz w:val="20"/>
          <w:lang w:val="en-US" w:eastAsia="en-US" w:bidi="ar-SA"/>
        </w:rPr>
        <w:t>post</w:t>
      </w:r>
      <w:r>
        <w:rPr>
          <w:rFonts w:ascii="arial" w:eastAsia="arial" w:hAnsi="arial" w:cs="arial"/>
          <w:color w:val="000000"/>
          <w:sz w:val="20"/>
          <w:lang w:val="en-US" w:eastAsia="en-US" w:bidi="ar-SA"/>
        </w:rPr>
        <w:t>, p. 197.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IV.</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ANALYSIS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A.</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Mr. Mann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Mr. Mann's counsel also relied on para. 71 of </w:t>
      </w:r>
      <w:r>
        <w:rPr>
          <w:rFonts w:ascii="arial" w:eastAsia="arial" w:hAnsi="arial" w:cs="arial"/>
          <w:i/>
          <w:color w:val="000000"/>
          <w:sz w:val="20"/>
          <w:lang w:val="en-US" w:eastAsia="en-US" w:bidi="ar-SA"/>
        </w:rPr>
        <w:t>Neilson Architects</w:t>
      </w:r>
      <w:r>
        <w:rPr>
          <w:rFonts w:ascii="arial" w:eastAsia="arial" w:hAnsi="arial" w:cs="arial"/>
          <w:color w:val="000000"/>
          <w:sz w:val="20"/>
          <w:lang w:val="en-US" w:eastAsia="en-US" w:bidi="ar-SA"/>
        </w:rPr>
        <w:t xml:space="preserve"> which reads, in part, that "[i]t is not enough to plead undifferentiated allegations against the corporation and its directors and employees". The AG of Canada says this aspect of </w:t>
      </w:r>
      <w:r>
        <w:rPr>
          <w:rFonts w:ascii="arial" w:eastAsia="arial" w:hAnsi="arial" w:cs="arial"/>
          <w:i/>
          <w:color w:val="000000"/>
          <w:sz w:val="20"/>
          <w:lang w:val="en-US" w:eastAsia="en-US" w:bidi="ar-SA"/>
        </w:rPr>
        <w:t>Neilson Architects</w:t>
      </w:r>
      <w:r>
        <w:rPr>
          <w:rFonts w:ascii="arial" w:eastAsia="arial" w:hAnsi="arial" w:cs="arial"/>
          <w:color w:val="000000"/>
          <w:sz w:val="20"/>
          <w:lang w:val="en-US" w:eastAsia="en-US" w:bidi="ar-SA"/>
        </w:rPr>
        <w:t xml:space="preserve"> is distinguishable because the case at bar involves a statutory cause of action and is not based on either tort or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As noted, the AG of Canada has pleaded that "at all material times, [Mr. Mann] was managing, directing and overseeing Atlantic's operations...". In other words, the AG of Canada's proposed pleadings are against Mr. Mann as he acted as a director, manager or officer of Atlantic.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The decision of our Court of Appeal in </w:t>
      </w:r>
      <w:r>
        <w:rPr>
          <w:rFonts w:ascii="arial" w:eastAsia="arial" w:hAnsi="arial" w:cs="arial"/>
          <w:i/>
          <w:color w:val="000000"/>
          <w:sz w:val="20"/>
          <w:lang w:val="en-US" w:eastAsia="en-US" w:bidi="ar-SA"/>
        </w:rPr>
        <w:t>Nordile Holdings Ltd. v. Breckenridge</w:t>
      </w:r>
      <w:r>
        <w:rPr>
          <w:rFonts w:ascii="arial" w:eastAsia="arial" w:hAnsi="arial" w:cs="arial"/>
          <w:color w:val="000000"/>
          <w:sz w:val="20"/>
          <w:lang w:val="en-US" w:eastAsia="en-US" w:bidi="ar-SA"/>
        </w:rPr>
        <w:t xml:space="preserve"> </w:t>
      </w:r>
      <w:hyperlink r:id="rId207" w:history="1">
        <w:r>
          <w:rPr>
            <w:rFonts w:ascii="arial" w:eastAsia="arial" w:hAnsi="arial" w:cs="arial"/>
            <w:i/>
            <w:color w:val="0077CC"/>
            <w:sz w:val="20"/>
            <w:u w:val="single"/>
            <w:shd w:val="clear" w:color="auto" w:fill="FFFFFF"/>
            <w:lang w:val="en-US" w:eastAsia="en-US" w:bidi="ar-SA"/>
          </w:rPr>
          <w:t>(1992), 66 B.C.L.R. (2d) 183</w:t>
        </w:r>
      </w:hyperlink>
      <w:r>
        <w:rPr>
          <w:rFonts w:ascii="arial" w:eastAsia="arial" w:hAnsi="arial" w:cs="arial"/>
          <w:color w:val="000000"/>
          <w:sz w:val="20"/>
          <w:lang w:val="en-US" w:eastAsia="en-US" w:bidi="ar-SA"/>
        </w:rPr>
        <w:t xml:space="preserve"> (C.A.) is instructive. In </w:t>
      </w:r>
      <w:r>
        <w:rPr>
          <w:rFonts w:ascii="arial" w:eastAsia="arial" w:hAnsi="arial" w:cs="arial"/>
          <w:i/>
          <w:color w:val="000000"/>
          <w:sz w:val="20"/>
          <w:lang w:val="en-US" w:eastAsia="en-US" w:bidi="ar-SA"/>
        </w:rPr>
        <w:t>Nordile</w:t>
      </w:r>
      <w:r>
        <w:rPr>
          <w:rFonts w:ascii="arial" w:eastAsia="arial" w:hAnsi="arial" w:cs="arial"/>
          <w:color w:val="000000"/>
          <w:sz w:val="20"/>
          <w:lang w:val="en-US" w:eastAsia="en-US" w:bidi="ar-SA"/>
        </w:rPr>
        <w:t>, the defendants were officers and directors of the corporate general partner of a limited partnership of which they were also limited partners.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Under the </w:t>
      </w:r>
      <w:r>
        <w:rPr>
          <w:rFonts w:ascii="arial" w:eastAsia="arial" w:hAnsi="arial" w:cs="arial"/>
          <w:i/>
          <w:color w:val="000000"/>
          <w:sz w:val="20"/>
          <w:lang w:val="en-US" w:eastAsia="en-US" w:bidi="ar-SA"/>
        </w:rPr>
        <w:t>Partnership Act</w:t>
      </w:r>
      <w:r>
        <w:rPr>
          <w:rFonts w:ascii="arial" w:eastAsia="arial" w:hAnsi="arial" w:cs="arial"/>
          <w:color w:val="000000"/>
          <w:sz w:val="20"/>
          <w:lang w:val="en-US" w:eastAsia="en-US" w:bidi="ar-SA"/>
        </w:rPr>
        <w:t xml:space="preserve">, </w:t>
      </w:r>
      <w:hyperlink r:id="rId208" w:history="1">
        <w:r>
          <w:rPr>
            <w:rFonts w:ascii="arial" w:eastAsia="arial" w:hAnsi="arial" w:cs="arial"/>
            <w:i/>
            <w:color w:val="0077CC"/>
            <w:sz w:val="20"/>
            <w:u w:val="single"/>
            <w:shd w:val="clear" w:color="auto" w:fill="FFFFFF"/>
            <w:lang w:val="en-US" w:eastAsia="en-US" w:bidi="ar-SA"/>
          </w:rPr>
          <w:t>R.S.B.C. 1996, c. 348, s. 64</w:t>
        </w:r>
      </w:hyperlink>
      <w:r>
        <w:rPr>
          <w:rFonts w:ascii="arial" w:eastAsia="arial" w:hAnsi="arial" w:cs="arial"/>
          <w:color w:val="000000"/>
          <w:sz w:val="20"/>
          <w:lang w:val="en-US" w:eastAsia="en-US" w:bidi="ar-SA"/>
        </w:rPr>
        <w:t>, a limited partner may lose liability protection if the limited partner "takes part in the management of the business" of the limited partnership.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The plaintiff in </w:t>
      </w:r>
      <w:r>
        <w:rPr>
          <w:rFonts w:ascii="arial" w:eastAsia="arial" w:hAnsi="arial" w:cs="arial"/>
          <w:i/>
          <w:color w:val="000000"/>
          <w:sz w:val="20"/>
          <w:lang w:val="en-US" w:eastAsia="en-US" w:bidi="ar-SA"/>
        </w:rPr>
        <w:t>Nordile</w:t>
      </w:r>
      <w:r>
        <w:rPr>
          <w:rFonts w:ascii="arial" w:eastAsia="arial" w:hAnsi="arial" w:cs="arial"/>
          <w:color w:val="000000"/>
          <w:sz w:val="20"/>
          <w:lang w:val="en-US" w:eastAsia="en-US" w:bidi="ar-SA"/>
        </w:rPr>
        <w:t xml:space="preserve"> argued that the defendants lost limited liability protection as a result of their actions as directors and officers of the corporate general partner. The parties agreed that the defendants participated in the management and direction of the corporate general partner of the limited partnership, but they did so "</w:t>
      </w:r>
      <w:r>
        <w:rPr>
          <w:rFonts w:ascii="arial" w:eastAsia="arial" w:hAnsi="arial" w:cs="arial"/>
          <w:color w:val="000000"/>
          <w:sz w:val="20"/>
          <w:u w:val="single"/>
          <w:lang w:val="en-US" w:eastAsia="en-US" w:bidi="ar-SA"/>
        </w:rPr>
        <w:t>solely</w:t>
      </w:r>
      <w:r>
        <w:rPr>
          <w:rFonts w:ascii="arial" w:eastAsia="arial" w:hAnsi="arial" w:cs="arial"/>
          <w:color w:val="000000"/>
          <w:sz w:val="20"/>
          <w:lang w:val="en-US" w:eastAsia="en-US" w:bidi="ar-SA"/>
        </w:rPr>
        <w:t xml:space="preserve"> in their capacities as directors and officers of the general partner ..." [Court of Appeal's emphasis].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Chief Justice McEachern in dismissing the plaintiff's appeal in </w:t>
      </w:r>
      <w:r>
        <w:rPr>
          <w:rFonts w:ascii="arial" w:eastAsia="arial" w:hAnsi="arial" w:cs="arial"/>
          <w:i/>
          <w:color w:val="000000"/>
          <w:sz w:val="20"/>
          <w:lang w:val="en-US" w:eastAsia="en-US" w:bidi="ar-SA"/>
        </w:rPr>
        <w:t>Nordile</w:t>
      </w:r>
      <w:r>
        <w:rPr>
          <w:rFonts w:ascii="arial" w:eastAsia="arial" w:hAnsi="arial" w:cs="arial"/>
          <w:color w:val="000000"/>
          <w:sz w:val="20"/>
          <w:lang w:val="en-US" w:eastAsia="en-US" w:bidi="ar-SA"/>
        </w:rPr>
        <w:t xml:space="preserve"> stated in additional reasons (concurred in by Wood and Gibbs JJ.A.):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Mr. Arbour urges us to conclude that the usual rule enunciated in </w:t>
      </w:r>
      <w:r>
        <w:rPr>
          <w:rFonts w:ascii="arial" w:eastAsia="arial" w:hAnsi="arial" w:cs="arial"/>
          <w:i/>
          <w:color w:val="000000"/>
          <w:sz w:val="20"/>
          <w:lang w:val="en-US" w:eastAsia="en-US" w:bidi="ar-SA"/>
        </w:rPr>
        <w:t>Salomon v. Salomon</w:t>
      </w:r>
      <w:r>
        <w:rPr>
          <w:rFonts w:ascii="arial" w:eastAsia="arial" w:hAnsi="arial" w:cs="arial"/>
          <w:color w:val="000000"/>
          <w:sz w:val="20"/>
          <w:lang w:val="en-US" w:eastAsia="en-US" w:bidi="ar-SA"/>
        </w:rPr>
        <w:t xml:space="preserve"> [</w:t>
      </w:r>
      <w:hyperlink r:id="rId209" w:history="1">
        <w:r>
          <w:rPr>
            <w:rFonts w:ascii="arial" w:eastAsia="arial" w:hAnsi="arial" w:cs="arial"/>
            <w:i/>
            <w:color w:val="0077CC"/>
            <w:sz w:val="20"/>
            <w:u w:val="single"/>
            <w:shd w:val="clear" w:color="auto" w:fill="FFFFFF"/>
            <w:lang w:val="en-US" w:eastAsia="en-US" w:bidi="ar-SA"/>
          </w:rPr>
          <w:t>[1897] AC 22</w:t>
        </w:r>
      </w:hyperlink>
      <w:r>
        <w:rPr>
          <w:rFonts w:ascii="arial" w:eastAsia="arial" w:hAnsi="arial" w:cs="arial"/>
          <w:color w:val="000000"/>
          <w:sz w:val="20"/>
          <w:lang w:val="en-US" w:eastAsia="en-US" w:bidi="ar-SA"/>
        </w:rPr>
        <w:t xml:space="preserve"> (H.L.)] should not be applied in this case because of the fact that this is a statutory scheme which abrogates that principle in a case where a limited partner is engaged in the management of the partnership. I have no doubt that that would be the case if the limited partner in that capacity engaged in management because that would be an additional statutory fact which was not present in </w:t>
      </w:r>
      <w:r>
        <w:rPr>
          <w:rFonts w:ascii="arial" w:eastAsia="arial" w:hAnsi="arial" w:cs="arial"/>
          <w:i/>
          <w:color w:val="000000"/>
          <w:sz w:val="20"/>
          <w:lang w:val="en-US" w:eastAsia="en-US" w:bidi="ar-SA"/>
        </w:rPr>
        <w:t>Salomon v. Salomon</w:t>
      </w:r>
      <w:r>
        <w:rPr>
          <w:rFonts w:ascii="arial" w:eastAsia="arial" w:hAnsi="arial" w:cs="arial"/>
          <w:color w:val="000000"/>
          <w:sz w:val="20"/>
          <w:lang w:val="en-US" w:eastAsia="en-US" w:bidi="ar-SA"/>
        </w:rPr>
        <w:t xml:space="preserve">. In this case, however, it has been agreed that the limited partners acted solely in their capacity as officers of the general partnership. In my view, that concession takes this case out of the principle for which Mr. Arbour contends. Speaking for myself, such a conclusion in the circumstances of this case would destroy the </w:t>
      </w:r>
      <w:r>
        <w:rPr>
          <w:rFonts w:ascii="arial" w:eastAsia="arial" w:hAnsi="arial" w:cs="arial"/>
          <w:i/>
          <w:color w:val="000000"/>
          <w:sz w:val="20"/>
          <w:lang w:val="en-US" w:eastAsia="en-US" w:bidi="ar-SA"/>
        </w:rPr>
        <w:t>Salomon</w:t>
      </w:r>
      <w:r>
        <w:rPr>
          <w:rFonts w:ascii="arial" w:eastAsia="arial" w:hAnsi="arial" w:cs="arial"/>
          <w:color w:val="000000"/>
          <w:sz w:val="20"/>
          <w:lang w:val="en-US" w:eastAsia="en-US" w:bidi="ar-SA"/>
        </w:rPr>
        <w:t xml:space="preserve"> principle and I would require much more specific language and facts before I would conclude that an officer of a corporation acting solely in that capacity can be held personally liable in a different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For the current application, I must only address the low threshold as to whether Canada has "a possible cause of action" against Mr. Mann. Unless I am sure the rule in </w:t>
      </w:r>
      <w:r>
        <w:rPr>
          <w:rFonts w:ascii="arial" w:eastAsia="arial" w:hAnsi="arial" w:cs="arial"/>
          <w:i/>
          <w:color w:val="000000"/>
          <w:sz w:val="20"/>
          <w:lang w:val="en-US" w:eastAsia="en-US" w:bidi="ar-SA"/>
        </w:rPr>
        <w:t>Salomon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v. Salomon</w:t>
      </w:r>
      <w:r>
        <w:rPr>
          <w:rFonts w:ascii="arial" w:eastAsia="arial" w:hAnsi="arial" w:cs="arial"/>
          <w:color w:val="000000"/>
          <w:sz w:val="20"/>
          <w:lang w:val="en-US" w:eastAsia="en-US" w:bidi="ar-SA"/>
        </w:rPr>
        <w:t xml:space="preserve"> would apply, or that on some other basis the AG of Canada's counterclaim against Mr. Mann would surely fail, I should allow the application to add Mr. Mann as a defendant by way of counterclaim.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Unlike, for example s. 227.1 of the </w:t>
      </w:r>
      <w:r>
        <w:rPr>
          <w:rFonts w:ascii="arial" w:eastAsia="arial" w:hAnsi="arial" w:cs="arial"/>
          <w:i/>
          <w:color w:val="000000"/>
          <w:sz w:val="20"/>
          <w:lang w:val="en-US" w:eastAsia="en-US" w:bidi="ar-SA"/>
        </w:rPr>
        <w:t>Income Tax Act</w:t>
      </w:r>
      <w:r>
        <w:rPr>
          <w:rFonts w:ascii="arial" w:eastAsia="arial" w:hAnsi="arial" w:cs="arial"/>
          <w:color w:val="000000"/>
          <w:sz w:val="20"/>
          <w:lang w:val="en-US" w:eastAsia="en-US" w:bidi="ar-SA"/>
        </w:rPr>
        <w:t xml:space="preserve">, </w:t>
      </w:r>
      <w:hyperlink r:id="rId210" w:history="1">
        <w:r>
          <w:rPr>
            <w:rFonts w:ascii="arial" w:eastAsia="arial" w:hAnsi="arial" w:cs="arial"/>
            <w:i/>
            <w:color w:val="0077CC"/>
            <w:sz w:val="20"/>
            <w:u w:val="single"/>
            <w:shd w:val="clear" w:color="auto" w:fill="FFFFFF"/>
            <w:lang w:val="en-US" w:eastAsia="en-US" w:bidi="ar-SA"/>
          </w:rPr>
          <w:t>R.S.C. 1985, c. 1 (5th Supp.)</w:t>
        </w:r>
      </w:hyperlink>
      <w:r>
        <w:rPr>
          <w:rFonts w:ascii="arial" w:eastAsia="arial" w:hAnsi="arial" w:cs="arial"/>
          <w:color w:val="000000"/>
          <w:sz w:val="20"/>
          <w:lang w:val="en-US" w:eastAsia="en-US" w:bidi="ar-SA"/>
        </w:rPr>
        <w:t xml:space="preserve">, as amended, neither the </w:t>
      </w:r>
      <w:r>
        <w:rPr>
          <w:rFonts w:ascii="arial" w:eastAsia="arial" w:hAnsi="arial" w:cs="arial"/>
          <w:i/>
          <w:color w:val="000000"/>
          <w:sz w:val="20"/>
          <w:lang w:val="en-US" w:eastAsia="en-US" w:bidi="ar-SA"/>
        </w:rPr>
        <w:t>EMA</w:t>
      </w:r>
      <w:r>
        <w:rPr>
          <w:rFonts w:ascii="arial" w:eastAsia="arial" w:hAnsi="arial" w:cs="arial"/>
          <w:color w:val="000000"/>
          <w:sz w:val="20"/>
          <w:lang w:val="en-US" w:eastAsia="en-US" w:bidi="ar-SA"/>
        </w:rPr>
        <w:t xml:space="preserve"> nor the </w:t>
      </w:r>
      <w:r>
        <w:rPr>
          <w:rFonts w:ascii="arial" w:eastAsia="arial" w:hAnsi="arial" w:cs="arial"/>
          <w:i/>
          <w:color w:val="000000"/>
          <w:sz w:val="20"/>
          <w:lang w:val="en-US" w:eastAsia="en-US" w:bidi="ar-SA"/>
        </w:rPr>
        <w:t>Fisheries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has forthright language that provides that a director may be personally liable for the actions of a corporation.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AG of Canada referred to several authorities to support its application: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72597 Ontario Ltd. v. Ontario (Min. of Environment and Energy)</w:t>
      </w:r>
      <w:r>
        <w:rPr>
          <w:rFonts w:ascii="arial" w:eastAsia="arial" w:hAnsi="arial" w:cs="arial"/>
          <w:color w:val="000000"/>
          <w:sz w:val="20"/>
          <w:lang w:val="en-US" w:eastAsia="en-US" w:bidi="ar-SA"/>
        </w:rPr>
        <w:t xml:space="preserve"> </w:t>
      </w:r>
      <w:hyperlink r:id="rId211" w:history="1">
        <w:r>
          <w:rPr>
            <w:rFonts w:ascii="arial" w:eastAsia="arial" w:hAnsi="arial" w:cs="arial"/>
            <w:i/>
            <w:color w:val="0077CC"/>
            <w:sz w:val="20"/>
            <w:u w:val="single"/>
            <w:shd w:val="clear" w:color="auto" w:fill="FFFFFF"/>
            <w:lang w:val="en-US" w:eastAsia="en-US" w:bidi="ar-SA"/>
          </w:rPr>
          <w:t>(1994), 13 C.E.L.R. (N.S.) 257</w:t>
        </w:r>
      </w:hyperlink>
      <w:r>
        <w:rPr>
          <w:rFonts w:ascii="arial" w:eastAsia="arial" w:hAnsi="arial" w:cs="arial"/>
          <w:color w:val="000000"/>
          <w:sz w:val="20"/>
          <w:lang w:val="en-US" w:eastAsia="en-US" w:bidi="ar-SA"/>
        </w:rPr>
        <w:t xml:space="preserve"> (O.E.A.B.), aff'd (1995) 26 I.R. (3d) 423 (Ont. Div. Ct.), leave to appeal refused </w:t>
      </w:r>
      <w:hyperlink r:id="rId212" w:history="1">
        <w:r>
          <w:rPr>
            <w:rFonts w:ascii="arial" w:eastAsia="arial" w:hAnsi="arial" w:cs="arial"/>
            <w:i/>
            <w:color w:val="0077CC"/>
            <w:sz w:val="20"/>
            <w:u w:val="single"/>
            <w:shd w:val="clear" w:color="auto" w:fill="FFFFFF"/>
            <w:lang w:val="en-US" w:eastAsia="en-US" w:bidi="ar-SA"/>
          </w:rPr>
          <w:t>1996 CarswellOnt 737</w:t>
        </w:r>
      </w:hyperlink>
      <w:r>
        <w:rPr>
          <w:rFonts w:ascii="arial" w:eastAsia="arial" w:hAnsi="arial" w:cs="arial"/>
          <w:color w:val="000000"/>
          <w:sz w:val="20"/>
          <w:lang w:val="en-US" w:eastAsia="en-US" w:bidi="ar-SA"/>
        </w:rPr>
        <w:t xml:space="preserve"> (C.A.);</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Montague v. Ontario (Ministry of the Environment)</w:t>
      </w:r>
      <w:r>
        <w:rPr>
          <w:rFonts w:ascii="arial" w:eastAsia="arial" w:hAnsi="arial" w:cs="arial"/>
          <w:color w:val="000000"/>
          <w:sz w:val="20"/>
          <w:lang w:val="en-US" w:eastAsia="en-US" w:bidi="ar-SA"/>
        </w:rPr>
        <w:t xml:space="preserve">, </w:t>
      </w:r>
      <w:hyperlink r:id="rId213" w:history="1">
        <w:r>
          <w:rPr>
            <w:rFonts w:ascii="arial" w:eastAsia="arial" w:hAnsi="arial" w:cs="arial"/>
            <w:i/>
            <w:color w:val="0077CC"/>
            <w:sz w:val="20"/>
            <w:u w:val="single"/>
            <w:shd w:val="clear" w:color="auto" w:fill="FFFFFF"/>
            <w:lang w:val="en-US" w:eastAsia="en-US" w:bidi="ar-SA"/>
          </w:rPr>
          <w:t>[2005] O.J. No. 868</w:t>
        </w:r>
      </w:hyperlink>
      <w:r>
        <w:rPr>
          <w:rFonts w:ascii="arial" w:eastAsia="arial" w:hAnsi="arial" w:cs="arial"/>
          <w:color w:val="000000"/>
          <w:sz w:val="20"/>
          <w:lang w:val="en-US" w:eastAsia="en-US" w:bidi="ar-SA"/>
        </w:rPr>
        <w:t xml:space="preserve">, </w:t>
      </w:r>
      <w:hyperlink r:id="rId213" w:history="1">
        <w:r>
          <w:rPr>
            <w:rFonts w:ascii="arial" w:eastAsia="arial" w:hAnsi="arial" w:cs="arial"/>
            <w:i/>
            <w:color w:val="0077CC"/>
            <w:sz w:val="20"/>
            <w:u w:val="single"/>
            <w:shd w:val="clear" w:color="auto" w:fill="FFFFFF"/>
            <w:lang w:val="en-US" w:eastAsia="en-US" w:bidi="ar-SA"/>
          </w:rPr>
          <w:t>196 O.A.C. 173</w:t>
        </w:r>
      </w:hyperlink>
      <w:r>
        <w:rPr>
          <w:rFonts w:ascii="arial" w:eastAsia="arial" w:hAnsi="arial" w:cs="arial"/>
          <w:color w:val="000000"/>
          <w:sz w:val="20"/>
          <w:lang w:val="en-US" w:eastAsia="en-US" w:bidi="ar-SA"/>
        </w:rPr>
        <w:t xml:space="preserve"> (Ont. Div. Ct.);</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Standard Trust Co. (Liquidator of) v. Lindsay Holdings Ltd.</w:t>
      </w:r>
      <w:r>
        <w:rPr>
          <w:rFonts w:ascii="arial" w:eastAsia="arial" w:hAnsi="arial" w:cs="arial"/>
          <w:color w:val="000000"/>
          <w:sz w:val="20"/>
          <w:lang w:val="en-US" w:eastAsia="en-US" w:bidi="ar-SA"/>
        </w:rPr>
        <w:t xml:space="preserve">, </w:t>
      </w:r>
      <w:hyperlink r:id="rId214" w:history="1">
        <w:r>
          <w:rPr>
            <w:rFonts w:ascii="arial" w:eastAsia="arial" w:hAnsi="arial" w:cs="arial"/>
            <w:i/>
            <w:color w:val="0077CC"/>
            <w:sz w:val="20"/>
            <w:u w:val="single"/>
            <w:shd w:val="clear" w:color="auto" w:fill="FFFFFF"/>
            <w:lang w:val="en-US" w:eastAsia="en-US" w:bidi="ar-SA"/>
          </w:rPr>
          <w:t>[1994] B.C.J. No. 2638</w:t>
        </w:r>
      </w:hyperlink>
      <w:r>
        <w:rPr>
          <w:rFonts w:ascii="arial" w:eastAsia="arial" w:hAnsi="arial" w:cs="arial"/>
          <w:color w:val="000000"/>
          <w:sz w:val="20"/>
          <w:lang w:val="en-US" w:eastAsia="en-US" w:bidi="ar-SA"/>
        </w:rPr>
        <w:t xml:space="preserve"> (S.C.);</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Beazer East, Inc. v. Environmental Appeal Board</w:t>
      </w:r>
      <w:r>
        <w:rPr>
          <w:rFonts w:ascii="arial" w:eastAsia="arial" w:hAnsi="arial" w:cs="arial"/>
          <w:color w:val="000000"/>
          <w:sz w:val="20"/>
          <w:lang w:val="en-US" w:eastAsia="en-US" w:bidi="ar-SA"/>
        </w:rPr>
        <w:t xml:space="preserve">, </w:t>
      </w:r>
      <w:hyperlink r:id="rId215" w:history="1">
        <w:r>
          <w:rPr>
            <w:rFonts w:ascii="arial" w:eastAsia="arial" w:hAnsi="arial" w:cs="arial"/>
            <w:i/>
            <w:color w:val="0077CC"/>
            <w:sz w:val="20"/>
            <w:u w:val="single"/>
            <w:shd w:val="clear" w:color="auto" w:fill="FFFFFF"/>
            <w:lang w:val="en-US" w:eastAsia="en-US" w:bidi="ar-SA"/>
          </w:rPr>
          <w:t>2000 BCSC 1698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Beazer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While none of the authorities provide complete support for the AG of Canada's application, they do serve to kindle the argument that the rule in </w:t>
      </w:r>
      <w:r>
        <w:rPr>
          <w:rFonts w:ascii="arial" w:eastAsia="arial" w:hAnsi="arial" w:cs="arial"/>
          <w:i/>
          <w:color w:val="000000"/>
          <w:sz w:val="20"/>
          <w:lang w:val="en-US" w:eastAsia="en-US" w:bidi="ar-SA"/>
        </w:rPr>
        <w:t>Salomon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v. Salomon</w:t>
      </w:r>
      <w:r>
        <w:rPr>
          <w:rFonts w:ascii="arial" w:eastAsia="arial" w:hAnsi="arial" w:cs="arial"/>
          <w:color w:val="000000"/>
          <w:sz w:val="20"/>
          <w:lang w:val="en-US" w:eastAsia="en-US" w:bidi="ar-SA"/>
        </w:rPr>
        <w:t xml:space="preserve"> does not apply, and it can be said there is a "possible cause of action" against Mr. Mann.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The AG of Canada's argument that </w:t>
      </w:r>
      <w:r>
        <w:rPr>
          <w:rFonts w:ascii="arial" w:eastAsia="arial" w:hAnsi="arial" w:cs="arial"/>
          <w:i/>
          <w:color w:val="000000"/>
          <w:sz w:val="20"/>
          <w:lang w:val="en-US" w:eastAsia="en-US" w:bidi="ar-SA"/>
        </w:rPr>
        <w:t>Salomon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v. Salomon</w:t>
      </w:r>
      <w:r>
        <w:rPr>
          <w:rFonts w:ascii="arial" w:eastAsia="arial" w:hAnsi="arial" w:cs="arial"/>
          <w:color w:val="000000"/>
          <w:sz w:val="20"/>
          <w:lang w:val="en-US" w:eastAsia="en-US" w:bidi="ar-SA"/>
        </w:rPr>
        <w:t xml:space="preserve"> does not apply is stronger under the </w:t>
      </w:r>
      <w:r>
        <w:rPr>
          <w:rFonts w:ascii="arial" w:eastAsia="arial" w:hAnsi="arial" w:cs="arial"/>
          <w:i/>
          <w:color w:val="000000"/>
          <w:sz w:val="20"/>
          <w:lang w:val="en-US" w:eastAsia="en-US" w:bidi="ar-SA"/>
        </w:rPr>
        <w:t>EMA</w:t>
      </w:r>
      <w:r>
        <w:rPr>
          <w:rFonts w:ascii="arial" w:eastAsia="arial" w:hAnsi="arial" w:cs="arial"/>
          <w:color w:val="000000"/>
          <w:sz w:val="20"/>
          <w:lang w:val="en-US" w:eastAsia="en-US" w:bidi="ar-SA"/>
        </w:rPr>
        <w:t xml:space="preserve"> than the </w:t>
      </w:r>
      <w:r>
        <w:rPr>
          <w:rFonts w:ascii="arial" w:eastAsia="arial" w:hAnsi="arial" w:cs="arial"/>
          <w:i/>
          <w:color w:val="000000"/>
          <w:sz w:val="20"/>
          <w:lang w:val="en-US" w:eastAsia="en-US" w:bidi="ar-SA"/>
        </w:rPr>
        <w:t>Fisheries Act</w:t>
      </w:r>
      <w:r>
        <w:rPr>
          <w:rFonts w:ascii="arial" w:eastAsia="arial" w:hAnsi="arial" w:cs="arial"/>
          <w:color w:val="000000"/>
          <w:sz w:val="20"/>
          <w:lang w:val="en-US" w:eastAsia="en-US" w:bidi="ar-SA"/>
        </w:rPr>
        <w:t xml:space="preserve"> because secured creditors are specifically excluded from the definition of "operator". One would not normally expect a secured creditor to be in control of or responsible for an operation. The fact that secured creditors are excluded supports the AG of Canada's argument that the definition of operator is broad enough to include corporate directors, officers and managers.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Section 35(4) of the </w:t>
      </w:r>
      <w:r>
        <w:rPr>
          <w:rFonts w:ascii="arial" w:eastAsia="arial" w:hAnsi="arial" w:cs="arial"/>
          <w:i/>
          <w:color w:val="000000"/>
          <w:sz w:val="20"/>
          <w:lang w:val="en-US" w:eastAsia="en-US" w:bidi="ar-SA"/>
        </w:rPr>
        <w:t>CSR</w:t>
      </w:r>
      <w:r>
        <w:rPr>
          <w:rFonts w:ascii="arial" w:eastAsia="arial" w:hAnsi="arial" w:cs="arial"/>
          <w:color w:val="000000"/>
          <w:sz w:val="20"/>
          <w:lang w:val="en-US" w:eastAsia="en-US" w:bidi="ar-SA"/>
        </w:rPr>
        <w:t xml:space="preserve"> also supports the AG of Canada's argument in that the Regulation contemplates actions under s. 47 of the </w:t>
      </w:r>
      <w:r>
        <w:rPr>
          <w:rFonts w:ascii="arial" w:eastAsia="arial" w:hAnsi="arial" w:cs="arial"/>
          <w:i/>
          <w:color w:val="000000"/>
          <w:sz w:val="20"/>
          <w:lang w:val="en-US" w:eastAsia="en-US" w:bidi="ar-SA"/>
        </w:rPr>
        <w:t>EMA</w:t>
      </w:r>
      <w:r>
        <w:rPr>
          <w:rFonts w:ascii="arial" w:eastAsia="arial" w:hAnsi="arial" w:cs="arial"/>
          <w:color w:val="000000"/>
          <w:sz w:val="20"/>
          <w:lang w:val="en-US" w:eastAsia="en-US" w:bidi="ar-SA"/>
        </w:rPr>
        <w:t xml:space="preserve"> against a "director, officer, employee or agent of a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definition of "person" also includes "any director, officer, employee or agent of a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Finally, in </w:t>
      </w:r>
      <w:r>
        <w:rPr>
          <w:rFonts w:ascii="arial" w:eastAsia="arial" w:hAnsi="arial" w:cs="arial"/>
          <w:i/>
          <w:color w:val="000000"/>
          <w:sz w:val="20"/>
          <w:lang w:val="en-US" w:eastAsia="en-US" w:bidi="ar-SA"/>
        </w:rPr>
        <w:t>Beazer</w:t>
      </w:r>
      <w:r>
        <w:rPr>
          <w:rFonts w:ascii="arial" w:eastAsia="arial" w:hAnsi="arial" w:cs="arial"/>
          <w:color w:val="000000"/>
          <w:sz w:val="20"/>
          <w:lang w:val="en-US" w:eastAsia="en-US" w:bidi="ar-SA"/>
        </w:rPr>
        <w:t xml:space="preserve">, Justice Tysoe, then sitting in this Court, in considering the meaning of "operator" in the predecessor legislation, the </w:t>
      </w:r>
      <w:r>
        <w:rPr>
          <w:rFonts w:ascii="arial" w:eastAsia="arial" w:hAnsi="arial" w:cs="arial"/>
          <w:i/>
          <w:color w:val="000000"/>
          <w:sz w:val="20"/>
          <w:lang w:val="en-US" w:eastAsia="en-US" w:bidi="ar-SA"/>
        </w:rPr>
        <w:t>Waste Management Act</w:t>
      </w:r>
      <w:r>
        <w:rPr>
          <w:rFonts w:ascii="arial" w:eastAsia="arial" w:hAnsi="arial" w:cs="arial"/>
          <w:color w:val="000000"/>
          <w:sz w:val="20"/>
          <w:lang w:val="en-US" w:eastAsia="en-US" w:bidi="ar-SA"/>
        </w:rPr>
        <w:t xml:space="preserve">, </w:t>
      </w:r>
      <w:hyperlink r:id="rId216" w:history="1">
        <w:r>
          <w:rPr>
            <w:rFonts w:ascii="arial" w:eastAsia="arial" w:hAnsi="arial" w:cs="arial"/>
            <w:i/>
            <w:color w:val="0077CC"/>
            <w:sz w:val="20"/>
            <w:u w:val="single"/>
            <w:shd w:val="clear" w:color="auto" w:fill="FFFFFF"/>
            <w:lang w:val="en-US" w:eastAsia="en-US" w:bidi="ar-SA"/>
          </w:rPr>
          <w:t>R.S.B.C. 1996, c. 482</w:t>
        </w:r>
      </w:hyperlink>
      <w:r>
        <w:rPr>
          <w:rFonts w:ascii="arial" w:eastAsia="arial" w:hAnsi="arial" w:cs="arial"/>
          <w:color w:val="000000"/>
          <w:sz w:val="20"/>
          <w:lang w:val="en-US" w:eastAsia="en-US" w:bidi="ar-SA"/>
        </w:rPr>
        <w: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[110] In general terms, it is my view that the intention of the Legislature was to include persons who made decisions or had the authority to make decisions with respect to any operation on the site. These are the persons who are potentially culpable because they were the ones who made or could have made decisions in relation to operations on the site, which may have included operations that caused or contributed to the contamination. A person who makes the decisions with respect to an operation is "in control" of the operation and a person who has the authority to make the decisions with respect to an operation is "responsible" for the operation. In my opinion, a person who is responsible for an operation is one who is accountable for the operation but the accountability is not necessarily legally enforceable.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[111] I also believe in using the word "responsible", the Legislature intended to include persons who brought about an operation in the sense of causing the operation to be carried on or carried out. Such a person would be responsible for the operation because, but for the actions or decision of that person, the operation would not have been carried on or carried out. This is consistent with the second definition of the word "responsibility" which I quoted above from the Concise Oxford Dictionary (namely, "being the primary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In sum, subject to Mr. Mann's further arguments set forth below, the AG of Canada has met the threshold of establishing "a possible cause of action" under both the </w:t>
      </w:r>
      <w:r>
        <w:rPr>
          <w:rFonts w:ascii="arial" w:eastAsia="arial" w:hAnsi="arial" w:cs="arial"/>
          <w:i/>
          <w:color w:val="000000"/>
          <w:sz w:val="20"/>
          <w:lang w:val="en-US" w:eastAsia="en-US" w:bidi="ar-SA"/>
        </w:rPr>
        <w:t>Fisheries Act</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EMA</w:t>
      </w:r>
      <w:r>
        <w:rPr>
          <w:rFonts w:ascii="arial" w:eastAsia="arial" w:hAnsi="arial" w:cs="arial"/>
          <w:color w:val="000000"/>
          <w:sz w:val="20"/>
          <w:lang w:val="en-US" w:eastAsia="en-US" w:bidi="ar-SA"/>
        </w:rPr>
        <w:t>. The possible causes of action against Mr. Mann are based on statute. Without the protection of corporate liability, there is no need for the AG of Canada to plead separate allegations.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AG of Canada in its amended counterclaim has pleaded: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53 Canada has and continues to incur costs and expense in dealing with the contaminants and investigating and remediating the Premises and the Reserve, which costs include but are not limited to:</w:t>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investigation and inspection of the Premises and the Reserve, including tests, sampling, data evaluation, risk assessment and environmental impact assessment;</w:t>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taking the </w:t>
      </w:r>
      <w:r>
        <w:rPr>
          <w:rFonts w:ascii="arial" w:eastAsia="arial" w:hAnsi="arial" w:cs="arial"/>
          <w:i/>
          <w:color w:val="000000"/>
          <w:sz w:val="20"/>
          <w:lang w:val="en-US" w:eastAsia="en-US" w:bidi="ar-SA"/>
        </w:rPr>
        <w:t>Fisheries Act</w:t>
      </w:r>
      <w:r>
        <w:rPr>
          <w:rFonts w:ascii="arial" w:eastAsia="arial" w:hAnsi="arial" w:cs="arial"/>
          <w:color w:val="000000"/>
          <w:sz w:val="20"/>
          <w:lang w:val="en-US" w:eastAsia="en-US" w:bidi="ar-SA"/>
        </w:rPr>
        <w:t xml:space="preserve"> Remedial Measures described in Part 3 below;</w:t>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preparation of a closure plan and a remediation plan;</w:t>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implementation of a closure plan and a remediation plan; and</w:t>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legal and consultant costs.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(collectively, the "Remediation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 Mann argues: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no evidence that Canada has incurred remediation costs. In fact, the only evidence before the Court in this Application is that they have either not incurred those costs or have refused to produce any proof of those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Mr. Mann asserts that the affidavits filed in support of the application provide no evidence of expenses incurred and that the document disclosures to date reflect none. He states that without incurred costs neither the </w:t>
      </w:r>
      <w:r>
        <w:rPr>
          <w:rFonts w:ascii="arial" w:eastAsia="arial" w:hAnsi="arial" w:cs="arial"/>
          <w:i/>
          <w:color w:val="000000"/>
          <w:sz w:val="20"/>
          <w:lang w:val="en-US" w:eastAsia="en-US" w:bidi="ar-SA"/>
        </w:rPr>
        <w:t>Fisheries Act</w:t>
      </w:r>
      <w:r>
        <w:rPr>
          <w:rFonts w:ascii="arial" w:eastAsia="arial" w:hAnsi="arial" w:cs="arial"/>
          <w:color w:val="000000"/>
          <w:sz w:val="20"/>
          <w:lang w:val="en-US" w:eastAsia="en-US" w:bidi="ar-SA"/>
        </w:rPr>
        <w:t xml:space="preserve"> nor the </w:t>
      </w:r>
      <w:r>
        <w:rPr>
          <w:rFonts w:ascii="arial" w:eastAsia="arial" w:hAnsi="arial" w:cs="arial"/>
          <w:i/>
          <w:color w:val="000000"/>
          <w:sz w:val="20"/>
          <w:lang w:val="en-US" w:eastAsia="en-US" w:bidi="ar-SA"/>
        </w:rPr>
        <w:t>EMA</w:t>
      </w:r>
      <w:r>
        <w:rPr>
          <w:rFonts w:ascii="arial" w:eastAsia="arial" w:hAnsi="arial" w:cs="arial"/>
          <w:color w:val="000000"/>
          <w:sz w:val="20"/>
          <w:lang w:val="en-US" w:eastAsia="en-US" w:bidi="ar-SA"/>
        </w:rPr>
        <w:t xml:space="preserve"> can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As set forth in </w:t>
      </w:r>
      <w:r>
        <w:rPr>
          <w:rFonts w:ascii="arial" w:eastAsia="arial" w:hAnsi="arial" w:cs="arial"/>
          <w:i/>
          <w:color w:val="000000"/>
          <w:sz w:val="20"/>
          <w:lang w:val="en-US" w:eastAsia="en-US" w:bidi="ar-SA"/>
        </w:rPr>
        <w:t>Neilson Architects</w:t>
      </w:r>
      <w:r>
        <w:rPr>
          <w:rFonts w:ascii="arial" w:eastAsia="arial" w:hAnsi="arial" w:cs="arial"/>
          <w:color w:val="000000"/>
          <w:sz w:val="20"/>
          <w:lang w:val="en-US" w:eastAsia="en-US" w:bidi="ar-SA"/>
        </w:rPr>
        <w:t>, the threshold of disclosing a possible cause of action "may be met solely on the basis" of the pleadings (para. 45). Paragraph 53 of the proposed amended counterclaim satisfies this requirement.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The rule that evidence is not required at the pleadings stage was reinforced by Justice McLachlin (as she then was) writing for our Court of Appeal in </w:t>
      </w:r>
      <w:r>
        <w:rPr>
          <w:rFonts w:ascii="arial" w:eastAsia="arial" w:hAnsi="arial" w:cs="arial"/>
          <w:i/>
          <w:color w:val="000000"/>
          <w:sz w:val="20"/>
          <w:lang w:val="en-US" w:eastAsia="en-US" w:bidi="ar-SA"/>
        </w:rPr>
        <w:t>McNaughton v. Baker</w:t>
      </w:r>
      <w:r>
        <w:rPr>
          <w:rFonts w:ascii="arial" w:eastAsia="arial" w:hAnsi="arial" w:cs="arial"/>
          <w:color w:val="000000"/>
          <w:sz w:val="20"/>
          <w:lang w:val="en-US" w:eastAsia="en-US" w:bidi="ar-SA"/>
        </w:rPr>
        <w:t xml:space="preserve"> </w:t>
      </w:r>
      <w:hyperlink r:id="rId217" w:history="1">
        <w:r>
          <w:rPr>
            <w:rFonts w:ascii="arial" w:eastAsia="arial" w:hAnsi="arial" w:cs="arial"/>
            <w:i/>
            <w:color w:val="0077CC"/>
            <w:sz w:val="20"/>
            <w:u w:val="single"/>
            <w:shd w:val="clear" w:color="auto" w:fill="FFFFFF"/>
            <w:lang w:val="en-US" w:eastAsia="en-US" w:bidi="ar-SA"/>
          </w:rPr>
          <w:t>(1988), 25 B.C.L.R. (2d) 17</w:t>
        </w:r>
      </w:hyperlink>
      <w:r>
        <w:rPr>
          <w:rFonts w:ascii="arial" w:eastAsia="arial" w:hAnsi="arial" w:cs="arial"/>
          <w:color w:val="000000"/>
          <w:sz w:val="20"/>
          <w:lang w:val="en-US" w:eastAsia="en-US" w:bidi="ar-SA"/>
        </w:rPr>
        <w:t xml:space="preserve"> (C.A.). Allowing an amendment to a third party notice (a close relation to a counterclaim) which in the circumstances was equivalent to not "striking out a third party notice", she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23] The proposition that a party is generally not required to adduce evidence in support of pleadings also applies to the amendment of pleadings. The Supreme Court Practice (the White Book), dealing with Order 28, r. 1, the predecessor of our rule on amendment, summarizes the principles governing the granting of amendments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Tidesley v. Harper</w:t>
      </w:r>
      <w:r>
        <w:rPr>
          <w:rFonts w:ascii="arial" w:eastAsia="arial" w:hAnsi="arial" w:cs="arial"/>
          <w:color w:val="000000"/>
          <w:sz w:val="20"/>
          <w:lang w:val="en-US" w:eastAsia="en-US" w:bidi="ar-SA"/>
        </w:rPr>
        <w:t>, 10 Ch. D. pp. 396, 397 Bramwell, L.J., said</w:t>
      </w:r>
      <w:r>
        <w:rPr>
          <w:rFonts w:ascii="arial" w:eastAsia="arial" w:hAnsi="arial" w:cs="arial"/>
          <w:i/>
          <w:color w:val="000000"/>
          <w:sz w:val="20"/>
          <w:lang w:val="en-US" w:eastAsia="en-US" w:bidi="ar-SA"/>
        </w:rPr>
        <w:t>: '</w:t>
      </w:r>
      <w:r>
        <w:rPr>
          <w:rFonts w:ascii="arial" w:eastAsia="arial" w:hAnsi="arial" w:cs="arial"/>
          <w:color w:val="000000"/>
          <w:sz w:val="20"/>
          <w:u w:val="single"/>
          <w:lang w:val="en-US" w:eastAsia="en-US" w:bidi="ar-SA"/>
        </w:rPr>
        <w:t>My practice has always been to give leave to amend unless I have been satisfied that the party applying was acting mala fide, or that, by his blunder, he had done some injury to his opponent which could not be compensated for by costs or otherwise'. 'However negligent or careless may have been the first omission, and however late the proposed amendment, the amendment should be allowed if it can be made without injustice to the other side. There is no injustice if the other side can be compensated by costs'</w:t>
      </w:r>
      <w:r>
        <w:rPr>
          <w:rFonts w:ascii="arial" w:eastAsia="arial" w:hAnsi="arial" w:cs="arial"/>
          <w:i/>
          <w:color w:val="000000"/>
          <w:sz w:val="20"/>
          <w:lang w:val="en-US" w:eastAsia="en-US" w:bidi="ar-SA"/>
        </w:rPr>
        <w:t xml:space="preserve"> (per Brett, M.R., Clarapede v. Commercial Union Association, 32 W.R p. 263; Weldon v. Neal, 19 Q.B.D. p. 396; Australian Steam Navigation Co. v. Smith, 4 App. Cas. p. 320; Hunt v. Rice &amp; Son, 53 T.L.R 931, C.A.</w:t>
      </w:r>
      <w:r>
        <w:rPr>
          <w:rFonts w:ascii="arial" w:eastAsia="arial" w:hAnsi="arial" w:cs="arial"/>
          <w:color w:val="000000"/>
          <w:sz w:val="20"/>
          <w:lang w:val="en-US" w:eastAsia="en-US" w:bidi="ar-SA"/>
        </w:rPr>
        <w:t xml:space="preserve">; and see the remarks of Bowen, L.J., </w:t>
      </w:r>
      <w:r>
        <w:rPr>
          <w:rFonts w:ascii="arial" w:eastAsia="arial" w:hAnsi="arial" w:cs="arial"/>
          <w:i/>
          <w:color w:val="000000"/>
          <w:sz w:val="20"/>
          <w:lang w:val="en-US" w:eastAsia="en-US" w:bidi="ar-SA"/>
        </w:rPr>
        <w:t>Cropper v. Smith</w:t>
      </w:r>
      <w:r>
        <w:rPr>
          <w:rFonts w:ascii="arial" w:eastAsia="arial" w:hAnsi="arial" w:cs="arial"/>
          <w:color w:val="000000"/>
          <w:sz w:val="20"/>
          <w:lang w:val="en-US" w:eastAsia="en-US" w:bidi="ar-SA"/>
        </w:rPr>
        <w:t xml:space="preserve">, 26 Ch. D. pp. 710, 711; of Lindley, L.J., </w:t>
      </w:r>
      <w:r>
        <w:rPr>
          <w:rFonts w:ascii="arial" w:eastAsia="arial" w:hAnsi="arial" w:cs="arial"/>
          <w:i/>
          <w:color w:val="000000"/>
          <w:sz w:val="20"/>
          <w:lang w:val="en-US" w:eastAsia="en-US" w:bidi="ar-SA"/>
        </w:rPr>
        <w:t>Indigo Co. v. Ogilvy</w:t>
      </w:r>
      <w:r>
        <w:rPr>
          <w:rFonts w:ascii="arial" w:eastAsia="arial" w:hAnsi="arial" w:cs="arial"/>
          <w:color w:val="000000"/>
          <w:sz w:val="20"/>
          <w:lang w:val="en-US" w:eastAsia="en-US" w:bidi="ar-SA"/>
        </w:rPr>
        <w:t xml:space="preserve">, [1891] 2 Ch. 39; and of Pollock B., </w:t>
      </w:r>
      <w:r>
        <w:rPr>
          <w:rFonts w:ascii="arial" w:eastAsia="arial" w:hAnsi="arial" w:cs="arial"/>
          <w:i/>
          <w:color w:val="000000"/>
          <w:sz w:val="20"/>
          <w:lang w:val="en-US" w:eastAsia="en-US" w:bidi="ar-SA"/>
        </w:rPr>
        <w:t>Steward v. North Metropolitan Tramways Co.</w:t>
      </w:r>
      <w:r>
        <w:rPr>
          <w:rFonts w:ascii="arial" w:eastAsia="arial" w:hAnsi="arial" w:cs="arial"/>
          <w:color w:val="000000"/>
          <w:sz w:val="20"/>
          <w:lang w:val="en-US" w:eastAsia="en-US" w:bidi="ar-SA"/>
        </w:rPr>
        <w:t xml:space="preserve">, 16 Q.B.D. p. 180, and C.A. p. 558). An amendment ought to be allowed if thereby 'the real substantial question can be raised between the parties', and multiplicity of legal proceedings avoided (J.A., 1925, s. 43, Pt. IX, Div. I, </w:t>
      </w:r>
      <w:r>
        <w:rPr>
          <w:rFonts w:ascii="arial" w:eastAsia="arial" w:hAnsi="arial" w:cs="arial"/>
          <w:i/>
          <w:color w:val="000000"/>
          <w:sz w:val="20"/>
          <w:lang w:val="en-US" w:eastAsia="en-US" w:bidi="ar-SA"/>
        </w:rPr>
        <w:t>infra</w:t>
      </w:r>
      <w:r>
        <w:rPr>
          <w:rFonts w:ascii="arial" w:eastAsia="arial" w:hAnsi="arial" w:cs="arial"/>
          <w:color w:val="000000"/>
          <w:sz w:val="20"/>
          <w:lang w:val="en-US" w:eastAsia="en-US" w:bidi="ar-SA"/>
        </w:rPr>
        <w:t xml:space="preserve">; r. 12, </w:t>
      </w:r>
      <w:r>
        <w:rPr>
          <w:rFonts w:ascii="arial" w:eastAsia="arial" w:hAnsi="arial" w:cs="arial"/>
          <w:i/>
          <w:color w:val="000000"/>
          <w:sz w:val="20"/>
          <w:lang w:val="en-US" w:eastAsia="en-US" w:bidi="ar-SA"/>
        </w:rPr>
        <w:t>infra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Kurtz v. Spence</w:t>
      </w:r>
      <w:r>
        <w:rPr>
          <w:rFonts w:ascii="arial" w:eastAsia="arial" w:hAnsi="arial" w:cs="arial"/>
          <w:color w:val="000000"/>
          <w:sz w:val="20"/>
          <w:lang w:val="en-US" w:eastAsia="en-US" w:bidi="ar-SA"/>
        </w:rPr>
        <w:t xml:space="preserve">, 36 Ch. D. 774; </w:t>
      </w:r>
      <w:r>
        <w:rPr>
          <w:rFonts w:ascii="arial" w:eastAsia="arial" w:hAnsi="arial" w:cs="arial"/>
          <w:i/>
          <w:color w:val="000000"/>
          <w:sz w:val="20"/>
          <w:lang w:val="en-US" w:eastAsia="en-US" w:bidi="ar-SA"/>
        </w:rPr>
        <w:t>The Alert</w:t>
      </w:r>
      <w:r>
        <w:rPr>
          <w:rFonts w:ascii="arial" w:eastAsia="arial" w:hAnsi="arial" w:cs="arial"/>
          <w:color w:val="000000"/>
          <w:sz w:val="20"/>
          <w:lang w:val="en-US" w:eastAsia="en-US" w:bidi="ar-SA"/>
        </w:rPr>
        <w:t>, 72 L.T. 124). [emphasis added]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Order 28, r. 1 (mr. 305) provided:</w:t>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or a Judge may, at any stage of the proceedings, allow either party to alter or amend his endorsement or pleadings, in such manner and on such terms as may be just, and all such amendments shall be made as may be necessary for the purpose of determining the real questions in controversy between the parties.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[at 25] To require a party seeking to bring a third party claim to adduce evidence supporting that claim in advance of trial, is to deprive him of his right to plead a cause of action first and defer proof of it until trial. It is to require him to produce evidence at the outset, without the aid of discovery or the other means afforded by the rules for obtaining evidence, under peril that if he does not do so his claim will be struck out. It confuses the function of pleading - to outline the claim or defence - and the purpose of the trial - to determine whether, on the evidence, the claim or defence is made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If some evidence were required, Mr. Mackenzie, counsel for the AG of Canada, states that the AG of Canada "has delivered a Further Amended List of Documents that lists numerous documents related to the remediation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Mr. Mann asserted that AG of Canada has not pleaded that the site has been determined under s. 44 of the </w:t>
      </w:r>
      <w:r>
        <w:rPr>
          <w:rFonts w:ascii="arial" w:eastAsia="arial" w:hAnsi="arial" w:cs="arial"/>
          <w:i/>
          <w:color w:val="000000"/>
          <w:sz w:val="20"/>
          <w:lang w:val="en-US" w:eastAsia="en-US" w:bidi="ar-SA"/>
        </w:rPr>
        <w:t>EMA</w:t>
      </w:r>
      <w:r>
        <w:rPr>
          <w:rFonts w:ascii="arial" w:eastAsia="arial" w:hAnsi="arial" w:cs="arial"/>
          <w:color w:val="000000"/>
          <w:sz w:val="20"/>
          <w:lang w:val="en-US" w:eastAsia="en-US" w:bidi="ar-SA"/>
        </w:rPr>
        <w:t xml:space="preserve"> to be a "contaminated site". The AG of Canada says that s. 47(8) authorizes the Court to make the determination because the AG of Canada is conducting an independent remediation. I agree with the AG of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Mr. Mann also argues that the </w:t>
      </w:r>
      <w:r>
        <w:rPr>
          <w:rFonts w:ascii="arial" w:eastAsia="arial" w:hAnsi="arial" w:cs="arial"/>
          <w:i/>
          <w:color w:val="000000"/>
          <w:sz w:val="20"/>
          <w:lang w:val="en-US" w:eastAsia="en-US" w:bidi="ar-SA"/>
        </w:rPr>
        <w:t>EMA</w:t>
      </w:r>
      <w:r>
        <w:rPr>
          <w:rFonts w:ascii="arial" w:eastAsia="arial" w:hAnsi="arial" w:cs="arial"/>
          <w:color w:val="000000"/>
          <w:sz w:val="20"/>
          <w:lang w:val="en-US" w:eastAsia="en-US" w:bidi="ar-SA"/>
        </w:rPr>
        <w:t xml:space="preserve"> cannot apply because it is provincial legislation purporting to regulate the use of "Lands reserved for the Indians". The requisite notice under the </w:t>
      </w:r>
      <w:r>
        <w:rPr>
          <w:rFonts w:ascii="arial" w:eastAsia="arial" w:hAnsi="arial" w:cs="arial"/>
          <w:i/>
          <w:color w:val="000000"/>
          <w:sz w:val="20"/>
          <w:lang w:val="en-US" w:eastAsia="en-US" w:bidi="ar-SA"/>
        </w:rPr>
        <w:t>Constitutional Question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68</w:t>
      </w:r>
      <w:r>
        <w:rPr>
          <w:rFonts w:ascii="arial" w:eastAsia="arial" w:hAnsi="arial" w:cs="arial"/>
          <w:color w:val="000000"/>
          <w:sz w:val="20"/>
          <w:lang w:val="en-US" w:eastAsia="en-US" w:bidi="ar-SA"/>
        </w:rPr>
        <w:t>, was served.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In his written argument, Mr. Mann states:</w:t>
      </w:r>
      <w:r>
        <w:rPr>
          <w:rFonts w:ascii="arial" w:eastAsia="arial" w:hAnsi="arial" w:cs="arial"/>
          <w:sz w:val="20"/>
          <w:lang w:val="en-US" w:eastAsia="en-US" w:bidi="ar-SA"/>
        </w:rPr>
        <w:cr/>
      </w:r>
    </w:p>
    <w:p>
      <w:pPr>
        <w:numPr>
          <w:numId w:val="2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can be readily determined that the </w:t>
      </w:r>
      <w:r>
        <w:rPr>
          <w:rFonts w:ascii="arial" w:eastAsia="arial" w:hAnsi="arial" w:cs="arial"/>
          <w:i/>
          <w:color w:val="000000"/>
          <w:sz w:val="20"/>
          <w:lang w:val="en-US" w:eastAsia="en-US" w:bidi="ar-SA"/>
        </w:rPr>
        <w:t>Environmental Management Act</w:t>
      </w:r>
      <w:r>
        <w:rPr>
          <w:rFonts w:ascii="arial" w:eastAsia="arial" w:hAnsi="arial" w:cs="arial"/>
          <w:color w:val="000000"/>
          <w:sz w:val="20"/>
          <w:lang w:val="en-US" w:eastAsia="en-US" w:bidi="ar-SA"/>
        </w:rPr>
        <w:t xml:space="preserve"> as a whole regulates the use of land.</w:t>
      </w:r>
    </w:p>
    <w:p>
      <w:pPr>
        <w:numPr>
          <w:numId w:val="2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For example, under section 48 of the </w:t>
      </w:r>
      <w:r>
        <w:rPr>
          <w:rFonts w:ascii="arial" w:eastAsia="arial" w:hAnsi="arial" w:cs="arial"/>
          <w:i/>
          <w:color w:val="000000"/>
          <w:sz w:val="20"/>
          <w:lang w:val="en-US" w:eastAsia="en-US" w:bidi="ar-SA"/>
        </w:rPr>
        <w:t>EMA</w:t>
      </w:r>
      <w:r>
        <w:rPr>
          <w:rFonts w:ascii="arial" w:eastAsia="arial" w:hAnsi="arial" w:cs="arial"/>
          <w:color w:val="000000"/>
          <w:sz w:val="20"/>
          <w:lang w:val="en-US" w:eastAsia="en-US" w:bidi="ar-SA"/>
        </w:rPr>
        <w:t>, the Director can require remediation be carried out, provide security, including real property, prevent the person ordered from diminishing or reducing assets, prevent subdivision of land, and make orders allowing entry onto 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It is well established that with respect to constitutional matters a court should make its decision with the benefit of the factual background, except in the clearest of cases. As stated by Justice Saunders in </w:t>
      </w:r>
      <w:r>
        <w:rPr>
          <w:rFonts w:ascii="arial" w:eastAsia="arial" w:hAnsi="arial" w:cs="arial"/>
          <w:i/>
          <w:color w:val="000000"/>
          <w:sz w:val="20"/>
          <w:lang w:val="en-US" w:eastAsia="en-US" w:bidi="ar-SA"/>
        </w:rPr>
        <w:t>Moulton Contract Ltd. v. British Columbia</w:t>
      </w:r>
      <w:r>
        <w:rPr>
          <w:rFonts w:ascii="arial" w:eastAsia="arial" w:hAnsi="arial" w:cs="arial"/>
          <w:color w:val="000000"/>
          <w:sz w:val="20"/>
          <w:lang w:val="en-US" w:eastAsia="en-US" w:bidi="ar-SA"/>
        </w:rPr>
        <w:t xml:space="preserve">, </w:t>
      </w:r>
      <w:hyperlink r:id="rId218" w:history="1">
        <w:r>
          <w:rPr>
            <w:rFonts w:ascii="arial" w:eastAsia="arial" w:hAnsi="arial" w:cs="arial"/>
            <w:i/>
            <w:color w:val="0077CC"/>
            <w:sz w:val="20"/>
            <w:u w:val="single"/>
            <w:shd w:val="clear" w:color="auto" w:fill="FFFFFF"/>
            <w:lang w:val="en-US" w:eastAsia="en-US" w:bidi="ar-SA"/>
          </w:rPr>
          <w:t>2011 BCCA 311</w:t>
        </w:r>
      </w:hyperlink>
      <w:r>
        <w:rPr>
          <w:rFonts w:ascii="arial" w:eastAsia="arial" w:hAnsi="arial" w:cs="arial"/>
          <w:color w:val="000000"/>
          <w:sz w:val="20"/>
          <w:lang w:val="en-US" w:eastAsia="en-US" w:bidi="ar-SA"/>
        </w:rPr>
        <w:t xml:space="preserve">, leave to appeal to SCC on another point granted </w:t>
      </w:r>
      <w:hyperlink r:id="rId219" w:history="1">
        <w:r>
          <w:rPr>
            <w:rFonts w:ascii="arial" w:eastAsia="arial" w:hAnsi="arial" w:cs="arial"/>
            <w:i/>
            <w:color w:val="0077CC"/>
            <w:sz w:val="20"/>
            <w:u w:val="single"/>
            <w:shd w:val="clear" w:color="auto" w:fill="FFFFFF"/>
            <w:lang w:val="en-US" w:eastAsia="en-US" w:bidi="ar-SA"/>
          </w:rPr>
          <w:t>[2011] S.C.C.A. No. 360</w:t>
        </w:r>
      </w:hyperlink>
      <w:r>
        <w:rPr>
          <w:rFonts w:ascii="arial" w:eastAsia="arial" w:hAnsi="arial" w:cs="arial"/>
          <w:color w:val="000000"/>
          <w:sz w:val="20"/>
          <w:lang w:val="en-US" w:eastAsia="en-US" w:bidi="ar-SA"/>
        </w:rPr>
        <w:t xml:space="preserve">, appeal dismissed </w:t>
      </w:r>
      <w:hyperlink r:id="rId220" w:history="1">
        <w:r>
          <w:rPr>
            <w:rFonts w:ascii="arial" w:eastAsia="arial" w:hAnsi="arial" w:cs="arial"/>
            <w:i/>
            <w:color w:val="0077CC"/>
            <w:sz w:val="20"/>
            <w:u w:val="single"/>
            <w:shd w:val="clear" w:color="auto" w:fill="FFFFFF"/>
            <w:lang w:val="en-US" w:eastAsia="en-US" w:bidi="ar-SA"/>
          </w:rPr>
          <w:t>2013 SCC 26</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[66] I do not consider the issue of interjurisdictional immunity should be resolved on this pleadings motion. The Behns, supported by Chief Logan and the Fort Nelson First Nation, advance a theory, based upon jurisprudence from the Supreme Court of Canada, that I cannot say is doomed to fail. The issue would require evidence to determine the degree of "taking up" and the effect of such "taking up" on the core of the Fort Nelson First Nation's "Indianness."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[67] There is much merit in the comments of Madam Justice Southin in </w:t>
      </w:r>
      <w:r>
        <w:rPr>
          <w:rFonts w:ascii="arial" w:eastAsia="arial" w:hAnsi="arial" w:cs="arial"/>
          <w:i/>
          <w:color w:val="000000"/>
          <w:sz w:val="20"/>
          <w:lang w:val="en-US" w:eastAsia="en-US" w:bidi="ar-SA"/>
        </w:rPr>
        <w:t>Stoney Creek Indian Band v. Alcan Aluminum</w:t>
      </w:r>
      <w:r>
        <w:rPr>
          <w:rFonts w:ascii="arial" w:eastAsia="arial" w:hAnsi="arial" w:cs="arial"/>
          <w:color w:val="000000"/>
          <w:sz w:val="20"/>
          <w:lang w:val="en-US" w:eastAsia="en-US" w:bidi="ar-SA"/>
        </w:rPr>
        <w:t xml:space="preserve">, </w:t>
      </w:r>
      <w:hyperlink r:id="rId221" w:history="1">
        <w:r>
          <w:rPr>
            <w:rFonts w:ascii="arial" w:eastAsia="arial" w:hAnsi="arial" w:cs="arial"/>
            <w:i/>
            <w:color w:val="0077CC"/>
            <w:sz w:val="20"/>
            <w:u w:val="single"/>
            <w:shd w:val="clear" w:color="auto" w:fill="FFFFFF"/>
            <w:lang w:val="en-US" w:eastAsia="en-US" w:bidi="ar-SA"/>
          </w:rPr>
          <w:t>1999 BCCA 527</w:t>
        </w:r>
      </w:hyperlink>
      <w:r>
        <w:rPr>
          <w:rFonts w:ascii="arial" w:eastAsia="arial" w:hAnsi="arial" w:cs="arial"/>
          <w:color w:val="000000"/>
          <w:sz w:val="20"/>
          <w:lang w:val="en-US" w:eastAsia="en-US" w:bidi="ar-SA"/>
        </w:rPr>
        <w:t xml:space="preserve"> at para. 37, that it is not "in the broad public interest ... that a profoundly important question of constitutional law should be decided without the vital facts, both those </w:t>
      </w:r>
      <w:r>
        <w:rPr>
          <w:rFonts w:ascii="arial" w:eastAsia="arial" w:hAnsi="arial" w:cs="arial"/>
          <w:i/>
          <w:color w:val="000000"/>
          <w:sz w:val="20"/>
          <w:lang w:val="en-US" w:eastAsia="en-US" w:bidi="ar-SA"/>
        </w:rPr>
        <w:t>inter partes</w:t>
      </w:r>
      <w:r>
        <w:rPr>
          <w:rFonts w:ascii="arial" w:eastAsia="arial" w:hAnsi="arial" w:cs="arial"/>
          <w:color w:val="000000"/>
          <w:sz w:val="20"/>
          <w:lang w:val="en-US" w:eastAsia="en-US" w:bidi="ar-SA"/>
        </w:rPr>
        <w:t xml:space="preserve"> and constitutional." I would decline, therefore, to address the judge's reasons for judgment on the issue variously referred to as the constitutional issue on "taking up" or interjurisdictional immunity.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As the current proceedings show, the AG of Canada does not view the relevant provisions of the </w:t>
      </w:r>
      <w:r>
        <w:rPr>
          <w:rFonts w:ascii="arial" w:eastAsia="arial" w:hAnsi="arial" w:cs="arial"/>
          <w:i/>
          <w:color w:val="000000"/>
          <w:sz w:val="20"/>
          <w:lang w:val="en-US" w:eastAsia="en-US" w:bidi="ar-SA"/>
        </w:rPr>
        <w:t>EMA</w:t>
      </w:r>
      <w:r>
        <w:rPr>
          <w:rFonts w:ascii="arial" w:eastAsia="arial" w:hAnsi="arial" w:cs="arial"/>
          <w:color w:val="000000"/>
          <w:sz w:val="20"/>
          <w:lang w:val="en-US" w:eastAsia="en-US" w:bidi="ar-SA"/>
        </w:rPr>
        <w:t xml:space="preserve"> as giving rise to interjurisdictional immunity.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Finally, adding Mr. Mann as a defendant by way of counterclaim would be just and convenient to decide the issue between the parties. The costs associated with multiple proceedings will be avoided. Mr. Mann, as director, manager and officer of Atlantic, has a strong connection to the existing proceedings. Limitation periods are not engaged. I see little prejudice arising from adding Mr. Mann as a defendant by way of counterclaim. As noted, an injustice may be compensated by costs. I also find support in the description of third party proceedings by McLachlin J.A. in </w:t>
      </w:r>
      <w:r>
        <w:rPr>
          <w:rFonts w:ascii="arial" w:eastAsia="arial" w:hAnsi="arial" w:cs="arial"/>
          <w:i/>
          <w:color w:val="000000"/>
          <w:sz w:val="20"/>
          <w:lang w:val="en-US" w:eastAsia="en-US" w:bidi="ar-SA"/>
        </w:rPr>
        <w:t>McNaughton</w:t>
      </w:r>
      <w:r>
        <w:rPr>
          <w:rFonts w:ascii="arial" w:eastAsia="arial" w:hAnsi="arial" w:cs="arial"/>
          <w:color w:val="000000"/>
          <w:sz w:val="20"/>
          <w:lang w:val="en-US" w:eastAsia="en-US" w:bidi="ar-SA"/>
        </w:rPr>
        <w:t xml:space="preserve"> (at 21):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Third party pleadings function as a special type of statement of claim. Indeed, the claim they embody could be brought by separate action. But to avoid a multiplicity of proceedings, the rules permit the claim to be made in the action which has been commenced against the defendant. The object of permitting third party proceedings to be tried with the main action is to provide a single procedure for the resolution of related questions, issues or remedies, in order to avoid multiple actions and inconsistent findings, to provide a mechanism for the third party to defend the plaintiff's claim, and to ensure the third party claim is decided before a defendant is called upon to pay the full amount of any judgment. </w:t>
      </w:r>
      <w:r>
        <w:rPr>
          <w:rFonts w:ascii="arial" w:eastAsia="arial" w:hAnsi="arial" w:cs="arial"/>
          <w:color w:val="000000"/>
          <w:sz w:val="20"/>
          <w:u w:val="single"/>
          <w:lang w:val="en-US" w:eastAsia="en-US" w:bidi="ar-SA"/>
        </w:rPr>
        <w:t>The avoidance of a multiplicity of proceedings is fundamental to our rules of civil procedure.</w:t>
      </w:r>
      <w:r>
        <w:rPr>
          <w:rFonts w:ascii="arial" w:eastAsia="arial" w:hAnsi="arial" w:cs="arial"/>
          <w:color w:val="000000"/>
          <w:sz w:val="20"/>
          <w:lang w:val="en-US" w:eastAsia="en-US" w:bidi="ar-SA"/>
        </w:rPr>
        <w:t xml:space="preserve"> This has been the case since the reforms effected by the </w:t>
      </w:r>
      <w:r>
        <w:rPr>
          <w:rFonts w:ascii="arial" w:eastAsia="arial" w:hAnsi="arial" w:cs="arial"/>
          <w:i/>
          <w:color w:val="000000"/>
          <w:sz w:val="20"/>
          <w:lang w:val="en-US" w:eastAsia="en-US" w:bidi="ar-SA"/>
        </w:rPr>
        <w:t>Judicature Acts</w:t>
      </w:r>
      <w:r>
        <w:rPr>
          <w:rFonts w:ascii="arial" w:eastAsia="arial" w:hAnsi="arial" w:cs="arial"/>
          <w:color w:val="000000"/>
          <w:sz w:val="20"/>
          <w:lang w:val="en-US" w:eastAsia="en-US" w:bidi="ar-SA"/>
        </w:rPr>
        <w:t xml:space="preserve"> in the nineteenth century. As Cotton L.J. stated in </w:t>
      </w:r>
      <w:r>
        <w:rPr>
          <w:rFonts w:ascii="arial" w:eastAsia="arial" w:hAnsi="arial" w:cs="arial"/>
          <w:i/>
          <w:color w:val="000000"/>
          <w:sz w:val="20"/>
          <w:lang w:val="en-US" w:eastAsia="en-US" w:bidi="ar-SA"/>
        </w:rPr>
        <w:t>Searle v. Choat</w:t>
      </w:r>
      <w:r>
        <w:rPr>
          <w:rFonts w:ascii="arial" w:eastAsia="arial" w:hAnsi="arial" w:cs="arial"/>
          <w:color w:val="000000"/>
          <w:sz w:val="20"/>
          <w:lang w:val="en-US" w:eastAsia="en-US" w:bidi="ar-SA"/>
        </w:rPr>
        <w:t xml:space="preserve"> (1884), 25 Ch. D. 727: "The whole tenor of the </w:t>
      </w:r>
      <w:r>
        <w:rPr>
          <w:rFonts w:ascii="arial" w:eastAsia="arial" w:hAnsi="arial" w:cs="arial"/>
          <w:i/>
          <w:color w:val="000000"/>
          <w:sz w:val="20"/>
          <w:lang w:val="en-US" w:eastAsia="en-US" w:bidi="ar-SA"/>
        </w:rPr>
        <w:t>Judicature Acts</w:t>
      </w:r>
      <w:r>
        <w:rPr>
          <w:rFonts w:ascii="arial" w:eastAsia="arial" w:hAnsi="arial" w:cs="arial"/>
          <w:color w:val="000000"/>
          <w:sz w:val="20"/>
          <w:lang w:val="en-US" w:eastAsia="en-US" w:bidi="ar-SA"/>
        </w:rPr>
        <w:t xml:space="preserve"> is to require all proceedings as far as possible to be taken in one action." [my emphasis]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B.</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Hemmera</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In the introduction to its written argument, Hemmera summarized its role:</w:t>
      </w:r>
      <w:r>
        <w:rPr>
          <w:rFonts w:ascii="arial" w:eastAsia="arial" w:hAnsi="arial" w:cs="arial"/>
          <w:sz w:val="20"/>
          <w:lang w:val="en-US" w:eastAsia="en-US" w:bidi="ar-SA"/>
        </w:rPr>
        <w:cr/>
      </w:r>
    </w:p>
    <w:p>
      <w:pPr>
        <w:numPr>
          <w:numId w:val="2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Hemmera's role as an environmental consultant was limited. Hemmera's primary responsibility related to a monitoring program designed by another environmental consultant. Hemmera was responsible for collecting samples of water, sending them to a third party laboratory for analysis, and reporting on the results of the sampling program. Hemmera occasionally fulfilled other duties typical of an environmental consultant.</w:t>
      </w:r>
    </w:p>
    <w:p>
      <w:pPr>
        <w:numPr>
          <w:numId w:val="2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Hemmera did not:</w:t>
      </w:r>
    </w:p>
    <w:p>
      <w:pPr>
        <w:numPr>
          <w:numId w:val="2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have access to the Landfill without Atlantic present;</w:t>
      </w:r>
    </w:p>
    <w:p>
      <w:pPr>
        <w:numPr>
          <w:numId w:val="2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have discretion to direct or conduct work on its own initiative;</w:t>
      </w:r>
    </w:p>
    <w:p>
      <w:pPr>
        <w:numPr>
          <w:numId w:val="2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have any independent decision-making authority with respect to operations or activities at the Landfill;</w:t>
      </w:r>
    </w:p>
    <w:p>
      <w:pPr>
        <w:numPr>
          <w:numId w:val="2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have any control of or any responsibility with respect to the operations at the Landfill; or</w:t>
      </w:r>
    </w:p>
    <w:p>
      <w:pPr>
        <w:numPr>
          <w:numId w:val="2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have any control of or responsibility for any contaminant located at the Landfill.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Mr. Sullivan, counsel for Hemmera, states that Canada's attempt to impose liability on an environmental consultant such as Hemmera is without precedent, is absurd, and is not consistent with the purpose of environmental legislation. He also states that, absent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an environmental consultant cannot be 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To support his client's position, Mr. Sullivan refers to various affidavits to provide evidence as to Hemmera's role which he states was, in essence, limited to monitoring.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In reply, in his written argument, Mr. MacKenzie, counsel for the AG of Canada, states that the claim under the </w:t>
      </w:r>
      <w:r>
        <w:rPr>
          <w:rFonts w:ascii="arial" w:eastAsia="arial" w:hAnsi="arial" w:cs="arial"/>
          <w:i/>
          <w:color w:val="000000"/>
          <w:sz w:val="20"/>
          <w:lang w:val="en-US" w:eastAsia="en-US" w:bidi="ar-SA"/>
        </w:rPr>
        <w:t>Fisheries Act</w:t>
      </w:r>
      <w:r>
        <w:rPr>
          <w:rFonts w:ascii="arial" w:eastAsia="arial" w:hAnsi="arial" w:cs="arial"/>
          <w:color w:val="000000"/>
          <w:sz w:val="20"/>
          <w:lang w:val="en-US" w:eastAsia="en-US" w:bidi="ar-SA"/>
        </w:rPr>
        <w:t xml:space="preserve"> is properly pleaded:</w:t>
      </w:r>
      <w:r>
        <w:rPr>
          <w:rFonts w:ascii="arial" w:eastAsia="arial" w:hAnsi="arial" w:cs="arial"/>
          <w:sz w:val="20"/>
          <w:lang w:val="en-US" w:eastAsia="en-US" w:bidi="ar-SA"/>
        </w:rPr>
        <w:cr/>
      </w:r>
    </w:p>
    <w:p>
      <w:pPr>
        <w:numPr>
          <w:numId w:val="2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There is no requirement in s. 42 of the </w:t>
      </w:r>
      <w:r>
        <w:rPr>
          <w:rFonts w:ascii="arial" w:eastAsia="arial" w:hAnsi="arial" w:cs="arial"/>
          <w:i/>
          <w:color w:val="000000"/>
          <w:sz w:val="20"/>
          <w:lang w:val="en-US" w:eastAsia="en-US" w:bidi="ar-SA"/>
        </w:rPr>
        <w:t>Fisheries Act</w:t>
      </w:r>
      <w:r>
        <w:rPr>
          <w:rFonts w:ascii="arial" w:eastAsia="arial" w:hAnsi="arial" w:cs="arial"/>
          <w:color w:val="000000"/>
          <w:sz w:val="20"/>
          <w:lang w:val="en-US" w:eastAsia="en-US" w:bidi="ar-SA"/>
        </w:rPr>
        <w:t xml:space="preserve"> to plead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Section 42(1)(b) prescribes that persons "who cause or contribute to the causation of the deposit or danger thereof ... are ... to the extent determined according to their respective degrees of fault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jointly and severally liable. Either "fault"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is sufficient, both are not required</w:t>
      </w:r>
    </w:p>
    <w:p>
      <w:pPr>
        <w:numPr>
          <w:numId w:val="2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i/>
          <w:color w:val="000000"/>
          <w:sz w:val="20"/>
          <w:lang w:val="en-US" w:eastAsia="en-US" w:bidi="ar-SA"/>
        </w:rPr>
        <w:t>Canadian Oxford Dictionary</w:t>
      </w:r>
      <w:r>
        <w:rPr>
          <w:rFonts w:ascii="arial" w:eastAsia="arial" w:hAnsi="arial" w:cs="arial"/>
          <w:color w:val="000000"/>
          <w:sz w:val="20"/>
          <w:lang w:val="en-US" w:eastAsia="en-US" w:bidi="ar-SA"/>
        </w:rPr>
        <w:t xml:space="preserve"> defines "contribute" as "help[ing] to bring about a result" and "causation" as "the act of causing or producing an effect". All that is required, therefore, is pleading of material facts that go to establishing that Hemmera's involvement helped to bring about the release of contaminated leachate into fish bearing waters. This is clearly set out in the proposed pleadings, which say that Hemmera was responsible for the design and carrying out monitoring and sampling on the Premises, for reporting on the environmental conditions of the Premises and for ensuring that contaminated leachate was not released into the environment (paras 10, 31 and 32 of Part I in [the proposed amended counterclaim]. The proposed pleading further says that Hemmera failed to carry out these responsibilities, which failures caused or contributed to the entry and deposit of contaminated leachate into the environment, including fish bearing waters (paras. 33-34, 36, 39-40 of Part 1 in [the proposed amended counterclaim].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The Court views the AG of Canada's claim as sufficiently pleaded to support its interpretation of s. 42 of the </w:t>
      </w:r>
      <w:r>
        <w:rPr>
          <w:rFonts w:ascii="arial" w:eastAsia="arial" w:hAnsi="arial" w:cs="arial"/>
          <w:i/>
          <w:color w:val="000000"/>
          <w:sz w:val="20"/>
          <w:lang w:val="en-US" w:eastAsia="en-US" w:bidi="ar-SA"/>
        </w:rPr>
        <w:t>Fisheries Act</w:t>
      </w:r>
      <w:r>
        <w:rPr>
          <w:rFonts w:ascii="arial" w:eastAsia="arial" w:hAnsi="arial" w:cs="arial"/>
          <w:color w:val="000000"/>
          <w:sz w:val="20"/>
          <w:lang w:val="en-US" w:eastAsia="en-US" w:bidi="ar-SA"/>
        </w:rPr>
        <w:t>. It is not a frivolous interpretation or otherwise without merit. The AG of Canada's pleadings focus on what it says Hemmera did or did not do as opposed to Hemmera's stated role.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With respect to the claim based on s. 45 of the </w:t>
      </w:r>
      <w:r>
        <w:rPr>
          <w:rFonts w:ascii="arial" w:eastAsia="arial" w:hAnsi="arial" w:cs="arial"/>
          <w:i/>
          <w:color w:val="000000"/>
          <w:sz w:val="20"/>
          <w:lang w:val="en-US" w:eastAsia="en-US" w:bidi="ar-SA"/>
        </w:rPr>
        <w:t>EMA</w:t>
      </w:r>
      <w:r>
        <w:rPr>
          <w:rFonts w:ascii="arial" w:eastAsia="arial" w:hAnsi="arial" w:cs="arial"/>
          <w:color w:val="000000"/>
          <w:sz w:val="20"/>
          <w:lang w:val="en-US" w:eastAsia="en-US" w:bidi="ar-SA"/>
        </w:rPr>
        <w:t xml:space="preserve">, Hemmera's key point is that the AG of Canada has failed to plead that Hemmera was an "operator" as defined by the </w:t>
      </w:r>
      <w:r>
        <w:rPr>
          <w:rFonts w:ascii="arial" w:eastAsia="arial" w:hAnsi="arial" w:cs="arial"/>
          <w:i/>
          <w:color w:val="000000"/>
          <w:sz w:val="20"/>
          <w:lang w:val="en-US" w:eastAsia="en-US" w:bidi="ar-SA"/>
        </w:rPr>
        <w:t>EMA</w:t>
      </w:r>
      <w:r>
        <w:rPr>
          <w:rFonts w:ascii="arial" w:eastAsia="arial" w:hAnsi="arial" w:cs="arial"/>
          <w:color w:val="000000"/>
          <w:sz w:val="20"/>
          <w:lang w:val="en-US" w:eastAsia="en-US" w:bidi="ar-SA"/>
        </w:rPr>
        <w:t xml:space="preserve">. Based on paragraphs 31 to 34 of the proposed amended counterclaim and Justice Tysoe's purposive interpretation in </w:t>
      </w:r>
      <w:r>
        <w:rPr>
          <w:rFonts w:ascii="arial" w:eastAsia="arial" w:hAnsi="arial" w:cs="arial"/>
          <w:i/>
          <w:color w:val="000000"/>
          <w:sz w:val="20"/>
          <w:lang w:val="en-US" w:eastAsia="en-US" w:bidi="ar-SA"/>
        </w:rPr>
        <w:t>Beazer</w:t>
      </w:r>
      <w:r>
        <w:rPr>
          <w:rFonts w:ascii="arial" w:eastAsia="arial" w:hAnsi="arial" w:cs="arial"/>
          <w:color w:val="000000"/>
          <w:sz w:val="20"/>
          <w:lang w:val="en-US" w:eastAsia="en-US" w:bidi="ar-SA"/>
        </w:rPr>
        <w:t xml:space="preserve"> of the predecessor legislation, the Court is satisfied the AG of Canada's claim is sufficiently pleaded to establish a possible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Court is satisfied that it would be just and convenient to decide the AG of Canada's claims against Hemmera in the proceedings. There is a real connection between the existing action and Hemmera as a result of Hemmera's involvement with the landfill for over six years. The Court also does not see the delay in adding Hemmera as giving rise to significant prejudice. If the Court were not to add Hemmera, Canada would not be barred by a limitation period from suing Hemmera. A future award of costs may address injustice if such were to arise.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V.</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 xml:space="preserve">PLEADINGS AND THE HYBRID </w:t>
            </w:r>
            <w:r>
              <w:rPr>
                <w:rFonts w:ascii="arial" w:eastAsia="arial" w:hAnsi="arial" w:cs="arial"/>
                <w:b/>
                <w:i/>
                <w:color w:val="000000"/>
                <w:sz w:val="18"/>
                <w:lang w:val="en-US" w:eastAsia="en-US" w:bidi="ar-SA"/>
              </w:rPr>
              <w:t>AND/OR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Rules of Court</w:t>
      </w:r>
      <w:r>
        <w:rPr>
          <w:rFonts w:ascii="arial" w:eastAsia="arial" w:hAnsi="arial" w:cs="arial"/>
          <w:color w:val="000000"/>
          <w:sz w:val="20"/>
          <w:lang w:val="en-US" w:eastAsia="en-US" w:bidi="ar-SA"/>
        </w:rPr>
        <w:t xml:space="preserve"> discourage prolixity and encourage precision. While the hybrid "</w:t>
      </w:r>
      <w:r>
        <w:rPr>
          <w:rFonts w:ascii="arial" w:eastAsia="arial" w:hAnsi="arial" w:cs="arial"/>
          <w:i/>
          <w:color w:val="000000"/>
          <w:sz w:val="20"/>
          <w:lang w:val="en-US" w:eastAsia="en-US" w:bidi="ar-SA"/>
        </w:rPr>
        <w:t>and/or</w:t>
      </w:r>
      <w:r>
        <w:rPr>
          <w:rFonts w:ascii="arial" w:eastAsia="arial" w:hAnsi="arial" w:cs="arial"/>
          <w:color w:val="000000"/>
          <w:sz w:val="20"/>
          <w:lang w:val="en-US" w:eastAsia="en-US" w:bidi="ar-SA"/>
        </w:rPr>
        <w:t>" may be a good faith short hand attempt to achieve precision, more often than not, it gives rise to uncertainty. The uncertainty may be resolved with particulars but this increases litigation costs. As litigation costs increase, access to justice decreases.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In the proposed amended counterclaim, the AG of Canada has pleaded in </w:t>
      </w:r>
      <w:r>
        <w:rPr>
          <w:rFonts w:ascii="arial" w:eastAsia="arial" w:hAnsi="arial" w:cs="arial"/>
          <w:i/>
          <w:color w:val="000000"/>
          <w:sz w:val="20"/>
          <w:lang w:val="en-US" w:eastAsia="en-US" w:bidi="ar-SA"/>
        </w:rPr>
        <w:t>Part I: Statement of Facts</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u w:val="single"/>
          <w:lang w:val="en-US" w:eastAsia="en-US" w:bidi="ar-SA"/>
        </w:rPr>
        <w:t>Contamination</w:t>
      </w:r>
    </w:p>
    <w:p>
      <w:pPr>
        <w:numPr>
          <w:numId w:val="3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Atlantic's, Mann's and/or Hemmera's operations, activities, and omissions on the Premises have caused or contributed, and continue to cause or contribute, to the entry of various contaminants, including contaminated leachate and hydrocarbons into the soils, groundwater, surface waters and/or sediments on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Part 3: Legal Basis</w:t>
      </w:r>
      <w:r>
        <w:rPr>
          <w:rFonts w:ascii="arial" w:eastAsia="arial" w:hAnsi="arial" w:cs="arial"/>
          <w:color w:val="000000"/>
          <w:sz w:val="20"/>
          <w:lang w:val="en-US" w:eastAsia="en-US" w:bidi="ar-SA"/>
        </w:rPr>
        <w:t xml:space="preserve"> the AG of Canada asserts:</w:t>
      </w:r>
      <w:r>
        <w:rPr>
          <w:rFonts w:ascii="arial" w:eastAsia="arial" w:hAnsi="arial" w:cs="arial"/>
          <w:sz w:val="20"/>
          <w:lang w:val="en-US" w:eastAsia="en-US" w:bidi="ar-SA"/>
        </w:rPr>
        <w:cr/>
      </w:r>
    </w:p>
    <w:p>
      <w:pPr>
        <w:numPr>
          <w:numId w:val="3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Mann and/or Hemmera authorized, permitted and/or acquiesced in the release of contaminants, including contaminated leachate into the soils, groundwater, surface waters and/or sediments on the Premises and/or the Reserve.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Especially when combined, the foregoing paragraphs lead to uncertainty as to the intended permutations.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In a similar vein, the plaintiff used </w:t>
      </w:r>
      <w:r>
        <w:rPr>
          <w:rFonts w:ascii="arial" w:eastAsia="arial" w:hAnsi="arial" w:cs="arial"/>
          <w:i/>
          <w:color w:val="000000"/>
          <w:sz w:val="20"/>
          <w:lang w:val="en-US" w:eastAsia="en-US" w:bidi="ar-SA"/>
        </w:rPr>
        <w:t>and/or</w:t>
      </w:r>
      <w:r>
        <w:rPr>
          <w:rFonts w:ascii="arial" w:eastAsia="arial" w:hAnsi="arial" w:cs="arial"/>
          <w:color w:val="000000"/>
          <w:sz w:val="20"/>
          <w:lang w:val="en-US" w:eastAsia="en-US" w:bidi="ar-SA"/>
        </w:rPr>
        <w:t xml:space="preserve"> in its Notice of Civil Claim in </w:t>
      </w:r>
      <w:r>
        <w:rPr>
          <w:rFonts w:ascii="arial" w:eastAsia="arial" w:hAnsi="arial" w:cs="arial"/>
          <w:i/>
          <w:color w:val="000000"/>
          <w:sz w:val="20"/>
          <w:lang w:val="en-US" w:eastAsia="en-US" w:bidi="ar-SA"/>
        </w:rPr>
        <w:t>Part 3: Legal Basis</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3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Ministry and Optimal, by their actions, individually and/or collectively, have trespassed and/or converted the Property to their own use and have wrongfully deprived Atlantic of possession of the Property. Atlantic has suffered loss and damage as a result of the trespass and/or conversation, as particularized herein.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A. Scalia and B. Garner, </w:t>
      </w:r>
      <w:r>
        <w:rPr>
          <w:rFonts w:ascii="arial" w:eastAsia="arial" w:hAnsi="arial" w:cs="arial"/>
          <w:i/>
          <w:color w:val="000000"/>
          <w:sz w:val="20"/>
          <w:lang w:val="en-US" w:eastAsia="en-US" w:bidi="ar-SA"/>
        </w:rPr>
        <w:t>Reading Law: The Interpretation of Legal Texts</w:t>
      </w:r>
      <w:r>
        <w:rPr>
          <w:rFonts w:ascii="arial" w:eastAsia="arial" w:hAnsi="arial" w:cs="arial"/>
          <w:color w:val="000000"/>
          <w:sz w:val="20"/>
          <w:lang w:val="en-US" w:eastAsia="en-US" w:bidi="ar-SA"/>
        </w:rPr>
        <w:t xml:space="preserve"> (Thomson West, St. Paul, MN 2012) describe the hybrid </w:t>
      </w:r>
      <w:r>
        <w:rPr>
          <w:rFonts w:ascii="arial" w:eastAsia="arial" w:hAnsi="arial" w:cs="arial"/>
          <w:i/>
          <w:color w:val="000000"/>
          <w:sz w:val="20"/>
          <w:lang w:val="en-US" w:eastAsia="en-US" w:bidi="ar-SA"/>
        </w:rPr>
        <w:t>and/or</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[at 125] What remains here is to say a word about the unfortunate hybrid </w:t>
      </w:r>
      <w:r>
        <w:rPr>
          <w:rFonts w:ascii="arial" w:eastAsia="arial" w:hAnsi="arial" w:cs="arial"/>
          <w:i/>
          <w:color w:val="000000"/>
          <w:sz w:val="20"/>
          <w:lang w:val="en-US" w:eastAsia="en-US" w:bidi="ar-SA"/>
        </w:rPr>
        <w:t>and/or</w:t>
      </w:r>
      <w:r>
        <w:rPr>
          <w:rFonts w:ascii="arial" w:eastAsia="arial" w:hAnsi="arial" w:cs="arial"/>
          <w:color w:val="000000"/>
          <w:sz w:val="20"/>
          <w:lang w:val="en-US" w:eastAsia="en-US" w:bidi="ar-SA"/>
        </w:rPr>
        <w:t xml:space="preserve"> - a drafting blemish that experts often warn against 20 but legal drafters nevertheless use. The literal sense of </w:t>
      </w:r>
      <w:r>
        <w:rPr>
          <w:rFonts w:ascii="arial" w:eastAsia="arial" w:hAnsi="arial" w:cs="arial"/>
          <w:i/>
          <w:color w:val="000000"/>
          <w:sz w:val="20"/>
          <w:lang w:val="en-US" w:eastAsia="en-US" w:bidi="ar-SA"/>
        </w:rPr>
        <w:t>and/or</w:t>
      </w:r>
      <w:r>
        <w:rPr>
          <w:rFonts w:ascii="arial" w:eastAsia="arial" w:hAnsi="arial" w:cs="arial"/>
          <w:color w:val="000000"/>
          <w:sz w:val="20"/>
          <w:lang w:val="en-US" w:eastAsia="en-US" w:bidi="ar-SA"/>
        </w:rPr>
        <w:t xml:space="preserve"> is "both or either", so that </w:t>
      </w:r>
      <w:r>
        <w:rPr>
          <w:rFonts w:ascii="arial" w:eastAsia="arial" w:hAnsi="arial" w:cs="arial"/>
          <w:i/>
          <w:color w:val="000000"/>
          <w:sz w:val="20"/>
          <w:lang w:val="en-US" w:eastAsia="en-US" w:bidi="ar-SA"/>
        </w:rPr>
        <w:t>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and/or B</w:t>
      </w:r>
      <w:r>
        <w:rPr>
          <w:rFonts w:ascii="arial" w:eastAsia="arial" w:hAnsi="arial" w:cs="arial"/>
          <w:color w:val="000000"/>
          <w:sz w:val="20"/>
          <w:lang w:val="en-US" w:eastAsia="en-US" w:bidi="ar-SA"/>
        </w:rPr>
        <w:t xml:space="preserve"> means (1) "A," (2) "B," or (3) "both A and B." So if you must do "A and/or B"21, you have those three choices. Although one can envision situations in which this result is desired by the drafter, that unusual consequence is obscured (and is perhaps not meant) by use of the sloppy </w:t>
      </w:r>
      <w:r>
        <w:rPr>
          <w:rFonts w:ascii="arial" w:eastAsia="arial" w:hAnsi="arial" w:cs="arial"/>
          <w:i/>
          <w:color w:val="000000"/>
          <w:sz w:val="20"/>
          <w:lang w:val="en-US" w:eastAsia="en-US" w:bidi="ar-SA"/>
        </w:rPr>
        <w:t>and/or</w:t>
      </w:r>
      <w:r>
        <w:rPr>
          <w:rFonts w:ascii="arial" w:eastAsia="arial" w:hAnsi="arial" w:cs="arial"/>
          <w:color w:val="000000"/>
          <w:sz w:val="20"/>
          <w:lang w:val="en-US" w:eastAsia="en-US" w:bidi="ar-SA"/>
        </w:rPr>
        <w:t xml:space="preserve">. When that is meant, careful drafters would say </w:t>
      </w:r>
      <w:r>
        <w:rPr>
          <w:rFonts w:ascii="arial" w:eastAsia="arial" w:hAnsi="arial" w:cs="arial"/>
          <w:i/>
          <w:color w:val="000000"/>
          <w:sz w:val="20"/>
          <w:lang w:val="en-US" w:eastAsia="en-US" w:bidi="ar-SA"/>
        </w:rPr>
        <w:t>A or B or both</w:t>
      </w:r>
      <w:r>
        <w:rPr>
          <w:rFonts w:ascii="arial" w:eastAsia="arial" w:hAnsi="arial" w:cs="arial"/>
          <w:color w:val="000000"/>
          <w:sz w:val="20"/>
          <w:lang w:val="en-US" w:eastAsia="en-US" w:bidi="ar-SA"/>
        </w:rPr>
        <w:t xml:space="preserve"> - or, if several items were to be listed, they would introduce the list with </w:t>
      </w:r>
      <w:r>
        <w:rPr>
          <w:rFonts w:ascii="arial" w:eastAsia="arial" w:hAnsi="arial" w:cs="arial"/>
          <w:i/>
          <w:color w:val="000000"/>
          <w:sz w:val="20"/>
          <w:lang w:val="en-US" w:eastAsia="en-US" w:bidi="ar-SA"/>
        </w:rPr>
        <w:t>anyone or more of the following</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 See, e.g., </w:t>
      </w:r>
      <w:r>
        <w:rPr>
          <w:rFonts w:ascii="arial" w:eastAsia="arial" w:hAnsi="arial" w:cs="arial"/>
          <w:i/>
          <w:color w:val="000000"/>
          <w:sz w:val="20"/>
          <w:lang w:val="en-US" w:eastAsia="en-US" w:bidi="ar-SA"/>
        </w:rPr>
        <w:t>Garner's Dictionary of Legal Usage</w:t>
      </w:r>
      <w:r>
        <w:rPr>
          <w:rFonts w:ascii="arial" w:eastAsia="arial" w:hAnsi="arial" w:cs="arial"/>
          <w:color w:val="000000"/>
          <w:sz w:val="20"/>
          <w:lang w:val="en-US" w:eastAsia="en-US" w:bidi="ar-SA"/>
        </w:rPr>
        <w:t xml:space="preserve"> 57-58 (3d ed. 2011); E.L. Piesse, </w:t>
      </w:r>
      <w:r>
        <w:rPr>
          <w:rFonts w:ascii="arial" w:eastAsia="arial" w:hAnsi="arial" w:cs="arial"/>
          <w:i/>
          <w:color w:val="000000"/>
          <w:sz w:val="20"/>
          <w:lang w:val="en-US" w:eastAsia="en-US" w:bidi="ar-SA"/>
        </w:rPr>
        <w:t>The Elements of Drafting</w:t>
      </w:r>
      <w:r>
        <w:rPr>
          <w:rFonts w:ascii="arial" w:eastAsia="arial" w:hAnsi="arial" w:cs="arial"/>
          <w:color w:val="000000"/>
          <w:sz w:val="20"/>
          <w:lang w:val="en-US" w:eastAsia="en-US" w:bidi="ar-SA"/>
        </w:rPr>
        <w:t xml:space="preserve"> 85 (J.K. Aitken &amp; Peter Butt eds., 10th ed. 2004) ("</w:t>
      </w:r>
      <w:r>
        <w:rPr>
          <w:rFonts w:ascii="arial" w:eastAsia="arial" w:hAnsi="arial" w:cs="arial"/>
          <w:i/>
          <w:color w:val="000000"/>
          <w:sz w:val="20"/>
          <w:lang w:val="en-US" w:eastAsia="en-US" w:bidi="ar-SA"/>
        </w:rPr>
        <w:t>And/or</w:t>
      </w:r>
      <w:r>
        <w:rPr>
          <w:rFonts w:ascii="arial" w:eastAsia="arial" w:hAnsi="arial" w:cs="arial"/>
          <w:color w:val="000000"/>
          <w:sz w:val="20"/>
          <w:lang w:val="en-US" w:eastAsia="en-US" w:bidi="ar-SA"/>
        </w:rPr>
        <w:t xml:space="preserve"> is best discarded. It does not significantly improve brevity and it sometimes makes a passage harder to follow"); Garner, </w:t>
      </w:r>
      <w:r>
        <w:rPr>
          <w:rFonts w:ascii="arial" w:eastAsia="arial" w:hAnsi="arial" w:cs="arial"/>
          <w:i/>
          <w:color w:val="000000"/>
          <w:sz w:val="20"/>
          <w:lang w:val="en-US" w:eastAsia="en-US" w:bidi="ar-SA"/>
        </w:rPr>
        <w:t>Legal Writing in Plain English</w:t>
      </w:r>
      <w:r>
        <w:rPr>
          <w:rFonts w:ascii="arial" w:eastAsia="arial" w:hAnsi="arial" w:cs="arial"/>
          <w:color w:val="000000"/>
          <w:sz w:val="20"/>
          <w:lang w:val="en-US" w:eastAsia="en-US" w:bidi="ar-SA"/>
        </w:rPr>
        <w:t xml:space="preserve"> 112-13 (2001) ("Replace </w:t>
      </w:r>
      <w:r>
        <w:rPr>
          <w:rFonts w:ascii="arial" w:eastAsia="arial" w:hAnsi="arial" w:cs="arial"/>
          <w:i/>
          <w:color w:val="000000"/>
          <w:sz w:val="20"/>
          <w:lang w:val="en-US" w:eastAsia="en-US" w:bidi="ar-SA"/>
        </w:rPr>
        <w:t>and/or</w:t>
      </w:r>
      <w:r>
        <w:rPr>
          <w:rFonts w:ascii="arial" w:eastAsia="arial" w:hAnsi="arial" w:cs="arial"/>
          <w:color w:val="000000"/>
          <w:sz w:val="20"/>
          <w:lang w:val="en-US" w:eastAsia="en-US" w:bidi="ar-SA"/>
        </w:rPr>
        <w:t xml:space="preserve"> wherever it appears."); Dwight G. McCarty, </w:t>
      </w:r>
      <w:r>
        <w:rPr>
          <w:rFonts w:ascii="arial" w:eastAsia="arial" w:hAnsi="arial" w:cs="arial"/>
          <w:i/>
          <w:color w:val="000000"/>
          <w:sz w:val="20"/>
          <w:lang w:val="en-US" w:eastAsia="en-US" w:bidi="ar-SA"/>
        </w:rPr>
        <w:t>That Hybrid "and/or"</w:t>
      </w:r>
      <w:r>
        <w:rPr>
          <w:rFonts w:ascii="arial" w:eastAsia="arial" w:hAnsi="arial" w:cs="arial"/>
          <w:color w:val="000000"/>
          <w:sz w:val="20"/>
          <w:lang w:val="en-US" w:eastAsia="en-US" w:bidi="ar-SA"/>
        </w:rPr>
        <w:t xml:space="preserve">, 39 Mich. B.J. 9, 17 (1960) ("[T]he only safe rule to follow is not to use the expression in any legal writing, document, or proceeding, under any circumstance.") E.A. Driedger, </w:t>
      </w:r>
      <w:r>
        <w:rPr>
          <w:rFonts w:ascii="arial" w:eastAsia="arial" w:hAnsi="arial" w:cs="arial"/>
          <w:i/>
          <w:color w:val="000000"/>
          <w:sz w:val="20"/>
          <w:lang w:val="en-US" w:eastAsia="en-US" w:bidi="ar-SA"/>
        </w:rPr>
        <w:t>The Composition of Legislation</w:t>
      </w:r>
      <w:r>
        <w:rPr>
          <w:rFonts w:ascii="arial" w:eastAsia="arial" w:hAnsi="arial" w:cs="arial"/>
          <w:color w:val="000000"/>
          <w:sz w:val="20"/>
          <w:lang w:val="en-US" w:eastAsia="en-US" w:bidi="ar-SA"/>
        </w:rPr>
        <w:t xml:space="preserve"> 79 (1957) ("If </w:t>
      </w:r>
      <w:r>
        <w:rPr>
          <w:rFonts w:ascii="arial" w:eastAsia="arial" w:hAnsi="arial" w:cs="arial"/>
          <w:i/>
          <w:color w:val="000000"/>
          <w:sz w:val="20"/>
          <w:lang w:val="en-US" w:eastAsia="en-US" w:bidi="ar-SA"/>
        </w:rPr>
        <w:t>or</w:t>
      </w:r>
      <w:r>
        <w:rPr>
          <w:rFonts w:ascii="arial" w:eastAsia="arial" w:hAnsi="arial" w:cs="arial"/>
          <w:color w:val="000000"/>
          <w:sz w:val="20"/>
          <w:lang w:val="en-US" w:eastAsia="en-US" w:bidi="ar-SA"/>
        </w:rPr>
        <w:t xml:space="preserve"> is used, no one would seriously urge that if one enumerated duty or power is performed or exercised, the remainder vanish; and if </w:t>
      </w:r>
      <w:r>
        <w:rPr>
          <w:rFonts w:ascii="arial" w:eastAsia="arial" w:hAnsi="arial" w:cs="arial"/>
          <w:i/>
          <w:color w:val="000000"/>
          <w:sz w:val="20"/>
          <w:lang w:val="en-US" w:eastAsia="en-US" w:bidi="ar-SA"/>
        </w:rPr>
        <w:t>and</w:t>
      </w:r>
      <w:r>
        <w:rPr>
          <w:rFonts w:ascii="arial" w:eastAsia="arial" w:hAnsi="arial" w:cs="arial"/>
          <w:color w:val="000000"/>
          <w:sz w:val="20"/>
          <w:lang w:val="en-US" w:eastAsia="en-US" w:bidi="ar-SA"/>
        </w:rPr>
        <w:t xml:space="preserve"> is used, no one would say that an enumerated duty or power cannot be exercised except simultaneously with all the others."). For an amusing essay on </w:t>
      </w:r>
      <w:r>
        <w:rPr>
          <w:rFonts w:ascii="arial" w:eastAsia="arial" w:hAnsi="arial" w:cs="arial"/>
          <w:i/>
          <w:color w:val="000000"/>
          <w:sz w:val="20"/>
          <w:lang w:val="en-US" w:eastAsia="en-US" w:bidi="ar-SA"/>
        </w:rPr>
        <w:t>and/or</w:t>
      </w:r>
      <w:r>
        <w:rPr>
          <w:rFonts w:ascii="arial" w:eastAsia="arial" w:hAnsi="arial" w:cs="arial"/>
          <w:color w:val="000000"/>
          <w:sz w:val="20"/>
          <w:lang w:val="en-US" w:eastAsia="en-US" w:bidi="ar-SA"/>
        </w:rPr>
        <w:t xml:space="preserve">, see R.E. Megarry, </w:t>
      </w:r>
      <w:r>
        <w:rPr>
          <w:rFonts w:ascii="arial" w:eastAsia="arial" w:hAnsi="arial" w:cs="arial"/>
          <w:i/>
          <w:color w:val="000000"/>
          <w:sz w:val="20"/>
          <w:lang w:val="en-US" w:eastAsia="en-US" w:bidi="ar-SA"/>
        </w:rPr>
        <w:t>A New Miscellany-at-Law</w:t>
      </w:r>
      <w:r>
        <w:rPr>
          <w:rFonts w:ascii="arial" w:eastAsia="arial" w:hAnsi="arial" w:cs="arial"/>
          <w:color w:val="000000"/>
          <w:sz w:val="20"/>
          <w:lang w:val="en-US" w:eastAsia="en-US" w:bidi="ar-SA"/>
        </w:rPr>
        <w:t xml:space="preserve"> 223 (2005)</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21 Local Div. 589, </w:t>
      </w:r>
      <w:r>
        <w:rPr>
          <w:rFonts w:ascii="arial" w:eastAsia="arial" w:hAnsi="arial" w:cs="arial"/>
          <w:i/>
          <w:color w:val="000000"/>
          <w:sz w:val="20"/>
          <w:lang w:val="en-US" w:eastAsia="en-US" w:bidi="ar-SA"/>
        </w:rPr>
        <w:t>Amalgamated Transit Union v. Massachusetts</w:t>
      </w:r>
      <w:r>
        <w:rPr>
          <w:rFonts w:ascii="arial" w:eastAsia="arial" w:hAnsi="arial" w:cs="arial"/>
          <w:color w:val="000000"/>
          <w:sz w:val="20"/>
          <w:lang w:val="en-US" w:eastAsia="en-US" w:bidi="ar-SA"/>
        </w:rPr>
        <w:t>, 666 F. 2d 618, 627 (1st Cir. 1981) (per Breyer, J.) ("the words 'and/or' commonly mean 'the one or the other or both'").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Justice Johnson, writing for the Appellate Division of the Alberta Supreme Court in </w:t>
      </w:r>
      <w:r>
        <w:rPr>
          <w:rFonts w:ascii="arial" w:eastAsia="arial" w:hAnsi="arial" w:cs="arial"/>
          <w:i/>
          <w:color w:val="000000"/>
          <w:sz w:val="20"/>
          <w:lang w:val="en-US" w:eastAsia="en-US" w:bidi="ar-SA"/>
        </w:rPr>
        <w:t>Bell Bros. Transport Ltd. v. Cummins Diesel Power Ltd.</w:t>
      </w:r>
      <w:r>
        <w:rPr>
          <w:rFonts w:ascii="arial" w:eastAsia="arial" w:hAnsi="arial" w:cs="arial"/>
          <w:color w:val="000000"/>
          <w:sz w:val="20"/>
          <w:lang w:val="en-US" w:eastAsia="en-US" w:bidi="ar-SA"/>
        </w:rPr>
        <w:t xml:space="preserve"> (1962), 40 W.W.R. 169,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[at 172] Both in the counterclaim and the affidavit, part of which has been quoted, the words or phrase "and/or" is liberally used. One can hardly be termed a purist to call attention to the impropriety in the use of such an abbreviation in pleadings and affidavits. The remarks of Harvey, C.J.A., in </w:t>
      </w:r>
      <w:r>
        <w:rPr>
          <w:rFonts w:ascii="arial" w:eastAsia="arial" w:hAnsi="arial" w:cs="arial"/>
          <w:i/>
          <w:color w:val="000000"/>
          <w:sz w:val="20"/>
          <w:lang w:val="en-US" w:eastAsia="en-US" w:bidi="ar-SA"/>
        </w:rPr>
        <w:t>Mason et al. v. Livingstone et al.</w:t>
      </w:r>
      <w:r>
        <w:rPr>
          <w:rFonts w:ascii="arial" w:eastAsia="arial" w:hAnsi="arial" w:cs="arial"/>
          <w:color w:val="000000"/>
          <w:sz w:val="20"/>
          <w:lang w:val="en-US" w:eastAsia="en-US" w:bidi="ar-SA"/>
        </w:rPr>
        <w:t xml:space="preserve"> </w:t>
      </w:r>
      <w:hyperlink r:id="rId222" w:history="1">
        <w:r>
          <w:rPr>
            <w:rFonts w:ascii="arial" w:eastAsia="arial" w:hAnsi="arial" w:cs="arial"/>
            <w:i/>
            <w:color w:val="0077CC"/>
            <w:sz w:val="20"/>
            <w:u w:val="single"/>
            <w:shd w:val="clear" w:color="auto" w:fill="FFFFFF"/>
            <w:lang w:val="en-US" w:eastAsia="en-US" w:bidi="ar-SA"/>
          </w:rPr>
          <w:t>[1929] 1 D.L.R. 608</w:t>
        </w:r>
      </w:hyperlink>
      <w:r>
        <w:rPr>
          <w:rFonts w:ascii="arial" w:eastAsia="arial" w:hAnsi="arial" w:cs="arial"/>
          <w:color w:val="000000"/>
          <w:sz w:val="20"/>
          <w:lang w:val="en-US" w:eastAsia="en-US" w:bidi="ar-SA"/>
        </w:rPr>
        <w:t>, at p. 612, 24 A.L.R. 69, are still the views of this court: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Now in the first place no sensible meaning can be attached to this hybrid method of trying to express two alternatives by a short cut and there is no reason why the courts should encourage it by permitting its use in pleadings which by our rules of practice are required to state plainly and definitely what is intended.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VI.</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CONCLUSION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Mr. Mann is added as a defendant by way of counterclaim.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Hemmera is added as a defendant by way of counterclaim.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style of proceeding is amended as shown in Schedule "A" of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AG of Canada is granted leave to amend the counterclaim in the form attached as Schedule "A" of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G.S. FUNT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79" style="position:absolute;z-index:25187020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23"/>
          <w:headerReference w:type="default" r:id="rId224"/>
          <w:footerReference w:type="even" r:id="rId225"/>
          <w:footerReference w:type="default" r:id="rId226"/>
          <w:headerReference w:type="first" r:id="rId227"/>
          <w:footerReference w:type="first" r:id="rId22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29" w:history="1">
        <w:r>
          <w:rPr>
            <w:rFonts w:ascii="arial" w:eastAsia="arial" w:hAnsi="arial" w:cs="arial"/>
            <w:b/>
            <w:bCs/>
            <w:i/>
            <w:color w:val="0077CC"/>
            <w:kern w:val="32"/>
            <w:sz w:val="28"/>
            <w:szCs w:val="32"/>
            <w:u w:val="single"/>
            <w:shd w:val="clear" w:color="auto" w:fill="FFFFFF"/>
            <w:lang w:val="en-US" w:eastAsia="en-US" w:bidi="ar-SA"/>
          </w:rPr>
          <w:t>Campbell River Common Shopping Centre Ltd. v. Nuszdorfer, [2013] B.C.J. No. 156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Campbell River,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P.D. Leask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22-24 and March 30,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31,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S9413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Campbell River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[2013] B.C.J. No. 156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2013 BCSC 141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Campbell River Common Shopping Centre Ltd., Plaintiff, and Debbie Nuszdorfer and Christina Assu and Debbie Nuszdorfer and Christina Assu Operating as Kidlets,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80" style="position:absolute;z-index:2516695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79" w:name="Keywords_9"/>
      <w:bookmarkEnd w:id="79"/>
      <w:r>
        <w:rPr>
          <w:rFonts w:ascii="arial" w:eastAsia="arial" w:hAnsi="arial" w:cs="arial"/>
          <w:b/>
          <w:color w:val="000000"/>
          <w:sz w:val="20"/>
          <w:lang w:val="en-US" w:eastAsia="en-US" w:bidi="ar-SA"/>
        </w:rPr>
        <w:t>Landlord and tenant law — Commercial tenancies — Lease — Shopping centre — Landlord's obligations- — Leasehold improvements — Action by landlord for non-payment of rent, loss of future rent and damages — Counterclaim by tenants for rescission and damages allowed in part — Tenants were awarded damages of $25,583, including $10,000 for negligent misrepresentation — Landlord misrepresented to tenants that mall would be fully tenanted within two years and Winners would be a tenant in mall, thereby inducing tenants to relocate their business to mall — Landlord's claim for arrears of rent was dismissed due to lack of evidence and agreement with tenant --Landlord's evidence concerning additional costs for tenant improvements was not credible.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Fraud and misrepresentation — Negligent misrepresentation (Hedley Byrne principle) — Detrimental reliance — Action by landlord for non-payment of rent, loss of future rent and damages — Counterclaim by tenants for rescission and damages allowed in part — Tenants were awarded damages of $25,583, including $10,000 for negligent misrepresentation — Landlord misrepresented to tenants that mall would be fully tenanted within two years and Winners would be a tenant in mall, thereby inducing tenants to relocate their business to mall — Representations were made negligently and tenants were entitled to rely on representations.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80" w:name="Case Summary_9"/>
            <w:bookmarkEnd w:id="8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landlord for non-payment of rent, loss of future rent and damages. Counterclaim by the tenants for rescission of the lease and damages. The tenants leased commercial premises in the plaintiff's shopping mall. The landlord had purchased the mall in 2006 which was poorly occupied at the time. The landlord's plans to upgrade and improve the mall caused a "buzz" that made the mall more interesting to tenants and customers. The tenants alleged that the landlord represented to them that the mall would be fully tenanted within two years and Winners would be a tenant in the mall. The landlord denied making such representations. The lease provided that the landlord would provide $35,000 worth of leasehold improvements. After the leasehold improvements were completed, the landlord told the tenants that they had exceeded the $35,000 improvements allowance by approximately $70,000 and were required to reimburse the landlord for this extra spending. The tenants claimed that at no time did the representative for tenants' improvements tell them that they were exceeding the allowance. During the tenancy, a roofer working on the mall roof caused the tenant's roof to collapse scattering debris through the store. The resulting mess caused the closure of the store for approximately two weeks.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81" w:name="Holdings of Court_8"/>
            <w:bookmarkEnd w:id="81"/>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Counterclaim allowed in part. The tenants were awarded damages of $25,583. The evidence established that the landlord made the representations alleged by the tenants. The evidence did not establish, however, that the landlord's representations were fraudulent. The representations were misleading and were made negligently. The representations were made to induce the tenants to relocate their business to the plaintiff's mall. It was reasonable for the tenants to rely on these representations. The reliance was detrimental and resulted in damages to the tenants. An award of aggravated damages was not justified on the evidence and rescission was not practical in the circumstances. The tenants were awarded general damages of $10,000 for misrepresentation. The landlord's claim for arrears of rent was dismissed. The landlord's accounting records were unreliable. The court also accepted the tenants' evidence that they had an agreement with the landlord to bring the minor arrears into good standing which they did. Since the tenants were induced by the landlord's negligent misrepresentations to enter into the lease, the landlord was unable to rely on its terms. The court did not accept the landlord's evidence concerning the additional costs for tenant improvements. The landlord was also required to reimburse the tenants for their insurance deductible incurred as a result of the roof collapse.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82" w:name="Counsel_10"/>
      <w:bookmarkEnd w:id="8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81" style="position:absolute;z-index:2517207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H.A. Henning.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K. Simonett.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83" w:name="Judgment_10"/>
      <w:bookmarkEnd w:id="83"/>
      <w:r>
        <w:pict>
          <v:line id="_x0000_s1082" style="position:absolute;z-index:25177190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84" w:name="P.D. LEASK J."/>
            <w:bookmarkEnd w:id="84"/>
            <w:r>
              <w:rPr>
                <w:rFonts w:ascii="arial" w:eastAsia="arial" w:hAnsi="arial" w:cs="arial"/>
                <w:b/>
                <w:color w:val="000000"/>
                <w:sz w:val="30"/>
                <w:lang w:val="en-US" w:eastAsia="en-US" w:bidi="ar-SA"/>
              </w:rPr>
              <w:t>P.D. LEASK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case is a dispute about a commercial lease at a Campbell River Shopping Mall. The tenants were a mother and daughter who operated a children's clothing store called "Kidlets". The landlord was a corporate entity beneficially owned by Allan Edie, whose holding company owns other shopping malls in Edmonton, Calgary and Winnipeg. The plaintiff landlord is seeking judgment for:</w:t>
      </w:r>
      <w:r>
        <w:rPr>
          <w:rFonts w:ascii="arial" w:eastAsia="arial" w:hAnsi="arial" w:cs="arial"/>
          <w:sz w:val="20"/>
          <w:lang w:val="en-US" w:eastAsia="en-US" w:bidi="ar-SA"/>
        </w:rPr>
        <w:cr/>
      </w:r>
    </w:p>
    <w:p>
      <w:pPr>
        <w:numPr>
          <w:numId w:val="1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non-payment of rent in the amount of $28,937.26 as of August 1, 2010</w:t>
      </w:r>
    </w:p>
    <w:p>
      <w:pPr>
        <w:numPr>
          <w:numId w:val="1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future non- payment of rent for the unexpired term of the lease agreement in the amount of $238,430.32;</w:t>
      </w:r>
    </w:p>
    <w:p>
      <w:pPr>
        <w:numPr>
          <w:numId w:val="1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in the amount of 3 months' rent or $ 15,487.47;</w:t>
      </w:r>
    </w:p>
    <w:p>
      <w:pPr>
        <w:numPr>
          <w:numId w:val="1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interest of 5% above the Royal Bank of Canada Prime Rate;</w:t>
      </w:r>
    </w:p>
    <w:p>
      <w:pPr>
        <w:numPr>
          <w:numId w:val="1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solicitor client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defendants base their defence and counterclaim on the proposition that they were induced to sign the lease by false representations made either negligently or fraudulently by representatives of the landlord. On this basis, their counterclaim is for:</w:t>
      </w:r>
      <w:r>
        <w:rPr>
          <w:rFonts w:ascii="arial" w:eastAsia="arial" w:hAnsi="arial" w:cs="arial"/>
          <w:sz w:val="20"/>
          <w:lang w:val="en-US" w:eastAsia="en-US" w:bidi="ar-SA"/>
        </w:rPr>
        <w:cr/>
      </w:r>
    </w:p>
    <w:p>
      <w:pPr>
        <w:numPr>
          <w:numId w:val="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rescission of the lease agreement;</w:t>
      </w:r>
    </w:p>
    <w:p>
      <w:pPr>
        <w:numPr>
          <w:numId w:val="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general damages, special damages and aggravated damages;</w:t>
      </w:r>
    </w:p>
    <w:p>
      <w:pPr>
        <w:numPr>
          <w:numId w:val="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interest;</w:t>
      </w:r>
    </w:p>
    <w:p>
      <w:pPr>
        <w:numPr>
          <w:numId w:val="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solicitor client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landlord called two witnesses, Mr. Edie and the company comptroller, Curtis Wade Whitfield. Both defendants testified and they called one additional witness, Denise Hollinger, who owned and operated a women's clothing store called Josan's and for a number of years chaired the Merchant's Committee in the mall. Credibility was a major issue in this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Edie purchased the Ironwood Mall in 2006 and renamed it "Campbell River Commons". There were discussions between Ms. Assu and the landlord's rental agents which lead to a number of meetings between Ms. Assu and Mr. Edie. The parties signed an offer to lease agreement on June 27, 2006. Kidlets occupied the premises from October 1, 2006 to August 23, 2010. The lease on which the landlord's claims were based was signed on October 1, 2007. Ms. Assu believes the parties signed a lease earlier which different rental terms. She was unable to produce a copy of that lease. Mr. Edie denies that such a lease existed. The lease presented to the Court included the following terms:</w:t>
      </w:r>
      <w:r>
        <w:rPr>
          <w:rFonts w:ascii="arial" w:eastAsia="arial" w:hAnsi="arial" w:cs="arial"/>
          <w:sz w:val="20"/>
          <w:lang w:val="en-US" w:eastAsia="en-US" w:bidi="ar-SA"/>
        </w:rPr>
        <w:cr/>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lease was for 8 years;</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space was for 3,500 square feet;</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rent was for $10/per square foot in year 1 and $11 per square foot in years 2-8 plus triple net;</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landlord would provide up to $35,000.00 of leasehold improvements;</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landlord agreed to assume payment of the balance of the Defendant's lease with T.A.T. Properties Ltd which was set to expire on February 1,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There is no dispute between the parties that, prior to Mr. Edie's purchase, the Ironwood Mall was a "retail dead zone" in Campbell River. Mr. Edie testified that there was only 50/60% occupancy of the mall at the time he took over. The parties also agree that Mr. Edie's purchase, and his plans to upgrade and improve the mall caused a "buzz" that made the mall more interesting to tenants and customers. Mr. Edie testified that he spent approximately $4 million in physical improvements to the mall including work on the roof and an upgrade of the facade including new stucco, improvements to the heating and air conditioning and, in the interior, new drywall and painting.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Factual Disputes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 Representations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This is the most important factual dispute between the parties. The tenants say that Mr. Edie stated:</w:t>
      </w:r>
      <w:r>
        <w:rPr>
          <w:rFonts w:ascii="arial" w:eastAsia="arial" w:hAnsi="arial" w:cs="arial"/>
          <w:sz w:val="20"/>
          <w:lang w:val="en-US" w:eastAsia="en-US" w:bidi="ar-SA"/>
        </w:rPr>
        <w:cr/>
      </w:r>
    </w:p>
    <w:p>
      <w:pPr>
        <w:numPr>
          <w:numId w:val="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mall would be fully tenanted within two years;</w:t>
      </w:r>
    </w:p>
    <w:p>
      <w:pPr>
        <w:numPr>
          <w:numId w:val="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Winners would be a tenant in the mall once Wal-Mart "broke ground" to begin construction of their store in Campbell River; and,</w:t>
      </w:r>
    </w:p>
    <w:p>
      <w:pPr>
        <w:numPr>
          <w:numId w:val="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Sears and Thrifty's, the major anchor tenants at the mall, would have new entrances permitting their customers to enter and leave through the interior of the mall.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landlord specifically denies making any such representations. Mr. Edie's evidence concerning these specific points was:</w:t>
      </w:r>
      <w:r>
        <w:rPr>
          <w:rFonts w:ascii="arial" w:eastAsia="arial" w:hAnsi="arial" w:cs="arial"/>
          <w:sz w:val="20"/>
          <w:lang w:val="en-US" w:eastAsia="en-US" w:bidi="ar-SA"/>
        </w:rPr>
        <w:cr/>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It would be impossible for any landlord to provide any guarantee that its mall would have full occupancy within a given time period unless leases had already been signed and concluded.</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landlord did enter into negotiations with Winners but those negotiations were unsuccessful. Mr. Edie's evidence was that the negotiations with Winners did not begin until after the tenants had signed their lease and therefore it was impossible that he could have made the representation about Winners at the time the tenants claimed that he did.</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During Kidlets tenancy, Mr. Edie did succeed in having Sears open to the interior of the mall and requested Thrifty's to do the same.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 Rental Arrears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landlord claims that the tenants' rent was $28,937.26 in arrears on August 1, 2010. This is based on a "rental statement" introduced in evidence at the trial which was prepared using the landlord's accounting records. The tenants' position is that no arrears were owing at August 1, 2010. They argue that the landlord's record keeping is inaccurate and inconsistent. Ms. Assu said that she had paid her rental arrears by the end of 2009 according to an agreement she made with the landlord's comptroller, Mr. Whitfield. Ms. Assu provided a cheque dated December 26, 2009 in the amount of $1,502.50 with "Back Rent for 2009 paid in full - re Kidlets - 1428 IRONWOOD" printed in the memo field. Although the landlord's records show that the cheque was received and cashed, both Mr. Whitfield and Mr. Edie deny the existence of any agreement regarding rental arrears.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3. Leasehold Improvements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agreement to lease and the lease that is Exhibit 1 in these proceedings, provided that the landlord would provide $35,000 worth of leasehold improvements. The agreement to lease specified a triple net rent of $10 per square foot. The Exhibit 1 lease preserves the lease rate of $10 per square foot for the first year of the tenancy but increases the lease rate to $11 per square foot for years 2 to 8 of the lease. After the leasehold improvements were completed, Mr. Edie told Ms. Assu that she had exceeded her $35,000 improvements allowance by approximately $70,000. He asked her to reimburse the landlord for this extra spending. Ms. Assu's evidence is that she was taken completely by surprise by the demand.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Edie told Ms. Assu that Howie Budinski was the go-to guy regarding the tenant improvements to Kidlets' tenancy. Ms. Assu was concerned that she did not have any money beyond the $35,000.00 allowance made in the offer to lease and the lease with the Plaintiff. Ms. Assu was in constant contact with Mr. Budinski regarding the work and the budget. She was assured at all times that as long as she agreed with his suggestions, she would remain on budget. Ms. Assu agreed to substandard flooring and lighting on Mr. Budinski's advice. Ms. Assu further asserted that Mr. Budinski stated that he would warn her if she was nearing the limit of her allowance. Ms. Assu states that at no time did Mr. Budinski tell her that she was either near or exceeding her allowance. There was no evidence adduced to rebut Ms. Assu's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When told that Ms. Assu did not have the funds necessary to pay the landlord $70,000, Mr. Edie proposed to increase her basic rent by $2/square foot. When she protested that she could not afford such a rent increase, Mr. Edie agreed to "settle" for an increase of $1/square foot. The tenants' position was that this increase was obtained by deceit and that they were entitled to a refund of $10,208.10.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4. Roof Collapse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During the tenancy, a roofer working on the mall roof caused Kidlets' roof to collapse scattering debris through the store. The resulting mess caused the closure of Kidlets' for approximately two weeks. Mr. Edie's local manager, Stacey Puff, told Ms. Assu that she would not have to pay one month's rent. Mr. Edie refused to honour this commitment. In addition, he refused to make a claim for repair of the damages on the mall's insurance policy. Kidlets claimed on their tenant's policy and had to pay the $1,000 deductible.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5. Signage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Schedule "D" to the lease at Exhibit 1 tab 1 at para. 8 states that signage shall be in the amount of $125.00 per month. The Defendants were charged $250.00 for each of the 35 months they were tenants at CRCSC.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Edie's answer was that the landlord was providing two signs promoting the tenant's business and was therefore entitled to twice the amount specified in the lease.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6. Additional 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Article 4.2 of the lease provides that the landlord shall submit to the tenant a detailed statement of the actual additional rent payable within 90 days of the end of the fiscal year. The landlord collected $5 per square foot of estimated additional rent from the tenants throughout their occupancy. Ms. Hollinger testified that the landlord's failure to provide calculations of the actual additional rent payable was a continuing source of grievance for the Merchant's Committee. Mr. Edie's response to this criticism was that the actual additional rent payable was </w:t>
      </w:r>
      <w:r>
        <w:rPr>
          <w:rFonts w:ascii="arial" w:eastAsia="arial" w:hAnsi="arial" w:cs="arial"/>
          <w:color w:val="000000"/>
          <w:sz w:val="20"/>
          <w:u w:val="single"/>
          <w:lang w:val="en-US" w:eastAsia="en-US" w:bidi="ar-SA"/>
        </w:rPr>
        <w:t>always</w:t>
      </w:r>
      <w:r>
        <w:rPr>
          <w:rFonts w:ascii="arial" w:eastAsia="arial" w:hAnsi="arial" w:cs="arial"/>
          <w:color w:val="000000"/>
          <w:sz w:val="20"/>
          <w:lang w:val="en-US" w:eastAsia="en-US" w:bidi="ar-SA"/>
        </w:rPr>
        <w:t xml:space="preserve"> in excess of $5 per square foot and that he agreed with Ms. Assu that he would </w:t>
      </w:r>
      <w:r>
        <w:rPr>
          <w:rFonts w:ascii="arial" w:eastAsia="arial" w:hAnsi="arial" w:cs="arial"/>
          <w:color w:val="000000"/>
          <w:sz w:val="20"/>
          <w:u w:val="single"/>
          <w:lang w:val="en-US" w:eastAsia="en-US" w:bidi="ar-SA"/>
        </w:rPr>
        <w:t>only</w:t>
      </w:r>
      <w:r>
        <w:rPr>
          <w:rFonts w:ascii="arial" w:eastAsia="arial" w:hAnsi="arial" w:cs="arial"/>
          <w:color w:val="000000"/>
          <w:sz w:val="20"/>
          <w:lang w:val="en-US" w:eastAsia="en-US" w:bidi="ar-SA"/>
        </w:rPr>
        <w:t xml:space="preserve"> collect $5.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Landlord relies on Article 15.1 of the lease agreement: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hereby understood and agreed by and between the parties hereto that the terms and conditions set forth herein together with the terms and conditions set forth in the rules and regulations and any exhibits, schedules and/or plans annexed hereto embrace all of the terms and conditions of the Lease entered into by the Landlord and Tenant and supercede and take the place of any and all previous agreements or representations of any kind, written, oral or implied heretofore made by anyone in reference to the Leased Premises or in any way effecting the Development or equipment of which same forms a part and that the said rules and regulations and any exhibits, schedules and/or plans shall and do form a part of the Lease as fully as if the same were included in the main body hereof above the execution of the parties hereto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support of its position, the landlord relies on several BC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Quadra Pacific Properties Corp v. Qualicum Holdings Ltd.</w:t>
      </w:r>
      <w:r>
        <w:rPr>
          <w:rFonts w:ascii="arial" w:eastAsia="arial" w:hAnsi="arial" w:cs="arial"/>
          <w:color w:val="000000"/>
          <w:sz w:val="20"/>
          <w:lang w:val="en-US" w:eastAsia="en-US" w:bidi="ar-SA"/>
        </w:rPr>
        <w:t xml:space="preserve">, </w:t>
      </w:r>
      <w:hyperlink r:id="rId230" w:history="1">
        <w:r>
          <w:rPr>
            <w:rFonts w:ascii="arial" w:eastAsia="arial" w:hAnsi="arial" w:cs="arial"/>
            <w:i/>
            <w:color w:val="0077CC"/>
            <w:sz w:val="20"/>
            <w:u w:val="single"/>
            <w:shd w:val="clear" w:color="auto" w:fill="FFFFFF"/>
            <w:lang w:val="en-US" w:eastAsia="en-US" w:bidi="ar-SA"/>
          </w:rPr>
          <w:t>2000 BCSC 1234</w:t>
        </w:r>
      </w:hyperlink>
      <w:r>
        <w:rPr>
          <w:rFonts w:ascii="arial" w:eastAsia="arial" w:hAnsi="arial" w:cs="arial"/>
          <w:color w:val="000000"/>
          <w:sz w:val="20"/>
          <w:lang w:val="en-US" w:eastAsia="en-US" w:bidi="ar-SA"/>
        </w:rPr>
        <w:t>, involved a lease of a unit in a strip mall in Nanaimo. The parties began negotiating in February 1997 and entered into a written lease on May 1, 1997. The tenant vacated the premises on February 26, 1999 while the lease was still in force. The principal dispute at the trial concerned an allegation by the tenant that his company had been induced to enter into the lease by a negligent misrepresentation by the landlord's real estate agent that a large anchor tenant, Cash Convertors, was about to lease the space next to the unit the tenant wanted to lease. The tenant testified "we would not have agreed to a lease if we'd known Cash Converters was not going 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response, the landlord relied upon the "entire agreement" clause in the lease which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7.14 LEASE ENTIRE RELATIONSHIP The Tenant acknowledges that there are no covenants, representations, warranties, agreements or conditions expressed or implied, collateral or otherwise forming part of or in any way affecting or relating to this Lease save as expressly set out in this Lease and that this Lease constitutes the entire agreement between the Landlord and the Tenant and may not be modified except as herein explicitly provided or except by subsequent agreement in writing of equal formality executed by the Landlord and the Tenant.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Downs J. rejected the tenant's argument based on the following reason: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satisfied on the whole of the evidence before me and in the circumstances of this case that the defendant is bound by the "entire agreement" clause in the lease. Mr. Coates had negotiated two other commercial leases prior to the lease in question. The process of the negotiation of this lease demonstrates that Mr. Coates turned his mind to very specific provisions he wished to have included, or excluded, from the lease. Mr. Coates was neither unsophisticated nor naïve. The authorities to which I have been referred by counsel for the plaintiff mandate the application of an exclusion clause in such circumstances. Thus, even if Mr. Parker did make positive assurances of Cash Converters tenancy the plaintiff is not liable for them in either tort or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 plaintiff also relies upon </w:t>
      </w:r>
      <w:r>
        <w:rPr>
          <w:rFonts w:ascii="arial" w:eastAsia="arial" w:hAnsi="arial" w:cs="arial"/>
          <w:i/>
          <w:color w:val="000000"/>
          <w:sz w:val="20"/>
          <w:lang w:val="en-US" w:eastAsia="en-US" w:bidi="ar-SA"/>
        </w:rPr>
        <w:t>Kwan Bros. Investments Ltd. v. HFH Video Big Inc.</w:t>
      </w:r>
      <w:r>
        <w:rPr>
          <w:rFonts w:ascii="arial" w:eastAsia="arial" w:hAnsi="arial" w:cs="arial"/>
          <w:color w:val="000000"/>
          <w:sz w:val="20"/>
          <w:lang w:val="en-US" w:eastAsia="en-US" w:bidi="ar-SA"/>
        </w:rPr>
        <w:t xml:space="preserve">, </w:t>
      </w:r>
      <w:hyperlink r:id="rId231" w:history="1">
        <w:r>
          <w:rPr>
            <w:rFonts w:ascii="arial" w:eastAsia="arial" w:hAnsi="arial" w:cs="arial"/>
            <w:i/>
            <w:color w:val="0077CC"/>
            <w:sz w:val="20"/>
            <w:u w:val="single"/>
            <w:shd w:val="clear" w:color="auto" w:fill="FFFFFF"/>
            <w:lang w:val="en-US" w:eastAsia="en-US" w:bidi="ar-SA"/>
          </w:rPr>
          <w:t>[1991] B.C.J. No. 2337</w:t>
        </w:r>
      </w:hyperlink>
      <w:r>
        <w:rPr>
          <w:rFonts w:ascii="arial" w:eastAsia="arial" w:hAnsi="arial" w:cs="arial"/>
          <w:color w:val="000000"/>
          <w:sz w:val="20"/>
          <w:lang w:val="en-US" w:eastAsia="en-US" w:bidi="ar-SA"/>
        </w:rPr>
        <w:t>, B.C.S.C. Vancouver Registry No. C 905885, July 15, 1991. That case also involved a mall tenancy and allegations concerning the significance of the ongoing tenancy of a BC Government Liquor Store. Although the lease contained an "entire agreement" clause, the court's judgment was based on other factors: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From the fact that the defendant continued in occupation of the premises from August 1989, by which time it knew that the liquor store was going to be relocated, until May 1990, when it abruptly vacated, I have concluded that the immediate proximity of the liquor store was not of such "fundamental" importance as the defendant now protests. I am fortified in this view by the fact that in a letter to the plaintiff's solicitors dated June 27, 1990, the defendant's solicitors made no mention of a misrepresentation. That letter focused on an alleged "fundamental breach" which, it was said, "has led to our client's departure from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tenants rely on a number of cases for the proposition that the landlord cannot depend upon the "entire agreement clause" to justify ignoring the representations made to them to enter into the 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B.G. Checo International Ltd. v. British Columbia Hydro and Power Authority</w:t>
      </w:r>
      <w:r>
        <w:rPr>
          <w:rFonts w:ascii="arial" w:eastAsia="arial" w:hAnsi="arial" w:cs="arial"/>
          <w:color w:val="000000"/>
          <w:sz w:val="20"/>
          <w:lang w:val="en-US" w:eastAsia="en-US" w:bidi="ar-SA"/>
        </w:rPr>
        <w:t xml:space="preserve">, </w:t>
      </w:r>
      <w:hyperlink r:id="rId232" w:history="1">
        <w:r>
          <w:rPr>
            <w:rFonts w:ascii="arial" w:eastAsia="arial" w:hAnsi="arial" w:cs="arial"/>
            <w:i/>
            <w:color w:val="0077CC"/>
            <w:sz w:val="20"/>
            <w:u w:val="single"/>
            <w:shd w:val="clear" w:color="auto" w:fill="FFFFFF"/>
            <w:lang w:val="en-US" w:eastAsia="en-US" w:bidi="ar-SA"/>
          </w:rPr>
          <w:t>[1993] 1 S.C.R. 12</w:t>
        </w:r>
      </w:hyperlink>
      <w:r>
        <w:rPr>
          <w:rFonts w:ascii="arial" w:eastAsia="arial" w:hAnsi="arial" w:cs="arial"/>
          <w:color w:val="000000"/>
          <w:sz w:val="20"/>
          <w:lang w:val="en-US" w:eastAsia="en-US" w:bidi="ar-SA"/>
        </w:rPr>
        <w:t xml:space="preserve"> La Forest and McLachlin J.J., writing for the majority,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our view, the general rule emerging from the Court's decision in Central Trust Co. v. Raface, </w:t>
      </w:r>
      <w:hyperlink r:id="rId233" w:history="1">
        <w:r>
          <w:rPr>
            <w:rFonts w:ascii="arial" w:eastAsia="arial" w:hAnsi="arial" w:cs="arial"/>
            <w:i/>
            <w:color w:val="0077CC"/>
            <w:sz w:val="20"/>
            <w:u w:val="single"/>
            <w:shd w:val="clear" w:color="auto" w:fill="FFFFFF"/>
            <w:lang w:val="en-US" w:eastAsia="en-US" w:bidi="ar-SA"/>
          </w:rPr>
          <w:t>[1986] 2 S.C.R. 147</w:t>
        </w:r>
      </w:hyperlink>
      <w:r>
        <w:rPr>
          <w:rFonts w:ascii="arial" w:eastAsia="arial" w:hAnsi="arial" w:cs="arial"/>
          <w:color w:val="000000"/>
          <w:sz w:val="20"/>
          <w:lang w:val="en-US" w:eastAsia="en-US" w:bidi="ar-SA"/>
        </w:rPr>
        <w:t>, is that where a given wrong prima facie supports an action in contract and in tort, the party may sue in either or both, except where the contract indicates that the parties intended to limit or negative the right to sue in tort. (p. 20)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conclude that neither principle, the authorities nor the needs of contracting parties support the conclusion that dealing with a matter by an express contract term will, in itself, categorically exclude the right to sue in tort. The parties may by their contract limit the duty one owes to the other or waive the right to sue in tort. But subject to this, the right to sue concurrently in tort and contact remains. (p. 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measure of damages in contract and for the tort of negligent misrepresentation 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Contract: the plaintiff is to be put in the position it would have been in had the contract been performed as agreed.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Tort: the plaintiff is to be put in the position it would have been in had the misrepresentation not been made (p. 31)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The tenants also cite the well known case of </w:t>
      </w:r>
      <w:r>
        <w:rPr>
          <w:rFonts w:ascii="arial" w:eastAsia="arial" w:hAnsi="arial" w:cs="arial"/>
          <w:i/>
          <w:color w:val="000000"/>
          <w:sz w:val="20"/>
          <w:lang w:val="en-US" w:eastAsia="en-US" w:bidi="ar-SA"/>
        </w:rPr>
        <w:t>Queen v. Cognos, Inc.</w:t>
      </w:r>
      <w:r>
        <w:rPr>
          <w:rFonts w:ascii="arial" w:eastAsia="arial" w:hAnsi="arial" w:cs="arial"/>
          <w:color w:val="000000"/>
          <w:sz w:val="20"/>
          <w:lang w:val="en-US" w:eastAsia="en-US" w:bidi="ar-SA"/>
        </w:rPr>
        <w:t xml:space="preserve"> </w:t>
      </w:r>
      <w:hyperlink r:id="rId58" w:history="1">
        <w:r>
          <w:rPr>
            <w:rFonts w:ascii="arial" w:eastAsia="arial" w:hAnsi="arial" w:cs="arial"/>
            <w:i/>
            <w:color w:val="0077CC"/>
            <w:sz w:val="20"/>
            <w:u w:val="single"/>
            <w:shd w:val="clear" w:color="auto" w:fill="FFFFFF"/>
            <w:lang w:val="en-US" w:eastAsia="en-US" w:bidi="ar-SA"/>
          </w:rPr>
          <w:t>[1993] 1 S.C.R. 87</w:t>
        </w:r>
      </w:hyperlink>
      <w:r>
        <w:rPr>
          <w:rFonts w:ascii="arial" w:eastAsia="arial" w:hAnsi="arial" w:cs="arial"/>
          <w:color w:val="000000"/>
          <w:sz w:val="20"/>
          <w:lang w:val="en-US" w:eastAsia="en-US" w:bidi="ar-SA"/>
        </w:rPr>
        <w:t xml:space="preserve"> for the elements of the tort of negligent misrepresentation:</w:t>
      </w:r>
      <w:r>
        <w:rPr>
          <w:rFonts w:ascii="arial" w:eastAsia="arial" w:hAnsi="arial" w:cs="arial"/>
          <w:sz w:val="20"/>
          <w:lang w:val="en-US" w:eastAsia="en-US" w:bidi="ar-SA"/>
        </w:rPr>
        <w:cr/>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must be a duty of care based on a "special relationship" between the representor and the representee;</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representation must be untrue or inaccurate or misleading;</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representor must have acted negligently in marking said representation;</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representee must have relied, in a reasonable manner, on said negligent representation; and</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reliance must have been detrimental to the representee in the sense that damages resulted. (para. 39)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Also in that case, at para. 55, Iacobucci J.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applicable standard of care should be the one used in every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case, namely the universally accepted, albeit hypothetical, "reasonable person". The standard of care required by a person making representations is an objective one. It is a duty to exercise such reasonable care as the circumstances require to ensure that representations made are accurate and not misleading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He further stated at paras. 62 to 63: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duty of care with respect to representations made during pre-contractual negotiations is over and above a duty to be honest in making those representations. It requires not just that the representor be truthful and honest in his or her representations. It also requires that the representor exercise such reasonable care as the circumstances require to ensure that the representations made are accurate and not misleading.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Although the representor's subjective belief in the accuracy of the representations and his moral blameworthiness, or lack thereof, are highly relevant when considering whether or not a misrepresentation was fraudulently made, they serve little, if any, purpose in an inquiry into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As noted above, the applicable standard of care is that of the objective reasonable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The tenants rely upon the B.C. Court of Appeal decision in </w:t>
      </w:r>
      <w:r>
        <w:rPr>
          <w:rFonts w:ascii="arial" w:eastAsia="arial" w:hAnsi="arial" w:cs="arial"/>
          <w:i/>
          <w:color w:val="000000"/>
          <w:sz w:val="20"/>
          <w:lang w:val="en-US" w:eastAsia="en-US" w:bidi="ar-SA"/>
        </w:rPr>
        <w:t>Zippy Print Enterprises Ltd. v. Pawliuk</w:t>
      </w:r>
      <w:r>
        <w:rPr>
          <w:rFonts w:ascii="arial" w:eastAsia="arial" w:hAnsi="arial" w:cs="arial"/>
          <w:color w:val="000000"/>
          <w:sz w:val="20"/>
          <w:lang w:val="en-US" w:eastAsia="en-US" w:bidi="ar-SA"/>
        </w:rPr>
        <w:t xml:space="preserve">, </w:t>
      </w:r>
      <w:hyperlink r:id="rId176" w:history="1">
        <w:r>
          <w:rPr>
            <w:rFonts w:ascii="arial" w:eastAsia="arial" w:hAnsi="arial" w:cs="arial"/>
            <w:i/>
            <w:color w:val="0077CC"/>
            <w:sz w:val="20"/>
            <w:u w:val="single"/>
            <w:shd w:val="clear" w:color="auto" w:fill="FFFFFF"/>
            <w:lang w:val="en-US" w:eastAsia="en-US" w:bidi="ar-SA"/>
          </w:rPr>
          <w:t>[1994] B.C.J. No. 2778</w:t>
        </w:r>
      </w:hyperlink>
      <w:r>
        <w:rPr>
          <w:rFonts w:ascii="arial" w:eastAsia="arial" w:hAnsi="arial" w:cs="arial"/>
          <w:color w:val="000000"/>
          <w:sz w:val="20"/>
          <w:lang w:val="en-US" w:eastAsia="en-US" w:bidi="ar-SA"/>
        </w:rPr>
        <w:t>, 1994 BCCA 1756, in which Lambert, J.A., writing for a unanimous court said:</w:t>
      </w:r>
      <w:r>
        <w:rPr>
          <w:rFonts w:ascii="arial" w:eastAsia="arial" w:hAnsi="arial" w:cs="arial"/>
          <w:sz w:val="20"/>
          <w:lang w:val="en-US" w:eastAsia="en-US" w:bidi="ar-SA"/>
        </w:rPr>
        <w:cr/>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usual rule in relation to clauses excluding liability is that if liability can be based on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on some other ground, and if the clause does not specifically state that liability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excluded, then liability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not excluded. See </w:t>
      </w:r>
      <w:r>
        <w:rPr>
          <w:rFonts w:ascii="arial" w:eastAsia="arial" w:hAnsi="arial" w:cs="arial"/>
          <w:i/>
          <w:color w:val="000000"/>
          <w:sz w:val="20"/>
          <w:lang w:val="en-US" w:eastAsia="en-US" w:bidi="ar-SA"/>
        </w:rPr>
        <w:t>Alderslade v. Hendon Laundry Ltd.</w:t>
      </w:r>
      <w:r>
        <w:rPr>
          <w:rFonts w:ascii="arial" w:eastAsia="arial" w:hAnsi="arial" w:cs="arial"/>
          <w:color w:val="000000"/>
          <w:sz w:val="20"/>
          <w:lang w:val="en-US" w:eastAsia="en-US" w:bidi="ar-SA"/>
        </w:rPr>
        <w:t xml:space="preserve">, [1945] 1 All E.R. 244 (Eng. C.A.) and </w:t>
      </w:r>
      <w:r>
        <w:rPr>
          <w:rFonts w:ascii="arial" w:eastAsia="arial" w:hAnsi="arial" w:cs="arial"/>
          <w:i/>
          <w:color w:val="000000"/>
          <w:sz w:val="20"/>
          <w:lang w:val="en-US" w:eastAsia="en-US" w:bidi="ar-SA"/>
        </w:rPr>
        <w:t>Cavell Developments Ltd. v. Royal Bank of Canada</w:t>
      </w:r>
      <w:r>
        <w:rPr>
          <w:rFonts w:ascii="arial" w:eastAsia="arial" w:hAnsi="arial" w:cs="arial"/>
          <w:color w:val="000000"/>
          <w:sz w:val="20"/>
          <w:lang w:val="en-US" w:eastAsia="en-US" w:bidi="ar-SA"/>
        </w:rPr>
        <w:t xml:space="preserve"> </w:t>
      </w:r>
      <w:hyperlink r:id="rId234" w:history="1">
        <w:r>
          <w:rPr>
            <w:rFonts w:ascii="arial" w:eastAsia="arial" w:hAnsi="arial" w:cs="arial"/>
            <w:i/>
            <w:color w:val="0077CC"/>
            <w:sz w:val="20"/>
            <w:u w:val="single"/>
            <w:shd w:val="clear" w:color="auto" w:fill="FFFFFF"/>
            <w:lang w:val="en-US" w:eastAsia="en-US" w:bidi="ar-SA"/>
          </w:rPr>
          <w:t>(1991), 78 D.L.R. (4th) 512</w:t>
        </w:r>
      </w:hyperlink>
      <w:r>
        <w:rPr>
          <w:rFonts w:ascii="arial" w:eastAsia="arial" w:hAnsi="arial" w:cs="arial"/>
          <w:color w:val="000000"/>
          <w:sz w:val="20"/>
          <w:lang w:val="en-US" w:eastAsia="en-US" w:bidi="ar-SA"/>
        </w:rPr>
        <w:t xml:space="preserve"> (B.C.C.A.).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Mendelssohn v. Normand Ltd.</w:t>
      </w:r>
      <w:r>
        <w:rPr>
          <w:rFonts w:ascii="arial" w:eastAsia="arial" w:hAnsi="arial" w:cs="arial"/>
          <w:color w:val="000000"/>
          <w:sz w:val="20"/>
          <w:lang w:val="en-US" w:eastAsia="en-US" w:bidi="ar-SA"/>
        </w:rPr>
        <w:t>, [1970] 1 Q.B. 177 (Eng. C.A.), Lord Denning said this: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There are many cases in the books when a man has made, by word of mouth, a promise or a representation of fact, on which the other party acts by entering into the contract. In all such cases the man is not allowed to repudiate his representation by reference to a printed condition, see </w:t>
      </w:r>
      <w:r>
        <w:rPr>
          <w:rFonts w:ascii="arial" w:eastAsia="arial" w:hAnsi="arial" w:cs="arial"/>
          <w:i/>
          <w:color w:val="000000"/>
          <w:sz w:val="20"/>
          <w:lang w:val="en-US" w:eastAsia="en-US" w:bidi="ar-SA"/>
        </w:rPr>
        <w:t>Couchman v. Hill</w:t>
      </w:r>
      <w:r>
        <w:rPr>
          <w:rFonts w:ascii="arial" w:eastAsia="arial" w:hAnsi="arial" w:cs="arial"/>
          <w:color w:val="000000"/>
          <w:sz w:val="20"/>
          <w:lang w:val="en-US" w:eastAsia="en-US" w:bidi="ar-SA"/>
        </w:rPr>
        <w:t xml:space="preserve"> [1947] K.B. 554; </w:t>
      </w:r>
      <w:r>
        <w:rPr>
          <w:rFonts w:ascii="arial" w:eastAsia="arial" w:hAnsi="arial" w:cs="arial"/>
          <w:i/>
          <w:color w:val="000000"/>
          <w:sz w:val="20"/>
          <w:lang w:val="en-US" w:eastAsia="en-US" w:bidi="ar-SA"/>
        </w:rPr>
        <w:t>Curtis v. Chemical Cleaning and Dyeing Co.</w:t>
      </w:r>
      <w:r>
        <w:rPr>
          <w:rFonts w:ascii="arial" w:eastAsia="arial" w:hAnsi="arial" w:cs="arial"/>
          <w:color w:val="000000"/>
          <w:sz w:val="20"/>
          <w:lang w:val="en-US" w:eastAsia="en-US" w:bidi="ar-SA"/>
        </w:rPr>
        <w:t xml:space="preserve"> [1951] 1 K.B. 805; and </w:t>
      </w:r>
      <w:r>
        <w:rPr>
          <w:rFonts w:ascii="arial" w:eastAsia="arial" w:hAnsi="arial" w:cs="arial"/>
          <w:i/>
          <w:color w:val="000000"/>
          <w:sz w:val="20"/>
          <w:lang w:val="en-US" w:eastAsia="en-US" w:bidi="ar-SA"/>
        </w:rPr>
        <w:t>Harling v. Eddy</w:t>
      </w:r>
      <w:r>
        <w:rPr>
          <w:rFonts w:ascii="arial" w:eastAsia="arial" w:hAnsi="arial" w:cs="arial"/>
          <w:color w:val="000000"/>
          <w:sz w:val="20"/>
          <w:lang w:val="en-US" w:eastAsia="en-US" w:bidi="ar-SA"/>
        </w:rPr>
        <w:t xml:space="preserve"> [1951] 2 K.B. 739; nor is he allowed to go back on his promise by reliance on a written clause, see </w:t>
      </w:r>
      <w:r>
        <w:rPr>
          <w:rFonts w:ascii="arial" w:eastAsia="arial" w:hAnsi="arial" w:cs="arial"/>
          <w:i/>
          <w:color w:val="000000"/>
          <w:sz w:val="20"/>
          <w:lang w:val="en-US" w:eastAsia="en-US" w:bidi="ar-SA"/>
        </w:rPr>
        <w:t>City and Westminster Properties (1934) Ltd. v. Mudd</w:t>
      </w:r>
      <w:r>
        <w:rPr>
          <w:rFonts w:ascii="arial" w:eastAsia="arial" w:hAnsi="arial" w:cs="arial"/>
          <w:color w:val="000000"/>
          <w:sz w:val="20"/>
          <w:lang w:val="en-US" w:eastAsia="en-US" w:bidi="ar-SA"/>
        </w:rPr>
        <w:t xml:space="preserve"> [1959] Ch. 129, 145 by Harman J. The reason is because the oral promise or representation has a decisive influence on the transaction - it is the very thing which induces the other to contract - and it would be most unjust to allow the maker to go back on it. The printed condition is rejected because it is repugnant to the express oral promise or representation.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Canada the point has been stated and approved by the Supreme Court of Canada in </w:t>
      </w:r>
      <w:r>
        <w:rPr>
          <w:rFonts w:ascii="arial" w:eastAsia="arial" w:hAnsi="arial" w:cs="arial"/>
          <w:i/>
          <w:color w:val="000000"/>
          <w:sz w:val="20"/>
          <w:lang w:val="en-US" w:eastAsia="en-US" w:bidi="ar-SA"/>
        </w:rPr>
        <w:t>Bauer v. Bank of Montreal</w:t>
      </w:r>
      <w:r>
        <w:rPr>
          <w:rFonts w:ascii="arial" w:eastAsia="arial" w:hAnsi="arial" w:cs="arial"/>
          <w:color w:val="000000"/>
          <w:sz w:val="20"/>
          <w:lang w:val="en-US" w:eastAsia="en-US" w:bidi="ar-SA"/>
        </w:rPr>
        <w:t xml:space="preserve"> </w:t>
      </w:r>
      <w:hyperlink r:id="rId235" w:history="1">
        <w:r>
          <w:rPr>
            <w:rFonts w:ascii="arial" w:eastAsia="arial" w:hAnsi="arial" w:cs="arial"/>
            <w:i/>
            <w:color w:val="0077CC"/>
            <w:sz w:val="20"/>
            <w:u w:val="single"/>
            <w:shd w:val="clear" w:color="auto" w:fill="FFFFFF"/>
            <w:lang w:val="en-US" w:eastAsia="en-US" w:bidi="ar-SA"/>
          </w:rPr>
          <w:t>(1980), 110 D.L.R. (3d) 424</w:t>
        </w:r>
      </w:hyperlink>
      <w:r>
        <w:rPr>
          <w:rFonts w:ascii="arial" w:eastAsia="arial" w:hAnsi="arial" w:cs="arial"/>
          <w:color w:val="000000"/>
          <w:sz w:val="20"/>
          <w:lang w:val="en-US" w:eastAsia="en-US" w:bidi="ar-SA"/>
        </w:rPr>
        <w:t>, in the reasons of Mr. Justice McIntyre, for the Supreme Court of Canada, in this way at p. 430: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Various authorities were cited for the proposition that a contract induced by misrepresentation or by an oral representation, inconsistent with the form of the written contract, would not stand and could not bind the party to whom the representation had been made.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would apply the principle enunciated by this Court in </w:t>
      </w:r>
      <w:r>
        <w:rPr>
          <w:rFonts w:ascii="arial" w:eastAsia="arial" w:hAnsi="arial" w:cs="arial"/>
          <w:i/>
          <w:color w:val="000000"/>
          <w:sz w:val="20"/>
          <w:lang w:val="en-US" w:eastAsia="en-US" w:bidi="ar-SA"/>
        </w:rPr>
        <w:t>Betker v. Williams</w:t>
      </w:r>
      <w:r>
        <w:rPr>
          <w:rFonts w:ascii="arial" w:eastAsia="arial" w:hAnsi="arial" w:cs="arial"/>
          <w:color w:val="000000"/>
          <w:sz w:val="20"/>
          <w:lang w:val="en-US" w:eastAsia="en-US" w:bidi="ar-SA"/>
        </w:rPr>
        <w:t xml:space="preserve">, </w:t>
      </w:r>
      <w:hyperlink r:id="rId236" w:history="1">
        <w:r>
          <w:rPr>
            <w:rFonts w:ascii="arial" w:eastAsia="arial" w:hAnsi="arial" w:cs="arial"/>
            <w:i/>
            <w:color w:val="0077CC"/>
            <w:sz w:val="20"/>
            <w:u w:val="single"/>
            <w:shd w:val="clear" w:color="auto" w:fill="FFFFFF"/>
            <w:lang w:val="en-US" w:eastAsia="en-US" w:bidi="ar-SA"/>
          </w:rPr>
          <w:t>[1991] B.C.J. No. 3724</w:t>
        </w:r>
      </w:hyperlink>
      <w:r>
        <w:rPr>
          <w:rFonts w:ascii="arial" w:eastAsia="arial" w:hAnsi="arial" w:cs="arial"/>
          <w:color w:val="000000"/>
          <w:sz w:val="20"/>
          <w:lang w:val="en-US" w:eastAsia="en-US" w:bidi="ar-SA"/>
        </w:rPr>
        <w:t>. to the circumstances of this case. A general exclusion clause will not override a specific representation on a point of substance which was intended to induce the making of the agreement unless the intended effect of the exclusion clause can be shown to have been brought home to the party to whom the representation was made by being specifically drawn to the attention of that party, or by being specifically acknowledged by that party, or in some other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Lambert, J.A. also dealt with the relevance of delay:</w:t>
      </w:r>
      <w:r>
        <w:rPr>
          <w:rFonts w:ascii="arial" w:eastAsia="arial" w:hAnsi="arial" w:cs="arial"/>
          <w:sz w:val="20"/>
          <w:lang w:val="en-US" w:eastAsia="en-US" w:bidi="ar-SA"/>
        </w:rPr>
        <w:cr/>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Again, none of the cases to which we were referred applied a defence of acquiescence, waiver, election, estoppel or laches to a claim for damages for negligent misrepresentation. It is hard to see how laches can ever apply to such a claim, but the concept of "waiving the tort" is a familiar one and there is no reason in theory why a claim based in tort for negligent misrepresentation could not be waived. Such a waiver would require clear evidence. Merely allowing a relationship with the tort-feasor to continue and to modify itself while the claim is continuing would not amount to waiver of the claim. What would be required is some unequivocal act tantamount to a release of the claim. I do not consider that there is any such act in this case.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So the question is not whether the defendants acted promptly enough to claim to be restored to the position in which they were in before the agreement came into operation, either by rescission or damages. The question is whether they can be said to have conducted themselves in such a way that they must be regarded as having demonstrated unequivocally by their conduct that they abandoned their claim for damages for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The tenants also refer to </w:t>
      </w:r>
      <w:r>
        <w:rPr>
          <w:rFonts w:ascii="arial" w:eastAsia="arial" w:hAnsi="arial" w:cs="arial"/>
          <w:i/>
          <w:color w:val="000000"/>
          <w:sz w:val="20"/>
          <w:lang w:val="en-US" w:eastAsia="en-US" w:bidi="ar-SA"/>
        </w:rPr>
        <w:t>Taggart v. No. 236 Seabright Holdings Ltd.</w:t>
      </w:r>
      <w:r>
        <w:rPr>
          <w:rFonts w:ascii="arial" w:eastAsia="arial" w:hAnsi="arial" w:cs="arial"/>
          <w:color w:val="000000"/>
          <w:sz w:val="20"/>
          <w:lang w:val="en-US" w:eastAsia="en-US" w:bidi="ar-SA"/>
        </w:rPr>
        <w:t xml:space="preserve">, </w:t>
      </w:r>
      <w:hyperlink r:id="rId237" w:history="1">
        <w:r>
          <w:rPr>
            <w:rFonts w:ascii="arial" w:eastAsia="arial" w:hAnsi="arial" w:cs="arial"/>
            <w:i/>
            <w:color w:val="0077CC"/>
            <w:sz w:val="20"/>
            <w:u w:val="single"/>
            <w:shd w:val="clear" w:color="auto" w:fill="FFFFFF"/>
            <w:lang w:val="en-US" w:eastAsia="en-US" w:bidi="ar-SA"/>
          </w:rPr>
          <w:t>2008 BCSC 1412</w:t>
        </w:r>
      </w:hyperlink>
      <w:r>
        <w:rPr>
          <w:rFonts w:ascii="arial" w:eastAsia="arial" w:hAnsi="arial" w:cs="arial"/>
          <w:color w:val="000000"/>
          <w:sz w:val="20"/>
          <w:lang w:val="en-US" w:eastAsia="en-US" w:bidi="ar-SA"/>
        </w:rPr>
        <w:t>, a decision in which Sinclair Prowse J., said respecting whether a claim for negligent misrepresentation can be maintained in the face of an "entire agreement" clause: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[95] The Defendants contend that the Plaintiffs are precluded from bringing this claim because of the provisions of the Contract of Purchase and Sale. Specifically, paragraph 23 of this Contract provides: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Entire Agreement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This agreement shall constitute the entire agreement between the Parties and no representations, warranties and previous statements made by any person or agent other than those in writing in this Agreement signed by the Parties shall be binding on the parties.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[96] There is no dispute that an action in tort for negligent misrepresentation may lie even though the relevant parties to the action are in a contractual relationship: </w:t>
      </w:r>
      <w:r>
        <w:rPr>
          <w:rFonts w:ascii="arial" w:eastAsia="arial" w:hAnsi="arial" w:cs="arial"/>
          <w:i/>
          <w:color w:val="000000"/>
          <w:sz w:val="20"/>
          <w:lang w:val="en-US" w:eastAsia="en-US" w:bidi="ar-SA"/>
        </w:rPr>
        <w:t>Queen v. Cognos Inc.</w:t>
      </w:r>
      <w:r>
        <w:rPr>
          <w:rFonts w:ascii="arial" w:eastAsia="arial" w:hAnsi="arial" w:cs="arial"/>
          <w:color w:val="000000"/>
          <w:sz w:val="20"/>
          <w:lang w:val="en-US" w:eastAsia="en-US" w:bidi="ar-SA"/>
        </w:rPr>
        <w:t xml:space="preserve">, </w:t>
      </w:r>
      <w:hyperlink r:id="rId58" w:history="1">
        <w:r>
          <w:rPr>
            <w:rFonts w:ascii="arial" w:eastAsia="arial" w:hAnsi="arial" w:cs="arial"/>
            <w:i/>
            <w:color w:val="0077CC"/>
            <w:sz w:val="20"/>
            <w:u w:val="single"/>
            <w:shd w:val="clear" w:color="auto" w:fill="FFFFFF"/>
            <w:lang w:val="en-US" w:eastAsia="en-US" w:bidi="ar-SA"/>
          </w:rPr>
          <w:t>[1993] 1 S.C.R. 87</w:t>
        </w:r>
      </w:hyperlink>
      <w:r>
        <w:rPr>
          <w:rFonts w:ascii="arial" w:eastAsia="arial" w:hAnsi="arial" w:cs="arial"/>
          <w:color w:val="000000"/>
          <w:sz w:val="20"/>
          <w:lang w:val="en-US" w:eastAsia="en-US" w:bidi="ar-SA"/>
        </w:rPr>
        <w:t xml:space="preserve">, </w:t>
      </w:r>
      <w:hyperlink r:id="rId58" w:history="1">
        <w:r>
          <w:rPr>
            <w:rFonts w:ascii="arial" w:eastAsia="arial" w:hAnsi="arial" w:cs="arial"/>
            <w:i/>
            <w:color w:val="0077CC"/>
            <w:sz w:val="20"/>
            <w:u w:val="single"/>
            <w:shd w:val="clear" w:color="auto" w:fill="FFFFFF"/>
            <w:lang w:val="en-US" w:eastAsia="en-US" w:bidi="ar-SA"/>
          </w:rPr>
          <w:t>99 D.L.R. (4th) 626</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BG Checo International Ltd. v. British Columbia Hydro and Power Authority</w:t>
      </w:r>
      <w:r>
        <w:rPr>
          <w:rFonts w:ascii="arial" w:eastAsia="arial" w:hAnsi="arial" w:cs="arial"/>
          <w:color w:val="000000"/>
          <w:sz w:val="20"/>
          <w:lang w:val="en-US" w:eastAsia="en-US" w:bidi="ar-SA"/>
        </w:rPr>
        <w:t xml:space="preserve">, </w:t>
      </w:r>
      <w:hyperlink r:id="rId232" w:history="1">
        <w:r>
          <w:rPr>
            <w:rFonts w:ascii="arial" w:eastAsia="arial" w:hAnsi="arial" w:cs="arial"/>
            <w:i/>
            <w:color w:val="0077CC"/>
            <w:sz w:val="20"/>
            <w:u w:val="single"/>
            <w:shd w:val="clear" w:color="auto" w:fill="FFFFFF"/>
            <w:lang w:val="en-US" w:eastAsia="en-US" w:bidi="ar-SA"/>
          </w:rPr>
          <w:t>[1993] 1 S.C.R. 12</w:t>
        </w:r>
      </w:hyperlink>
      <w:r>
        <w:rPr>
          <w:rFonts w:ascii="arial" w:eastAsia="arial" w:hAnsi="arial" w:cs="arial"/>
          <w:color w:val="000000"/>
          <w:sz w:val="20"/>
          <w:lang w:val="en-US" w:eastAsia="en-US" w:bidi="ar-SA"/>
        </w:rPr>
        <w:t xml:space="preserve">, </w:t>
      </w:r>
      <w:hyperlink r:id="rId232" w:history="1">
        <w:r>
          <w:rPr>
            <w:rFonts w:ascii="arial" w:eastAsia="arial" w:hAnsi="arial" w:cs="arial"/>
            <w:i/>
            <w:color w:val="0077CC"/>
            <w:sz w:val="20"/>
            <w:u w:val="single"/>
            <w:shd w:val="clear" w:color="auto" w:fill="FFFFFF"/>
            <w:lang w:val="en-US" w:eastAsia="en-US" w:bidi="ar-SA"/>
          </w:rPr>
          <w:t>[1993] 2 W.W.R. 321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BG Checo</w:t>
      </w:r>
      <w:r>
        <w:rPr>
          <w:rFonts w:ascii="arial" w:eastAsia="arial" w:hAnsi="arial" w:cs="arial"/>
          <w:color w:val="000000"/>
          <w:sz w:val="20"/>
          <w:lang w:val="en-US" w:eastAsia="en-US" w:bidi="ar-SA"/>
        </w:rPr>
        <w:t xml:space="preserve">]. Such claims may lie even though the contract includes an Entire Agreement or general exclusion clause: </w:t>
      </w:r>
      <w:r>
        <w:rPr>
          <w:rFonts w:ascii="arial" w:eastAsia="arial" w:hAnsi="arial" w:cs="arial"/>
          <w:i/>
          <w:color w:val="000000"/>
          <w:sz w:val="20"/>
          <w:lang w:val="en-US" w:eastAsia="en-US" w:bidi="ar-SA"/>
        </w:rPr>
        <w:t>Zippy Print Enterprises Ltd. v. Pawliuk</w:t>
      </w:r>
      <w:r>
        <w:rPr>
          <w:rFonts w:ascii="arial" w:eastAsia="arial" w:hAnsi="arial" w:cs="arial"/>
          <w:color w:val="000000"/>
          <w:sz w:val="20"/>
          <w:lang w:val="en-US" w:eastAsia="en-US" w:bidi="ar-SA"/>
        </w:rPr>
        <w:t xml:space="preserve"> </w:t>
      </w:r>
      <w:hyperlink r:id="rId176" w:history="1">
        <w:r>
          <w:rPr>
            <w:rFonts w:ascii="arial" w:eastAsia="arial" w:hAnsi="arial" w:cs="arial"/>
            <w:i/>
            <w:color w:val="0077CC"/>
            <w:sz w:val="20"/>
            <w:u w:val="single"/>
            <w:shd w:val="clear" w:color="auto" w:fill="FFFFFF"/>
            <w:lang w:val="en-US" w:eastAsia="en-US" w:bidi="ar-SA"/>
          </w:rPr>
          <w:t>(1994), 100 B.C.L.R. (2d) 55</w:t>
        </w:r>
      </w:hyperlink>
      <w:r>
        <w:rPr>
          <w:rFonts w:ascii="arial" w:eastAsia="arial" w:hAnsi="arial" w:cs="arial"/>
          <w:color w:val="000000"/>
          <w:sz w:val="20"/>
          <w:lang w:val="en-US" w:eastAsia="en-US" w:bidi="ar-SA"/>
        </w:rPr>
        <w:t xml:space="preserve">, </w:t>
      </w:r>
      <w:hyperlink r:id="rId176" w:history="1">
        <w:r>
          <w:rPr>
            <w:rFonts w:ascii="arial" w:eastAsia="arial" w:hAnsi="arial" w:cs="arial"/>
            <w:i/>
            <w:color w:val="0077CC"/>
            <w:sz w:val="20"/>
            <w:u w:val="single"/>
            <w:shd w:val="clear" w:color="auto" w:fill="FFFFFF"/>
            <w:lang w:val="en-US" w:eastAsia="en-US" w:bidi="ar-SA"/>
          </w:rPr>
          <w:t>[1995] 3 W.W.R. 324</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Zippy]</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BG Checo</w:t>
      </w:r>
      <w:r>
        <w:rPr>
          <w:rFonts w:ascii="arial" w:eastAsia="arial" w:hAnsi="arial" w:cs="arial"/>
          <w:color w:val="000000"/>
          <w:sz w:val="20"/>
          <w:lang w:val="en-US" w:eastAsia="en-US" w:bidi="ar-SA"/>
        </w:rPr>
        <w:t xml:space="preserve">. In other instances, Entire Agreement clauses were found to exclude total liability: </w:t>
      </w:r>
      <w:r>
        <w:rPr>
          <w:rFonts w:ascii="arial" w:eastAsia="arial" w:hAnsi="arial" w:cs="arial"/>
          <w:i/>
          <w:color w:val="000000"/>
          <w:sz w:val="20"/>
          <w:lang w:val="en-US" w:eastAsia="en-US" w:bidi="ar-SA"/>
        </w:rPr>
        <w:t>Intrawest Corp. v. No. 2002 Taurus Ventures Ltd.</w:t>
      </w:r>
      <w:r>
        <w:rPr>
          <w:rFonts w:ascii="arial" w:eastAsia="arial" w:hAnsi="arial" w:cs="arial"/>
          <w:color w:val="000000"/>
          <w:sz w:val="20"/>
          <w:lang w:val="en-US" w:eastAsia="en-US" w:bidi="ar-SA"/>
        </w:rPr>
        <w:t xml:space="preserve">, </w:t>
      </w:r>
      <w:hyperlink r:id="rId175" w:history="1">
        <w:r>
          <w:rPr>
            <w:rFonts w:ascii="arial" w:eastAsia="arial" w:hAnsi="arial" w:cs="arial"/>
            <w:i/>
            <w:color w:val="0077CC"/>
            <w:sz w:val="20"/>
            <w:u w:val="single"/>
            <w:shd w:val="clear" w:color="auto" w:fill="FFFFFF"/>
            <w:lang w:val="en-US" w:eastAsia="en-US" w:bidi="ar-SA"/>
          </w:rPr>
          <w:t>2007 BCCA 228</w:t>
        </w:r>
      </w:hyperlink>
      <w:r>
        <w:rPr>
          <w:rFonts w:ascii="arial" w:eastAsia="arial" w:hAnsi="arial" w:cs="arial"/>
          <w:color w:val="000000"/>
          <w:sz w:val="20"/>
          <w:lang w:val="en-US" w:eastAsia="en-US" w:bidi="ar-SA"/>
        </w:rPr>
        <w:t xml:space="preserve">, </w:t>
      </w:r>
      <w:hyperlink r:id="rId175" w:history="1">
        <w:r>
          <w:rPr>
            <w:rFonts w:ascii="arial" w:eastAsia="arial" w:hAnsi="arial" w:cs="arial"/>
            <w:i/>
            <w:color w:val="0077CC"/>
            <w:sz w:val="20"/>
            <w:u w:val="single"/>
            <w:shd w:val="clear" w:color="auto" w:fill="FFFFFF"/>
            <w:lang w:val="en-US" w:eastAsia="en-US" w:bidi="ar-SA"/>
          </w:rPr>
          <w:t>281 D.L.R. (4th) 420</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Bow Valley Husky Bermuda Ltd. v. Saint John Shipping Ltd.</w:t>
      </w:r>
      <w:r>
        <w:rPr>
          <w:rFonts w:ascii="arial" w:eastAsia="arial" w:hAnsi="arial" w:cs="arial"/>
          <w:color w:val="000000"/>
          <w:sz w:val="20"/>
          <w:lang w:val="en-US" w:eastAsia="en-US" w:bidi="ar-SA"/>
        </w:rPr>
        <w:t xml:space="preserve">, </w:t>
      </w:r>
      <w:hyperlink r:id="rId180" w:history="1">
        <w:r>
          <w:rPr>
            <w:rFonts w:ascii="arial" w:eastAsia="arial" w:hAnsi="arial" w:cs="arial"/>
            <w:i/>
            <w:color w:val="0077CC"/>
            <w:sz w:val="20"/>
            <w:u w:val="single"/>
            <w:shd w:val="clear" w:color="auto" w:fill="FFFFFF"/>
            <w:lang w:val="en-US" w:eastAsia="en-US" w:bidi="ar-SA"/>
          </w:rPr>
          <w:t>[1997] 3 S.C.R. 1210</w:t>
        </w:r>
      </w:hyperlink>
      <w:r>
        <w:rPr>
          <w:rFonts w:ascii="arial" w:eastAsia="arial" w:hAnsi="arial" w:cs="arial"/>
          <w:color w:val="000000"/>
          <w:sz w:val="20"/>
          <w:lang w:val="en-US" w:eastAsia="en-US" w:bidi="ar-SA"/>
        </w:rPr>
        <w:t xml:space="preserve">, </w:t>
      </w:r>
      <w:hyperlink r:id="rId180" w:history="1">
        <w:r>
          <w:rPr>
            <w:rFonts w:ascii="arial" w:eastAsia="arial" w:hAnsi="arial" w:cs="arial"/>
            <w:i/>
            <w:color w:val="0077CC"/>
            <w:sz w:val="20"/>
            <w:u w:val="single"/>
            <w:shd w:val="clear" w:color="auto" w:fill="FFFFFF"/>
            <w:lang w:val="en-US" w:eastAsia="en-US" w:bidi="ar-SA"/>
          </w:rPr>
          <w:t>153 D.L.R. (4th) 385</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[97] A review of these cases demonstrates that the determination of whether tort liability is excluded will depend on all of the circumstances of the case, including such circumstances as the sophistication of the parties. Of particular significance is whether the terms of the contract specifically address the matters that were the subject of the pre-contractual representations.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[98] The Court in </w:t>
      </w:r>
      <w:r>
        <w:rPr>
          <w:rFonts w:ascii="arial" w:eastAsia="arial" w:hAnsi="arial" w:cs="arial"/>
          <w:i/>
          <w:color w:val="000000"/>
          <w:sz w:val="20"/>
          <w:lang w:val="en-US" w:eastAsia="en-US" w:bidi="ar-SA"/>
        </w:rPr>
        <w:t>Zippy</w:t>
      </w:r>
      <w:r>
        <w:rPr>
          <w:rFonts w:ascii="arial" w:eastAsia="arial" w:hAnsi="arial" w:cs="arial"/>
          <w:color w:val="000000"/>
          <w:sz w:val="20"/>
          <w:lang w:val="en-US" w:eastAsia="en-US" w:bidi="ar-SA"/>
        </w:rPr>
        <w:t xml:space="preserve"> at para. 45 described the underlying principle in the following manner: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general exclusion clause will not override a specific representation on a point of substance which was intended to induce the making of the agreement unless the intended effect of the exclusion clause can be shown to have been brought home to the party to whom the representation was made by being specifically drawn to the attention of that party, or by being specifically acknowledged by that party, or in some other way.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[99] Applying these principles to the facts in this case, the Entire Agreement clause in the parties' Contract does not preclude the Plaintiffs from bringing this 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[100] First, the Entire Agreement clause in this Contract is a general exclusion clause. That is, it does not specifically exclude claims for negligent misrepresentations - there is, in fact, no reference to negligent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The tenants say that a case with significant factual similarities to the case at bar is </w:t>
      </w:r>
      <w:r>
        <w:rPr>
          <w:rFonts w:ascii="arial" w:eastAsia="arial" w:hAnsi="arial" w:cs="arial"/>
          <w:i/>
          <w:color w:val="000000"/>
          <w:sz w:val="20"/>
          <w:lang w:val="en-US" w:eastAsia="en-US" w:bidi="ar-SA"/>
        </w:rPr>
        <w:t>Punto e Pasta Manufacturing Inc. v. Henderson Development (Canada) Ltd.</w:t>
      </w:r>
      <w:r>
        <w:rPr>
          <w:rFonts w:ascii="arial" w:eastAsia="arial" w:hAnsi="arial" w:cs="arial"/>
          <w:color w:val="000000"/>
          <w:sz w:val="20"/>
          <w:lang w:val="en-US" w:eastAsia="en-US" w:bidi="ar-SA"/>
        </w:rPr>
        <w:t xml:space="preserve">, </w:t>
      </w:r>
      <w:hyperlink r:id="rId238" w:history="1">
        <w:r>
          <w:rPr>
            <w:rFonts w:ascii="arial" w:eastAsia="arial" w:hAnsi="arial" w:cs="arial"/>
            <w:i/>
            <w:color w:val="0077CC"/>
            <w:sz w:val="20"/>
            <w:u w:val="single"/>
            <w:shd w:val="clear" w:color="auto" w:fill="FFFFFF"/>
            <w:lang w:val="en-US" w:eastAsia="en-US" w:bidi="ar-SA"/>
          </w:rPr>
          <w:t>2009 BCSC 37</w:t>
        </w:r>
      </w:hyperlink>
      <w:r>
        <w:rPr>
          <w:rFonts w:ascii="arial" w:eastAsia="arial" w:hAnsi="arial" w:cs="arial"/>
          <w:color w:val="000000"/>
          <w:sz w:val="20"/>
          <w:lang w:val="en-US" w:eastAsia="en-US" w:bidi="ar-SA"/>
        </w:rPr>
        <w:t xml:space="preserve">. This dispute involved a mixed residential and retail complex in Vancouver called International Village. The proprietor of Punto e Pasta, Mr. Papa, had operated a food catering business for many years. He also operated a small restaurant on Commercial Drive selling freshly prepared pasta dishes. His company signed a lease for premises at the International Village on February 25, 2000, and commenced doing business in May 2000. The tenant vacated the premises in November 2000. The tenant commenced a law suit alleging that the landlord misrepresented both the identity and nature of the commitments of some of the existing and prospective tenants of the International Village. He says that these representations were, at worst, fraudulent, and, at best, negligent. The landlord counterclaimed based on non-payment of rent. Slade J. did not find fraudulent misrepresentation; found that the "entire agreement" clauses in the lease did not exclude the landlord from liability for negligent misrepresentation; found the representation to constitute negligent misrepresentation; awarded damages; and dismissed the landlord's claim for rent. In the course of his reasons, he discussed the Supreme Court of Canada decision in </w:t>
      </w:r>
      <w:r>
        <w:rPr>
          <w:rFonts w:ascii="arial" w:eastAsia="arial" w:hAnsi="arial" w:cs="arial"/>
          <w:i/>
          <w:color w:val="000000"/>
          <w:sz w:val="20"/>
          <w:lang w:val="en-US" w:eastAsia="en-US" w:bidi="ar-SA"/>
        </w:rPr>
        <w:t>Martel Building Ltd. v. Canada</w:t>
      </w:r>
      <w:r>
        <w:rPr>
          <w:rFonts w:ascii="arial" w:eastAsia="arial" w:hAnsi="arial" w:cs="arial"/>
          <w:color w:val="000000"/>
          <w:sz w:val="20"/>
          <w:lang w:val="en-US" w:eastAsia="en-US" w:bidi="ar-SA"/>
        </w:rPr>
        <w:t xml:space="preserve"> </w:t>
      </w:r>
      <w:hyperlink r:id="rId239" w:history="1">
        <w:r>
          <w:rPr>
            <w:rFonts w:ascii="arial" w:eastAsia="arial" w:hAnsi="arial" w:cs="arial"/>
            <w:i/>
            <w:color w:val="0077CC"/>
            <w:sz w:val="20"/>
            <w:u w:val="single"/>
            <w:shd w:val="clear" w:color="auto" w:fill="FFFFFF"/>
            <w:lang w:val="en-US" w:eastAsia="en-US" w:bidi="ar-SA"/>
          </w:rPr>
          <w:t>[2000] 2 S.C.R. 860</w:t>
        </w:r>
      </w:hyperlink>
      <w:r>
        <w:rPr>
          <w:rFonts w:ascii="arial" w:eastAsia="arial" w:hAnsi="arial" w:cs="arial"/>
          <w:color w:val="000000"/>
          <w:sz w:val="20"/>
          <w:lang w:val="en-US" w:eastAsia="en-US" w:bidi="ar-SA"/>
        </w:rPr>
        <w:t xml:space="preserve"> and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[112] The decision of the Supreme Court in Martel does not, in my opinion, alter the law, as set out in </w:t>
      </w:r>
      <w:r>
        <w:rPr>
          <w:rFonts w:ascii="arial" w:eastAsia="arial" w:hAnsi="arial" w:cs="arial"/>
          <w:i/>
          <w:color w:val="000000"/>
          <w:sz w:val="20"/>
          <w:lang w:val="en-US" w:eastAsia="en-US" w:bidi="ar-SA"/>
        </w:rPr>
        <w:t>Cognos</w:t>
      </w:r>
      <w:r>
        <w:rPr>
          <w:rFonts w:ascii="arial" w:eastAsia="arial" w:hAnsi="arial" w:cs="arial"/>
          <w:color w:val="000000"/>
          <w:sz w:val="20"/>
          <w:lang w:val="en-US" w:eastAsia="en-US" w:bidi="ar-SA"/>
        </w:rPr>
        <w:t>, supra. Martel does not deprive a person who enters an agreement, in reliance on negligent misrepresentations, of a claim in tort for pure economic loss. Indeed, negligent misrepresentation is acknowledged, in para. 70, as a basis for recovery even where negotiation does not culminate in an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As to statements of future intention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[121] A statement of future intention is a statement of fact. If the statement is false, in the sense that it asserts a fact that is known not to exist, it is fraudulent. If merely inaccurate, in the sense of being incorrect, it may be actionable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[125] In my view, a statement of intention cannot be accurate if made in the absence of a reasonable basis for a belief that that which is stated to be intended is achievable. If this were not so, the due diligence requirement (</w:t>
      </w:r>
      <w:r>
        <w:rPr>
          <w:rFonts w:ascii="arial" w:eastAsia="arial" w:hAnsi="arial" w:cs="arial"/>
          <w:i/>
          <w:color w:val="000000"/>
          <w:sz w:val="20"/>
          <w:lang w:val="en-US" w:eastAsia="en-US" w:bidi="ar-SA"/>
        </w:rPr>
        <w:t>Queen v. Cognos</w:t>
      </w:r>
      <w:r>
        <w:rPr>
          <w:rFonts w:ascii="arial" w:eastAsia="arial" w:hAnsi="arial" w:cs="arial"/>
          <w:color w:val="000000"/>
          <w:sz w:val="20"/>
          <w:lang w:val="en-US" w:eastAsia="en-US" w:bidi="ar-SA"/>
        </w:rPr>
        <w:t>, supra, at para. 44) would be meaningless.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He also quoted the most famous English Judge, Bowen L.J. who said in </w:t>
      </w:r>
      <w:r>
        <w:rPr>
          <w:rFonts w:ascii="arial" w:eastAsia="arial" w:hAnsi="arial" w:cs="arial"/>
          <w:i/>
          <w:color w:val="000000"/>
          <w:sz w:val="20"/>
          <w:lang w:val="en-US" w:eastAsia="en-US" w:bidi="ar-SA"/>
        </w:rPr>
        <w:t>Edgington v. Fitzmaurice</w:t>
      </w:r>
      <w:r>
        <w:rPr>
          <w:rFonts w:ascii="arial" w:eastAsia="arial" w:hAnsi="arial" w:cs="arial"/>
          <w:color w:val="000000"/>
          <w:sz w:val="20"/>
          <w:lang w:val="en-US" w:eastAsia="en-US" w:bidi="ar-SA"/>
        </w:rPr>
        <w:t xml:space="preserve"> (1885), 29 Ch.D. 459 at 483 (C.A.):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state of a man's mind is as much a fact as the state of his digestion. It is true that it is very difficult to prove what the state of man's mind at a particular time is, but if it can be ascertained it is as much a fact as anything else. A misrepresentation as to the state of a man's mind is, therefore, a misstatement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As to the "entire agreement" clause, Slade J.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[163] Exemption clauses are construed narrowly and against the interest of the drafter (the contra proferentum rule):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Wilson J. stated in </w:t>
      </w:r>
      <w:r>
        <w:rPr>
          <w:rFonts w:ascii="arial" w:eastAsia="arial" w:hAnsi="arial" w:cs="arial"/>
          <w:i/>
          <w:color w:val="000000"/>
          <w:sz w:val="20"/>
          <w:lang w:val="en-US" w:eastAsia="en-US" w:bidi="ar-SA"/>
        </w:rPr>
        <w:t>Hunter Engineering</w:t>
      </w:r>
      <w:r>
        <w:rPr>
          <w:rFonts w:ascii="arial" w:eastAsia="arial" w:hAnsi="arial" w:cs="arial"/>
          <w:color w:val="000000"/>
          <w:sz w:val="20"/>
          <w:lang w:val="en-US" w:eastAsia="en-US" w:bidi="ar-SA"/>
        </w:rPr>
        <w:t xml:space="preserve"> [</w:t>
      </w:r>
      <w:hyperlink r:id="rId240" w:history="1">
        <w:r>
          <w:rPr>
            <w:rFonts w:ascii="arial" w:eastAsia="arial" w:hAnsi="arial" w:cs="arial"/>
            <w:i/>
            <w:color w:val="0077CC"/>
            <w:sz w:val="20"/>
            <w:u w:val="single"/>
            <w:shd w:val="clear" w:color="auto" w:fill="FFFFFF"/>
            <w:lang w:val="en-US" w:eastAsia="en-US" w:bidi="ar-SA"/>
          </w:rPr>
          <w:t>[1989] 1 S.C.R. 426</w:t>
        </w:r>
      </w:hyperlink>
      <w:r>
        <w:rPr>
          <w:rFonts w:ascii="arial" w:eastAsia="arial" w:hAnsi="arial" w:cs="arial"/>
          <w:color w:val="000000"/>
          <w:sz w:val="20"/>
          <w:lang w:val="en-US" w:eastAsia="en-US" w:bidi="ar-SA"/>
        </w:rPr>
        <w:t xml:space="preserve">] that "an exclusion clause should be strictly construed against the party seeking to invoke it". In </w:t>
      </w:r>
      <w:r>
        <w:rPr>
          <w:rFonts w:ascii="arial" w:eastAsia="arial" w:hAnsi="arial" w:cs="arial"/>
          <w:i/>
          <w:color w:val="000000"/>
          <w:sz w:val="20"/>
          <w:lang w:val="en-US" w:eastAsia="en-US" w:bidi="ar-SA"/>
        </w:rPr>
        <w:t>Bow Valley Husky (Bermuda) Ltd. v. Saint John Shipbuilding Ltd.</w:t>
      </w:r>
      <w:r>
        <w:rPr>
          <w:rFonts w:ascii="arial" w:eastAsia="arial" w:hAnsi="arial" w:cs="arial"/>
          <w:color w:val="000000"/>
          <w:sz w:val="20"/>
          <w:lang w:val="en-US" w:eastAsia="en-US" w:bidi="ar-SA"/>
        </w:rPr>
        <w:t xml:space="preserve"> [</w:t>
      </w:r>
      <w:hyperlink r:id="rId180" w:history="1">
        <w:r>
          <w:rPr>
            <w:rFonts w:ascii="arial" w:eastAsia="arial" w:hAnsi="arial" w:cs="arial"/>
            <w:i/>
            <w:color w:val="0077CC"/>
            <w:sz w:val="20"/>
            <w:u w:val="single"/>
            <w:shd w:val="clear" w:color="auto" w:fill="FFFFFF"/>
            <w:lang w:val="en-US" w:eastAsia="en-US" w:bidi="ar-SA"/>
          </w:rPr>
          <w:t>[1997] 3 S.C.R. 1210</w:t>
        </w:r>
      </w:hyperlink>
      <w:r>
        <w:rPr>
          <w:rFonts w:ascii="arial" w:eastAsia="arial" w:hAnsi="arial" w:cs="arial"/>
          <w:color w:val="000000"/>
          <w:sz w:val="20"/>
          <w:lang w:val="en-US" w:eastAsia="en-US" w:bidi="ar-SA"/>
        </w:rPr>
        <w:t>], the Supreme Court of Canada unanimously adopted that statement. The Ontario Court of Appeal has stated: "Exclusion clauses are to the approached with the aid of the cardinal rules of contractual construction: they must be read contra proferentem and clear words are necessary for the exclusion clause to apply.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[168] I note the following passage from Prof. Hall's text (at 8.10.1):</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To the extent that there is a consistent theme to the various concepts which seem to be at play, it appears to be that entire agreement clauses will only enforced against a party who understood (or ought to have understood) the effect of the clause and whose attention was specifically drawn to the provision. Thus an entire agreement clause is much more apt to be enforced against a sophisticated party than against an unsophisticated one, and entire agreement clauses which are buried in fine print in standard form contracts are apt not to be enforced. In other words, entire agreement clauses tend only to be enforceable where contracting parties expressly turn their minds to them, or where they ought to have done so because of their sophistication and ability to obtain legal advice.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 Representations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Whether or not the landlord made the representations alleged by the tenants and whether or not they constitute negligent or fraudulent misrepresentation are the most significant disputes between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 am satisfied that Mr. Edie made the representations alleged by the tenants. My principal reason for arriving at this conclusion flows from my assessment of the credibility of the parties. Both Ms. Assu and her mother presented as genuine truth-telling witnesses. They did not claim to remember every detail of what transpired. Their evidence had the rough texture of unrehearsed truth. On the issue of the proposed tenancy of Winners, Ms. Hollinger's evidence confirms the evidence of the tenants. She was given the same assurances a few months later, but, tellingly, before Mr. Edie testified that he'd even spoken with Winners.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 Edie's responses were unconvincing for a number of reasons. First, although the pleadings simply denied that the representations had been made, his evidence was less direct. As to the promise that the mall would be fully tenanted within two years, in evidence he said that it would be impossible for any landlord to guarantee such a thing. As to his alleged statement that Winners would be a tenant in the mall "once Walmart 'broke ground'", his answer was that he couldn't have made that promise because he didn't commence negotiating with Winners until much later in time. As to the anchor tenants having customer access to the interior of the mall, he said that Sears did and that he'd tried to get Thrifty's to create such an entrance, but they had declined. I understand that answer to be an admission, by implication, that he'd made the representation the tenants alleged.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addition, he was both vague and evasive in some of his answers. On the whole, I did not find Mr. Edie to be a credible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Like Slade J. in </w:t>
      </w:r>
      <w:r>
        <w:rPr>
          <w:rFonts w:ascii="arial" w:eastAsia="arial" w:hAnsi="arial" w:cs="arial"/>
          <w:i/>
          <w:color w:val="000000"/>
          <w:sz w:val="20"/>
          <w:lang w:val="en-US" w:eastAsia="en-US" w:bidi="ar-SA"/>
        </w:rPr>
        <w:t>Punto e Pasta</w:t>
      </w:r>
      <w:r>
        <w:rPr>
          <w:rFonts w:ascii="arial" w:eastAsia="arial" w:hAnsi="arial" w:cs="arial"/>
          <w:color w:val="000000"/>
          <w:sz w:val="20"/>
          <w:lang w:val="en-US" w:eastAsia="en-US" w:bidi="ar-SA"/>
        </w:rPr>
        <w:t>, I am not persuaded that the landlord's representations were fraudulent. The tenants' most forceful submission with respect to fraud dealt with Mr. Edie's representation about Winners becoming a mall tenant. In his trial evidence Mr. Edie said that he did not engage in negotiations with Winners until 2 or 3 years after taking control of the mall. If this evidence is accepted as factual, then the representation he made to the tenants concerning Winners was false and he must have known of its falsity at the time he made the representations. I am not prepared to make this finding because I am not satisfied that his trial evidence concerning the timing of his discussions with Winners was truthful. Under the circumstances, I find that all three of the relevant representations made by Mr. Edie were made negligently.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In terms of the elements of the tort of negligent misrepresentations set out in </w:t>
      </w:r>
      <w:r>
        <w:rPr>
          <w:rFonts w:ascii="arial" w:eastAsia="arial" w:hAnsi="arial" w:cs="arial"/>
          <w:i/>
          <w:color w:val="000000"/>
          <w:sz w:val="20"/>
          <w:lang w:val="en-US" w:eastAsia="en-US" w:bidi="ar-SA"/>
        </w:rPr>
        <w:t>Cognos</w:t>
      </w:r>
      <w:r>
        <w:rPr>
          <w:rFonts w:ascii="arial" w:eastAsia="arial" w:hAnsi="arial" w:cs="arial"/>
          <w:color w:val="000000"/>
          <w:sz w:val="20"/>
          <w:lang w:val="en-US" w:eastAsia="en-US" w:bidi="ar-SA"/>
        </w:rPr>
        <w:t>, I am satisfied that:</w:t>
      </w:r>
      <w:r>
        <w:rPr>
          <w:rFonts w:ascii="arial" w:eastAsia="arial" w:hAnsi="arial" w:cs="arial"/>
          <w:sz w:val="20"/>
          <w:lang w:val="en-US" w:eastAsia="en-US" w:bidi="ar-SA"/>
        </w:rPr>
        <w:cr/>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a duty of care based on a "special relationship" between Mr. Edie and Ms. Assu at the time he made the representations. Mr. Edie was a very experienced businessman, owner of a number of malls and knowledgeable concerning landlord/tenant issues in commercial malls. Ms. Assu was a Campbell River housewife who'd opened a small store. Her previous tenancies involved one retail complex in Campbell River with an understanding and cooperative landlord. I am satisfied that the disparity in knowledge and experience was sufficient to create the necessary "special relationship".</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All three relevant representations were certainly misleading; the Winners representation was untrue; and the mall opening representation was inaccurate with respect to Thrifty's;</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have already explained why I am satisfied that the representations were made negligently by Mr. Edie;</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circumstances of Mr. Edie making the representations to Ms. Assu and her mother for the purpose of persuading them to re-locate their business to his newly acquired mall, I am satisfied it was reasonable for them to rely on his assurances;</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am also satisfied that the tenant's reliance on Mr. Edie's representations to them was detrimental and damages resulted.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Therefore I find that the tenants were induced to sign their lease by negligent misrepresentations made by the principal of the landlord.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tenants seek rescission of the lease agreement. In my view, too much time has passed and too many changes in circumstances have occurred to make rescission a practical remedy for me to grant. They also seek general damages and aggravated damages. I am not satisfied that the evidence in the case justifies an award of aggravated damages and therefore decline to make any such award. I am prepared to award the tenants $10,000 in general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 Rental Arrears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 am satisfied that the landlord's claim for rental arrears must fail for a number of reasons. First, the landlord's comptroller, Mr. Whitfield, testified that the landlord's accounting records were unreliable. Second, I accept Ms. Assu's evidence (confirmed by the notation on her cheque) that she had an agreement with the landlord's agent (Mr. Whitfield) to bring her minor rental arrears up to date and she had carried out her obligations under the agreement by the end of 2009. In accepting her evidence, I reject both Mr. Edie and Mr. Whitfield's denial of the existence of that agreement. Third, my finding that the tenants were induced by the landlord's negligent misrepresentations to enter into the lease means that the landlord is unable to rely on its terms in this law suit. Last, if I have fallen into error in making the above findings of fact, I would be prepared to find that the damages owed to the tenants by the landlord for the tort of negligent misrepresentation should be augmented to include any amount of back rent actually owed by the tenants to the landlord.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3. Leasehold Improvements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On this topic I accept Ms. Assu's evidence concerning her dealings with the landlord's "go-to-guy", Mr. Howie Budinski. In particular I accept her evidence that she was assured that if she accepted Budinski's recommendations she would be "on budget". I did not accept Mr. Edie's evidence concerning the additional costs of tenant improvements in Kidlets space. In particular, the alleged drywall costs for their 3500 square feet seemed completely unrealistic. On the evidence before me, I am unable to determine if Mr. Edie was knowingly overcharging Ms. Assu, or whether he was the victim of overcharging by his tenant improvement contractor. In any case, I am satisfied that the "extra" $1 per square foot which Ms. Assu was persuaded to agree to was </w:t>
      </w:r>
      <w:r>
        <w:rPr>
          <w:rFonts w:ascii="arial" w:eastAsia="arial" w:hAnsi="arial" w:cs="arial"/>
          <w:color w:val="000000"/>
          <w:sz w:val="20"/>
          <w:u w:val="single"/>
          <w:lang w:val="en-US" w:eastAsia="en-US" w:bidi="ar-SA"/>
        </w:rPr>
        <w:t>not</w:t>
      </w:r>
      <w:r>
        <w:rPr>
          <w:rFonts w:ascii="arial" w:eastAsia="arial" w:hAnsi="arial" w:cs="arial"/>
          <w:color w:val="000000"/>
          <w:sz w:val="20"/>
          <w:lang w:val="en-US" w:eastAsia="en-US" w:bidi="ar-SA"/>
        </w:rPr>
        <w:t xml:space="preserve"> an appropriate charge. I award the tenant special damages of $10,208.10 on this basis.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4. Roof Collapse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As to the roof collapse, the tenants have not provided adequate evidence to satisfy me concerning their allegations of the necessity for, and the duration of, any closure of their store caused by the roof collapse. I am satisfied that the landlord should be responsible for the $1,000 deductible that the tenants were obliged to pay when claiming on their tenant's insurance policy as special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5. Signage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 have reviewed Schedule "D" of the Lease Agreement which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Signage: The tenant shall utilize a double sided 2'6" x 10' panel on a pylon sign located on the Lands at a cost of $125 per month.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No evidence was given concerning the dimensions of the sign or signs in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 accept the tenant's submissions and award $4,375 in special damages under this heading.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6. Additional 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 did not find that the evidence concerning this issue met the tenant's burden of proof. I dismiss their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 dismiss all the landlord's claims against the tenants. I grant the tenants damages claims as previously noted: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8"/>
        <w:gridCol w:w="3973"/>
        <w:gridCol w:w="3241"/>
        <w:gridCol w:w="261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89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General Damages</w:t>
            </w:r>
          </w:p>
        </w:tc>
        <w:tc>
          <w:tcPr>
            <w:tcW w:w="317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$10,000.00</w:t>
            </w:r>
          </w:p>
        </w:tc>
        <w:tc>
          <w:tcPr>
            <w:tcW w:w="256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450"/>
        <w:gridCol w:w="1778"/>
        <w:gridCol w:w="460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37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Leasehold Improvements</w:t>
            </w:r>
          </w:p>
        </w:tc>
        <w:tc>
          <w:tcPr>
            <w:tcW w:w="174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$10,208.10</w:t>
            </w:r>
          </w:p>
        </w:tc>
        <w:tc>
          <w:tcPr>
            <w:tcW w:w="450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927"/>
        <w:gridCol w:w="2301"/>
        <w:gridCol w:w="460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86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Roof Collapse</w:t>
            </w:r>
          </w:p>
        </w:tc>
        <w:tc>
          <w:tcPr>
            <w:tcW w:w="225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$1,000.00</w:t>
            </w:r>
          </w:p>
        </w:tc>
        <w:tc>
          <w:tcPr>
            <w:tcW w:w="450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510"/>
        <w:gridCol w:w="2718"/>
        <w:gridCol w:w="460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Signage</w:t>
            </w:r>
          </w:p>
        </w:tc>
        <w:tc>
          <w:tcPr>
            <w:tcW w:w="266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$4,375.00</w:t>
            </w:r>
          </w:p>
        </w:tc>
        <w:tc>
          <w:tcPr>
            <w:tcW w:w="4506"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Sub Total</w:t>
            </w:r>
          </w:p>
        </w:tc>
        <w:tc>
          <w:tcPr>
            <w:tcW w:w="266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$15,583.10</w:t>
            </w:r>
          </w:p>
        </w:tc>
        <w:tc>
          <w:tcPr>
            <w:tcW w:w="450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346"/>
        <w:gridCol w:w="3869"/>
        <w:gridCol w:w="261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w:t>
            </w:r>
          </w:p>
        </w:tc>
        <w:tc>
          <w:tcPr>
            <w:tcW w:w="378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$25,583.10</w:t>
            </w:r>
          </w:p>
        </w:tc>
        <w:tc>
          <w:tcPr>
            <w:tcW w:w="256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Both parties have sought solicitor/clients costs against the other. I award costs on Scale B to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P.D. LEASK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83" style="position:absolute;z-index:25182208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41"/>
          <w:headerReference w:type="default" r:id="rId242"/>
          <w:footerReference w:type="even" r:id="rId243"/>
          <w:footerReference w:type="default" r:id="rId244"/>
          <w:headerReference w:type="first" r:id="rId245"/>
          <w:footerReference w:type="first" r:id="rId24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47" w:history="1">
        <w:r>
          <w:rPr>
            <w:rFonts w:ascii="arial" w:eastAsia="arial" w:hAnsi="arial" w:cs="arial"/>
            <w:b/>
            <w:bCs/>
            <w:i/>
            <w:color w:val="0077CC"/>
            <w:kern w:val="32"/>
            <w:sz w:val="28"/>
            <w:szCs w:val="32"/>
            <w:u w:val="single"/>
            <w:shd w:val="clear" w:color="auto" w:fill="FFFFFF"/>
            <w:lang w:val="en-US" w:eastAsia="en-US" w:bidi="ar-SA"/>
          </w:rPr>
          <w:t>Clifford v. Slater, [2007] B.C.J. No. 249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Vickers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23 - 25,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7,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M033858</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[2007] B.C.J. No. 249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248" w:history="1">
        <w:r>
          <w:rPr>
            <w:rFonts w:ascii="arial" w:eastAsia="arial" w:hAnsi="arial" w:cs="arial"/>
            <w:i/>
            <w:color w:val="0077CC"/>
            <w:sz w:val="20"/>
            <w:u w:val="single"/>
            <w:shd w:val="clear" w:color="auto" w:fill="FFFFFF"/>
            <w:lang w:val="en-US" w:eastAsia="en-US" w:bidi="ar-SA"/>
          </w:rPr>
          <w:t>2007 BCSC 177</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248" w:history="1">
        <w:r>
          <w:rPr>
            <w:rFonts w:ascii="arial" w:eastAsia="arial" w:hAnsi="arial" w:cs="arial"/>
            <w:i/>
            <w:color w:val="0077CC"/>
            <w:sz w:val="20"/>
            <w:u w:val="single"/>
            <w:shd w:val="clear" w:color="auto" w:fill="FFFFFF"/>
            <w:lang w:val="en-US" w:eastAsia="en-US" w:bidi="ar-SA"/>
          </w:rPr>
          <w:t>43 M.V.R. (5th) 252</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248" w:history="1">
        <w:r>
          <w:rPr>
            <w:rFonts w:ascii="arial" w:eastAsia="arial" w:hAnsi="arial" w:cs="arial"/>
            <w:i/>
            <w:color w:val="0077CC"/>
            <w:sz w:val="20"/>
            <w:u w:val="single"/>
            <w:shd w:val="clear" w:color="auto" w:fill="FFFFFF"/>
            <w:lang w:val="en-US" w:eastAsia="en-US" w:bidi="ar-SA"/>
          </w:rPr>
          <w:t>155 A.C.W.S. (3d) 991</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248" w:history="1">
        <w:r>
          <w:rPr>
            <w:rFonts w:ascii="arial" w:eastAsia="arial" w:hAnsi="arial" w:cs="arial"/>
            <w:i/>
            <w:color w:val="0077CC"/>
            <w:sz w:val="20"/>
            <w:u w:val="single"/>
            <w:shd w:val="clear" w:color="auto" w:fill="FFFFFF"/>
            <w:lang w:val="en-US" w:eastAsia="en-US" w:bidi="ar-SA"/>
          </w:rPr>
          <w:t>2007 CarswellBC 287</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Audrey Clifford, Plaintiff, and Andrew Charles Slater and Alan Frank Slater,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84" style="position:absolute;z-index:2516705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85" w:name="Keywords_10"/>
      <w:bookmarkEnd w:id="85"/>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Causation — Motor vehicles — Pedestrians — Action by pedestrian struck while attempting to cross street against driver dismissed — Pedestrian entirely at fault for failing to use crosswalk, failing to yield to oncoming vehicle and stepping into traffic from behind telephone pole — Statement by driver to police that he was at fault for hurrying not determinative, as statement taken shortly after accident when driver was upset.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Transportation law — Motor vehicles — Definitions — Crosswalk — Action by pedestrian struck while attempting to cross street against driver dismissed — Pedestrian entirely at fault for failing to use crosswalk, failing to yield to oncoming vehicle and stepping into traffic from behind telephone pole — Statement by driver to police that he was at fault for hurrying not determinative, as statement taken shortly after accident when driver was upset — Motor Vehicle Act, s. 119.</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86" w:name="Case Summary_10"/>
            <w:bookmarkEnd w:id="8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Clifford against Slater for damages arising out of motor vehicle accident -- Clifford was pedestrian, attempting to cross street when struck by car operated by Slater -- Clifford was not aware of crosswalk, did not cross there -- Clifford was standing behind large telephone pole before commencing her crossing -- Witness to accident said Clifford appeared confused prior to commencing her crossing -- Witness testified Clifford told her she stepped on to street without looking and was at fault -- Slater testified he was not speeding -- Made statement to police following accident in which he admitted he was not watching road as well as he should have been because he was hurrying to work -- HELD: Action dismissed -- Clifford entirely at fault for accident -- Clifford obliged to yield right of way to Slater's vehicle as she was not crossing at crosswalk -- If Clifford was paying proper attention, she would have been aware of crosswalk -- Slater not driving at unsafe speed -- Clifford was hidden from Slater's view by telephone pole -- Slater's statement to police that he was at fault was not determinative, as statement made shortly after accident when he would have been upset.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87" w:name="Legislation Cited_9"/>
      <w:bookmarkEnd w:id="8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85" style="position:absolute;z-index:2517217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Motor Vehicle Act, </w:t>
      </w:r>
      <w:hyperlink r:id="rId249" w:history="1">
        <w:r>
          <w:rPr>
            <w:rFonts w:ascii="arial" w:eastAsia="arial" w:hAnsi="arial" w:cs="arial"/>
            <w:i/>
            <w:color w:val="0077CC"/>
            <w:sz w:val="20"/>
            <w:u w:val="single"/>
            <w:shd w:val="clear" w:color="auto" w:fill="FFFFFF"/>
            <w:lang w:val="en-US" w:eastAsia="en-US" w:bidi="ar-SA"/>
          </w:rPr>
          <w:t>R.S.B.C. 1996, c. 318, s. 119</w:t>
        </w:r>
      </w:hyperlink>
      <w:r>
        <w:rPr>
          <w:rFonts w:ascii="arial" w:eastAsia="arial" w:hAnsi="arial" w:cs="arial"/>
          <w:color w:val="000000"/>
          <w:sz w:val="20"/>
          <w:lang w:val="en-US" w:eastAsia="en-US" w:bidi="ar-SA"/>
        </w:rPr>
        <w:t>, s. 119, s. 180</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88" w:name="Counsel_11"/>
      <w:bookmarkEnd w:id="88"/>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86" style="position:absolute;z-index:2517729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J. Buckley, L. Bussoli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M. Wilhelmson, T. Jones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89" w:name="Judgment_11"/>
      <w:bookmarkEnd w:id="89"/>
      <w:r>
        <w:pict>
          <v:line id="_x0000_s1087" style="position:absolute;z-index:251823104"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90" w:name="VICKERS J."/>
            <w:bookmarkEnd w:id="90"/>
            <w:r>
              <w:rPr>
                <w:rFonts w:ascii="arial" w:eastAsia="arial" w:hAnsi="arial" w:cs="arial"/>
                <w:b/>
                <w:color w:val="000000"/>
                <w:sz w:val="30"/>
                <w:lang w:val="en-US" w:eastAsia="en-US" w:bidi="ar-SA"/>
              </w:rPr>
              <w:t>VICKERS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action for damages arising out of an accident between a vehicle and a pedestrian. The trial was confined to the issue of liability only.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is a resident of Regina, Saskatchewan, where she has resided her entire life. She makes frequent trips to the west coast to visit with her daughter and grandchildren who are residents of Maple Ridge. On May 15, 2002, the plaintiff accompanied her granddaughter to a chiropractor's office on the north side of Dewdney Trunk Road ("Dewdney"), just east of 222nd Street, in Maple Ridge. She left the office on her own with the intention of going to a 7-Eleven Convenience Store which is to the east, on the south side of Dewdney just before 223rd Street. It was approximately 3:35 PM, the weather was clear and sunny, and the roads were dry.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accident occurred at the intersection of Plaza Street ("Plaza") and Dewdney. Plaza runs north-south and joins Dewdney on the north side at a location between 222nd and 223rd Streets. Plaza does not continue south of Dewdney which creates a T- intersection. About 81 feet from the north-east corner of Plaza and Dewdney, well before 223rd Street, there is a marked crosswalk to allow pedestrians to walk across Dewdney. There are signs on both sides of Dewdney marking the presence of the crosswalk.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said that she proceeded in an easterly direction on the north side of Dewdney, crossed over Plaza, and up the ramped sidewalk to the north east corner of Plaza and Dewdney. She did not see signs indicating that there was a crosswalk further eastward and she was unaware of the crosswalk. She testified that she walked up the ramped portion of the north east corner of Plaza and Dewdney and noted, what she described as, a tunnel or gap created by vehicles, travelling east and west on Dewdney, that had come to a stop. She thought Dewdney was a two lane road, one east bound, the other west bound. In fact, there is a parking lane against the curb on both sides which, from time to time, allows for two lanes of traffic going in each direction.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Just to the east of where the plaintiff was standing on the north east corner, is a large telephone pole. It has a diameter of one foot, six inches and is set one foot, three inches back from the curb. The plaintiff testified that she put her right foot into the intersection and proceeded to move her left foot forward when she was stuck by the motor vehicle driven by the defendant, Andrew Slater, and owned by the defendant, Alan Slater. She sustained injuries to the left side of her body, including bone fractures to her left foot and ankle. She does not recall any conversations with persons at the scene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Just before the accident, an incident occurred on the opposite side of Dewdney. There, a child had fallen and lost consciousness. Her parent and friends were awaiting an ambulance when the accident, which gives rise to these proceedings, took place. The plaintiff said that she was not aware of this incident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Ms. Willoughby was one of the people waiting with the child for the ambulance to arrive. She testified that she saw the car driven by Slater in the centre lane of Dewdney moving in a westerly direction. Just before 223rd Street, the car moved into the curb lane and proceeded at a normal speed. She also observed the plaintiff on the other side of the street. She testified that the plaintiff seemed confused, first walking westward to 222nd Street, then returning eastward to just before the crosswalk, then turning back to Plaza, and then moving out across Dewdney. She said that the plaintiff, on her walk westward towards Plaza, passed the telephone pole, then stepped out across Dewdney to the west of the pole. Ms. Willoughby ran to the plaintiff's assistance. The plaintiff told Ms. Willoughby that she, not the driver, was at fault because she had stepped out without looking. The witness testified that the plaintiff told her that she wanted to cross the street to see if she could assist the child that was injured.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Ms. Laplante was another person attending at the incident across the street. She also described the plaintiff as confused. She said that she saw the plaintiff walking in a westerly direction on the north side of Dewdney. When she first saw the plaintiff, she was on the eastern side of the crosswalk. The plaintiff walked west and partially crossed Plaza, then turned around and moved back to the north east corner of the intersection. The plaintiff was on the west side of the pole and put her foot out to cross the street. At this point, the witness testified that her eyes were diverted momentarily, and then she heard the sound of the collision. She did not see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mother of the child that had fallen, Ms. Nelson, also saw the plaintiff walking back and forth. She saw her put one foot out to cross the street when the car was about a foot away from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Ms. Popatia was in a vehicle that was stopped on Dewdney in the centre lane just before Plaza. She did see the plaintiff on the sidewalk but her eyes were turned away at the moment of impact. She saw the defendant's vehicle move past her and then heard a scream and the sound of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defendant testified that he was travelling west in the centre lane of Dewdney. The light was red at 222nd Street and he slowed up as cars ahead of him had stopped for that light. He had just passed the marked crosswalk and the light turned green. He moved into the curb lane and accelerated. He did not see any person at the corner of Plaza Street but as he arrived at the corner, the plaintiff stepped out and into the side of his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On the day of the accident, the defendant driver reported his speed to the police as being between 30 to 40 km/h. On discovery, he repeated the same speed. At trial, he said he was travelling no more that 20 to 30 km/h. He says that he has had time to reflect on the event and he is certain that he was not doing more than 20 to 30 km/h. He says that he was in second gear and acknowledges that he was accelerating at the time of the collision. His vehicle stopped before it crossed Plaza Street and did not leave any skid marks.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part of a statement to the police that he made within about an hour of the accident, the police asked the defendant driver what he thought caused the accident. He replied, "I guess not watching the road as well as I should have been." He also said, "I guess I was in too big of a hurry to get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At the time of the accident, the defendant driver was going to work. While he was about 20 minutes behind his normal schedule, he would still have arrived at work about 10 minutes before starting time. There is no evidence of excessive speed, driver fatigue, or the presence of drugs or alcohol.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As so often happens in this kind of a situation, the evidence is conflicting. Each witness has their own "truth" of what took place, all clouded to some extent by the passage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Section 119 of the </w:t>
      </w:r>
      <w:r>
        <w:rPr>
          <w:rFonts w:ascii="arial" w:eastAsia="arial" w:hAnsi="arial" w:cs="arial"/>
          <w:b/>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xml:space="preserve"> contains the following definitions: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"crosswalk"</w:t>
      </w:r>
      <w:r>
        <w:rPr>
          <w:rFonts w:ascii="arial" w:eastAsia="arial" w:hAnsi="arial" w:cs="arial"/>
          <w:color w:val="000000"/>
          <w:sz w:val="20"/>
          <w:lang w:val="en-US" w:eastAsia="en-US" w:bidi="ar-SA"/>
        </w:rPr>
        <w:t xml:space="preserve"> means</w:t>
      </w:r>
    </w:p>
    <w:p>
      <w:pPr>
        <w:numPr>
          <w:numId w:val="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portion of a highway at an intersection that is included within the connection of the lateral lines of the sidewalks on the opposite sides of the highway, or within the extension of the lateral lines of the sidewalk on one side of the highway, measured from the curbs, or in the absence of curb, from the edges of the roadway;</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"sidewalk"</w:t>
      </w:r>
      <w:r>
        <w:rPr>
          <w:rFonts w:ascii="arial" w:eastAsia="arial" w:hAnsi="arial" w:cs="arial"/>
          <w:color w:val="000000"/>
          <w:sz w:val="20"/>
          <w:lang w:val="en-US" w:eastAsia="en-US" w:bidi="ar-SA"/>
        </w:rPr>
        <w:t xml:space="preserve"> means the area between the curb lines or lateral lines of a roadway and the adjacent property lines improved for the use of pedestrians;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 find that Plaza, at the intersection of Dewdney, does not have a sidewalk. The north east side of Plaza, where one might expect to find a sidewalk, is simply a parking area at the rear of a shopping centre. Part of this area contained a large garbage dumpster at the time of the accident. The area where the plaintiff was attempting to cross Dewdney was, by definition, not a crosswalk.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Section 180 of the </w:t>
      </w:r>
      <w:r>
        <w:rPr>
          <w:rFonts w:ascii="arial" w:eastAsia="arial" w:hAnsi="arial" w:cs="arial"/>
          <w:b/>
          <w:i/>
          <w:color w:val="000000"/>
          <w:sz w:val="20"/>
          <w:lang w:val="en-US" w:eastAsia="en-US" w:bidi="ar-SA"/>
        </w:rPr>
        <w:t>Motor Vehicle Act</w:t>
      </w:r>
      <w:r>
        <w:rPr>
          <w:rFonts w:ascii="arial" w:eastAsia="arial" w:hAnsi="arial" w:cs="arial"/>
          <w:color w:val="000000"/>
          <w:sz w:val="20"/>
          <w:lang w:val="en-US" w:eastAsia="en-US" w:bidi="ar-SA"/>
        </w:rPr>
        <w:t>, supra, reads:</w:t>
      </w:r>
      <w:r>
        <w:rPr>
          <w:rFonts w:ascii="arial" w:eastAsia="arial" w:hAnsi="arial" w:cs="arial"/>
          <w:sz w:val="20"/>
          <w:lang w:val="en-US" w:eastAsia="en-US" w:bidi="ar-SA"/>
        </w:rPr>
        <w:cr/>
      </w:r>
    </w:p>
    <w:p>
      <w:pPr>
        <w:numPr>
          <w:numId w:val="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a pedestrian is crossing a highway at a point not in a crosswalk, the pedestrian must yield the right of way to a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Accordingly, there was a burden on the plaintiff to yield the right of way to any vehicle when crossing Dewdney at this location. If I am wrong in that conclusion and if there is a crosswalk at this north east corner then, on the evidence of the plaintiff, I find that she was not in the crosswalk when she collided with the defendant's vehicle. She stepped out onto Dewdney at a location just east of where one might expect to find a crosswalk.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 find that the plaintiff, who was not entirely familiar with this neighbourhood, crossed the road in a place that was unsafe. She ought to have crossed at the crosswalk provided approximately 80 feet to the east. She walked out behind a large telephone pole into the path of an oncoming vehicle which she did not see. She did not see the vehicle because she did not look to her left before stepping out into the lane of traffic. The defendant did not make an unsafe move into the curb lane. He was entitled to make that move and he was entitled to drive west in the curb lane. The plaintiff was obliged to yield the right of way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While the defendant's vehicle was accelerating, he was not driving at an unsafe speed. He was in second gear travelling at a speed of between 20 to 40 km/h. The defendant did not see the plaintiff because when he looked forward she was hidden by the telephone pole. He first saw her as she stepped from behind the pole off the curb as he approached the T-intersection. The plaintiff walked into his vehicle striking the right front tire with her left limb and violently rolling down the side of the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w:t>
      </w:r>
      <w:r>
        <w:rPr>
          <w:rFonts w:ascii="arial" w:eastAsia="arial" w:hAnsi="arial" w:cs="arial"/>
          <w:b/>
          <w:i/>
          <w:color w:val="000000"/>
          <w:sz w:val="20"/>
          <w:lang w:val="en-US" w:eastAsia="en-US" w:bidi="ar-SA"/>
        </w:rPr>
        <w:t>Enright v. Marwick</w:t>
      </w:r>
      <w:r>
        <w:rPr>
          <w:rFonts w:ascii="arial" w:eastAsia="arial" w:hAnsi="arial" w:cs="arial"/>
          <w:color w:val="000000"/>
          <w:sz w:val="20"/>
          <w:lang w:val="en-US" w:eastAsia="en-US" w:bidi="ar-SA"/>
        </w:rPr>
        <w:t xml:space="preserve">, </w:t>
      </w:r>
      <w:hyperlink r:id="rId250" w:history="1">
        <w:r>
          <w:rPr>
            <w:rFonts w:ascii="arial" w:eastAsia="arial" w:hAnsi="arial" w:cs="arial"/>
            <w:i/>
            <w:color w:val="0077CC"/>
            <w:sz w:val="20"/>
            <w:u w:val="single"/>
            <w:shd w:val="clear" w:color="auto" w:fill="FFFFFF"/>
            <w:lang w:val="en-US" w:eastAsia="en-US" w:bidi="ar-SA"/>
          </w:rPr>
          <w:t>[2002] B.C.J. No. 875</w:t>
        </w:r>
      </w:hyperlink>
      <w:r>
        <w:rPr>
          <w:rFonts w:ascii="arial" w:eastAsia="arial" w:hAnsi="arial" w:cs="arial"/>
          <w:color w:val="000000"/>
          <w:sz w:val="20"/>
          <w:lang w:val="en-US" w:eastAsia="en-US" w:bidi="ar-SA"/>
        </w:rPr>
        <w:t xml:space="preserve">, </w:t>
      </w:r>
      <w:hyperlink r:id="rId250" w:history="1">
        <w:r>
          <w:rPr>
            <w:rFonts w:ascii="arial" w:eastAsia="arial" w:hAnsi="arial" w:cs="arial"/>
            <w:i/>
            <w:color w:val="0077CC"/>
            <w:sz w:val="20"/>
            <w:u w:val="single"/>
            <w:shd w:val="clear" w:color="auto" w:fill="FFFFFF"/>
            <w:lang w:val="en-US" w:eastAsia="en-US" w:bidi="ar-SA"/>
          </w:rPr>
          <w:t>2002 BCSC 638</w:t>
        </w:r>
      </w:hyperlink>
      <w:r>
        <w:rPr>
          <w:rFonts w:ascii="arial" w:eastAsia="arial" w:hAnsi="arial" w:cs="arial"/>
          <w:color w:val="000000"/>
          <w:sz w:val="20"/>
          <w:lang w:val="en-US" w:eastAsia="en-US" w:bidi="ar-SA"/>
        </w:rPr>
        <w:t xml:space="preserve">, aff'd, </w:t>
      </w:r>
      <w:hyperlink r:id="rId251" w:history="1">
        <w:r>
          <w:rPr>
            <w:rFonts w:ascii="arial" w:eastAsia="arial" w:hAnsi="arial" w:cs="arial"/>
            <w:i/>
            <w:color w:val="0077CC"/>
            <w:sz w:val="20"/>
            <w:u w:val="single"/>
            <w:shd w:val="clear" w:color="auto" w:fill="FFFFFF"/>
            <w:lang w:val="en-US" w:eastAsia="en-US" w:bidi="ar-SA"/>
          </w:rPr>
          <w:t>[2004] B.C.J. No. 921</w:t>
        </w:r>
      </w:hyperlink>
      <w:r>
        <w:rPr>
          <w:rFonts w:ascii="arial" w:eastAsia="arial" w:hAnsi="arial" w:cs="arial"/>
          <w:color w:val="000000"/>
          <w:sz w:val="20"/>
          <w:lang w:val="en-US" w:eastAsia="en-US" w:bidi="ar-SA"/>
        </w:rPr>
        <w:t xml:space="preserve">, </w:t>
      </w:r>
      <w:hyperlink r:id="rId251" w:history="1">
        <w:r>
          <w:rPr>
            <w:rFonts w:ascii="arial" w:eastAsia="arial" w:hAnsi="arial" w:cs="arial"/>
            <w:i/>
            <w:color w:val="0077CC"/>
            <w:sz w:val="20"/>
            <w:u w:val="single"/>
            <w:shd w:val="clear" w:color="auto" w:fill="FFFFFF"/>
            <w:lang w:val="en-US" w:eastAsia="en-US" w:bidi="ar-SA"/>
          </w:rPr>
          <w:t>2004 BCCA 259</w:t>
        </w:r>
      </w:hyperlink>
      <w:r>
        <w:rPr>
          <w:rFonts w:ascii="arial" w:eastAsia="arial" w:hAnsi="arial" w:cs="arial"/>
          <w:color w:val="000000"/>
          <w:sz w:val="20"/>
          <w:lang w:val="en-US" w:eastAsia="en-US" w:bidi="ar-SA"/>
        </w:rPr>
        <w:t>, is a case in which a vehicle struck a pedestrian in a crosswalk. It was a dark wet evening and the pedestrian stepped out into the crosswalk when the defendant's vehicle was too close to stop. The court dismissed the plaintiff's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this case, there is no crosswalk. The defendant driver was aware he had just passed a crosswalk which would have provided a safe crossing for the plaintiff. If the plaintiff was paying proper attention, she would have been aware of that crosswalk. In the circumstances, the plaintiff had the duty to yield the right of way. Rather than do so, she stepped out onto Dewdney at a point in time when the defendant's vehicle was too close to stop.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 acknowledge that the defendant driver was in a hurry to get to work as he was behind on his normal schedule. However, he saw no one on the corner, looked over his shoulder to the right to check for oncoming traffic, and moved into the curb lane. At this point, the plaintiff was hidden from his sight line, and she stepped out just as he arrived at the corner.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police took the defendant's statement shortly after the accident. He was upset and under pressure to find an explanation. Struggling to accept some responsibility as the driver of a vehicle that collided with a pedestrian, he "guess[ed]" that it was because he was in a hurry to get to work. I conclude that his "hurry to get to work" did not cause or contribute to the accident. He was not speeding. He was operating his motor vehicle in a proper manner. The failure of the plaintiff to look before she stepped out and to yield to a vehicle that was so close to her that the driver had no opportunity to stop before the collision caused the accident. I conclude that the plaintiff is entirely at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action is dismissed. The defendants are entitled to recover their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VICKERS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88" style="position:absolute;z-index:25187123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52"/>
          <w:headerReference w:type="default" r:id="rId253"/>
          <w:footerReference w:type="even" r:id="rId254"/>
          <w:footerReference w:type="default" r:id="rId255"/>
          <w:headerReference w:type="first" r:id="rId256"/>
          <w:footerReference w:type="first" r:id="rId25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58" w:history="1">
        <w:r>
          <w:rPr>
            <w:rFonts w:ascii="arial" w:eastAsia="arial" w:hAnsi="arial" w:cs="arial"/>
            <w:b/>
            <w:bCs/>
            <w:i/>
            <w:color w:val="0077CC"/>
            <w:kern w:val="32"/>
            <w:sz w:val="28"/>
            <w:szCs w:val="32"/>
            <w:u w:val="single"/>
            <w:shd w:val="clear" w:color="auto" w:fill="FFFFFF"/>
            <w:lang w:val="en-US" w:eastAsia="en-US" w:bidi="ar-SA"/>
          </w:rPr>
          <w:t>Gulkison v. Vancouver Police Board, [2014] B.C.J. No. 716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G.D. Burnyeat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July 8-9 and August 26-27,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22,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S080878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[2014] B.C.J. No. 716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259" w:history="1">
        <w:r>
          <w:rPr>
            <w:rFonts w:ascii="arial" w:eastAsia="arial" w:hAnsi="arial" w:cs="arial"/>
            <w:i/>
            <w:color w:val="0077CC"/>
            <w:sz w:val="20"/>
            <w:u w:val="single"/>
            <w:shd w:val="clear" w:color="auto" w:fill="FFFFFF"/>
            <w:lang w:val="en-US" w:eastAsia="en-US" w:bidi="ar-SA"/>
          </w:rPr>
          <w:t>2014 BCSC 669</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259" w:history="1">
        <w:r>
          <w:rPr>
            <w:rFonts w:ascii="arial" w:eastAsia="arial" w:hAnsi="arial" w:cs="arial"/>
            <w:i/>
            <w:color w:val="0077CC"/>
            <w:sz w:val="20"/>
            <w:u w:val="single"/>
            <w:shd w:val="clear" w:color="auto" w:fill="FFFFFF"/>
            <w:lang w:val="en-US" w:eastAsia="en-US" w:bidi="ar-SA"/>
          </w:rPr>
          <w:t>23 M.P.L.R. (5th) 138</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259" w:history="1">
        <w:r>
          <w:rPr>
            <w:rFonts w:ascii="arial" w:eastAsia="arial" w:hAnsi="arial" w:cs="arial"/>
            <w:i/>
            <w:color w:val="0077CC"/>
            <w:sz w:val="20"/>
            <w:u w:val="single"/>
            <w:shd w:val="clear" w:color="auto" w:fill="FFFFFF"/>
            <w:lang w:val="en-US" w:eastAsia="en-US" w:bidi="ar-SA"/>
          </w:rPr>
          <w:t>239 A.C.W.S. (3d) 1045</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259" w:history="1">
        <w:r>
          <w:rPr>
            <w:rFonts w:ascii="arial" w:eastAsia="arial" w:hAnsi="arial" w:cs="arial"/>
            <w:i/>
            <w:color w:val="0077CC"/>
            <w:sz w:val="20"/>
            <w:u w:val="single"/>
            <w:shd w:val="clear" w:color="auto" w:fill="FFFFFF"/>
            <w:lang w:val="en-US" w:eastAsia="en-US" w:bidi="ar-SA"/>
          </w:rPr>
          <w:t>2014 CarswellBC 1064</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Ross Gulkison, Plaintiff, and Vancouver Police Board, and Lorne Hughes,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89" style="position:absolute;z-index:2516715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91" w:name="Keywords_11"/>
      <w:bookmarkEnd w:id="91"/>
      <w:r>
        <w:rPr>
          <w:rFonts w:ascii="arial" w:eastAsia="arial" w:hAnsi="arial" w:cs="arial"/>
          <w:b/>
          <w:color w:val="000000"/>
          <w:sz w:val="20"/>
          <w:lang w:val="en-US" w:eastAsia="en-US" w:bidi="ar-SA"/>
        </w:rPr>
        <w:t>Statutory interpretation — Statutes — Operation of — Vested rights — Application by the defendant Vancouver Police Board (VPB) for an order dismissing the plaintiff Gulkison's claim dismissed — Gulkison claimed damages for sexual assaults allegedly committed against him between 1957 and 1969 by the defendant Hughes, a Vancouver police constable — The VPB submitted that it would not have inherited liabilities accrued by the Board of Police Commissioners (BPC) prior to 1974 when the VPB was established — The presumption against interference with vested rights applied — The legislation was to be interpreted as permitting actions by Gulkison for torts committed by the BPC to be taken against the VPB.</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Practice and procedure — Application by the defendant Vancouver Police Board (VPB) for an order dismissing the plaintiff Gulkison's claim dismissed — Gulkison claimed damages for sexual assaults allegedly committed against him between 1957 and 1969 by the defendant Hughes, a Vancouver police constable — The VPB submitted that it would not have inherited liabilities accrued by the Board of Police Commissioners (BPC) prior to 1974 when the VPB was established — The presumption against interference with vested rights applied — The legislation was to be interpreted as permitting actions by Gulkison for torts committed by the BPC to be taken against the VPB.</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92" w:name="Case Summary_11"/>
            <w:bookmarkEnd w:id="9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 Vancouver Police Board (VPB) for an order dismissing the plaintiff Gulkison's claim against it. Gulkison claimed damages against the defendants arising out of a series of sexual assaults said to have been committed against him between 1957 and 1969 by the defendant Hughes. During that time period, Hughes was a Vancouver police constable. The VPB took the position that any liability which might have accrued to the Board of Police Commissioners (BPC) came to an end in June 1974. The VPB submitted that since the BPC was abolished, the VPB would not have inherited any liabilities that might have accrued by the BPC prior to 1974 when the VPB was established under the Police Act 1974.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93" w:name="Holdings of Court_9"/>
            <w:bookmarkEnd w:id="93"/>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BPC created by the Vancouver Charter and the VPB established under the Police Act 1974 were separate statutory entities. However, there was nothing in the legislation creating the VPB to suggest that any liabilities which had accrued to the BPC would be eliminated as a result of the creation of the VPB. The presumption against interference with vested rights applied and the legislation was to be interpreted as permitting actions by Gulkison for torts committed by the BPC to be taken against the VPB. Accordingly, Gulkison's action against the VPB was not dismissed.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94" w:name="Legislation Cited_10"/>
      <w:bookmarkEnd w:id="9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90" style="position:absolute;z-index:2517227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Municipal Act 1960, s. 665(6)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Police Act 1974, s. 19, s. 22(3)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Rules of Court, Rule 9-3(5), Rule 9-7(2), Rule 14-1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Statute Law Amendment Act 1974, s. 38(c), s. 42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Vancouver Charter, </w:t>
      </w:r>
      <w:hyperlink r:id="rId260" w:history="1">
        <w:r>
          <w:rPr>
            <w:rFonts w:ascii="arial" w:eastAsia="arial" w:hAnsi="arial" w:cs="arial"/>
            <w:i/>
            <w:color w:val="0077CC"/>
            <w:sz w:val="20"/>
            <w:u w:val="single"/>
            <w:shd w:val="clear" w:color="auto" w:fill="FFFFFF"/>
            <w:lang w:val="en-US" w:eastAsia="en-US" w:bidi="ar-SA"/>
          </w:rPr>
          <w:t>S.B.C. 1953, c. 55, s. 147</w:t>
        </w:r>
      </w:hyperlink>
      <w:r>
        <w:rPr>
          <w:rFonts w:ascii="arial" w:eastAsia="arial" w:hAnsi="arial" w:cs="arial"/>
          <w:color w:val="000000"/>
          <w:sz w:val="20"/>
          <w:lang w:val="en-US" w:eastAsia="en-US" w:bidi="ar-SA"/>
        </w:rPr>
        <w:t>, s. 455, s. 458, s. 459, s. 460, s. 462, s. 463, s. 472, s. 473A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Vancouver Charter, </w:t>
      </w:r>
      <w:r>
        <w:rPr>
          <w:rFonts w:ascii="arial" w:eastAsia="arial" w:hAnsi="arial" w:cs="arial"/>
          <w:i/>
          <w:color w:val="000000"/>
          <w:sz w:val="20"/>
          <w:lang w:val="en-US" w:eastAsia="en-US" w:bidi="ar-SA"/>
        </w:rPr>
        <w:t>S.B.C. 1953, c. 55</w:t>
      </w:r>
      <w:r>
        <w:rPr>
          <w:rFonts w:ascii="arial" w:eastAsia="arial" w:hAnsi="arial" w:cs="arial"/>
          <w:color w:val="000000"/>
          <w:sz w:val="20"/>
          <w:lang w:val="en-US" w:eastAsia="en-US" w:bidi="ar-SA"/>
        </w:rPr>
        <w:t>, Part XXI,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Vancouver Incorporation Act 1921,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95" w:name="Counsel_12"/>
      <w:bookmarkEnd w:id="95"/>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91" style="position:absolute;z-index:2517739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C.D. Veinotte and L. McLeod.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Vancouver Police Board: K.F.W. Liang.</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96" w:name="Judgment_12"/>
      <w:bookmarkEnd w:id="96"/>
      <w:r>
        <w:pict>
          <v:line id="_x0000_s1092" style="position:absolute;z-index:25182412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97" w:name="G.D. BURNYEAT J."/>
            <w:bookmarkEnd w:id="97"/>
            <w:r>
              <w:rPr>
                <w:rFonts w:ascii="arial" w:eastAsia="arial" w:hAnsi="arial" w:cs="arial"/>
                <w:b/>
                <w:color w:val="000000"/>
                <w:sz w:val="30"/>
                <w:lang w:val="en-US" w:eastAsia="en-US" w:bidi="ar-SA"/>
              </w:rPr>
              <w:t>G.D. BURNYEAT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Applying pursuant to Rules 9-3(5), 9-7(2) and 14-1, the order sought by the Vancouver Police Board is that the claim of the Plaintiff against it be dismissed with costs. Pursuant to Rule 9-3(5), the Court may grant specific relief or judgment on any question set out in a special case and, pursuant to Rule 9-7(2), a party may apply to the Court for judgment on a particular issue or generally.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Vancouver Police Board applies to the Court for a determination of the following issues: (a) are the Board of Police Commissioners and the Vancouver Police Board separate entities?; and (b) if the answer to the foregoing is "yes", can the Vancouver Police Board be liable for any liabilities attributed to the Board of Police Commissioners? The Parties agree that, if the answer to the first question is "yes" and the answer to the second question is "no"; then the Court should dismiss the action of the Plaintiff against the Vancouver Police Board.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this action, the Plaintiff claims damages against the Defendants arising out of a series of sexual assaults said to have been committed against the Plaintiff between 1957 and 1969 by Lorne Hughes ("Hughes"). At the time the sexual assaults were said to have been committed, Hughes was a Vancouver Police Constable.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 LEGISLATIVE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On July 2, 1953, the </w:t>
      </w:r>
      <w:r>
        <w:rPr>
          <w:rFonts w:ascii="arial" w:eastAsia="arial" w:hAnsi="arial" w:cs="arial"/>
          <w:i/>
          <w:color w:val="000000"/>
          <w:sz w:val="20"/>
          <w:lang w:val="en-US" w:eastAsia="en-US" w:bidi="ar-SA"/>
        </w:rPr>
        <w:t>Vancouver Incorporation Act 1921</w:t>
      </w:r>
      <w:r>
        <w:rPr>
          <w:rFonts w:ascii="arial" w:eastAsia="arial" w:hAnsi="arial" w:cs="arial"/>
          <w:color w:val="000000"/>
          <w:sz w:val="20"/>
          <w:lang w:val="en-US" w:eastAsia="en-US" w:bidi="ar-SA"/>
        </w:rPr>
        <w:t xml:space="preserve"> was superseded by the </w:t>
      </w:r>
      <w:r>
        <w:rPr>
          <w:rFonts w:ascii="arial" w:eastAsia="arial" w:hAnsi="arial" w:cs="arial"/>
          <w:i/>
          <w:color w:val="000000"/>
          <w:sz w:val="20"/>
          <w:lang w:val="en-US" w:eastAsia="en-US" w:bidi="ar-SA"/>
        </w:rPr>
        <w:t>Vancouver Charter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1953, c. 55</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Pursuant to s. 455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there was to be a ".. Police Department of the city administered by a Board of Police Commissioners". Under s. 458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the members of the police force, including the Chief Constable and other constables were appointed: "... by and hold office during the pleasure of the Board, and the remuneration shall be fixed by the Board". Under s. 459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the Board: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shall have jurisdiction over the police force and its members, over special constables, and over police stations and gaols, lockups, and other places of detention provided by the city ... and shall appoint and assign duties to such Police Court Prosecutors, gaol surgeons, and Police Court Clerks, and other clerks, stenographers and assistants, as the Board deems necessary, and their remuneration shall be fixed by the Board.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Under s. 460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the Board could delegate to the Chief Constable: "... authority to suspend any member of the police force, or any special constable who, in the opinion of the Chief Constable, is guilty of any misconduct". Under s. 462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a member of the police force who is dismissed or demoted may appeal to a judge if they: "... cause to be served upon a member of the Board a written notice of his intention to appeal containing a statement of the grounds of his appeal." "The Judge may confirm or reverse the action of the Board or make such other order with respect thereto as shall be just."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Under s. 463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the Board could: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make regulations for the discipline, control, efficiency, and government of the members of the police force and other persons under their jurisdiction, and the Chief Constable, each member of the police force, and all such other persons shall obey the lawful directions and be subject to the control, discipline, and government of the Board.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Under s. 472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the Council of the City could: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direct the payment of any sum required for the protection, defence or indemnification of any member of the police force or other person under the jurisdiction of the Board when an action or prosecution is brought against him and costs or other expenses are necessarily incurred, or where damages are claimed or recovered, if the Board recommends that the case is a proper one for payment.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Under s. 473A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it was the duty of the Board to provide: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...for the policing of the city and the enforcement not only of the city by-laws, but also the criminal law and the general laws of the Province and of generally maintaining within the limits of the city law and order; and of administering justice therein, including the prosecution of offenders triable summarily, and also of offenders triable upon indictment up to committal for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In April 1969, the previous s. 459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was repealed and the following substituted as s. 459(1):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Board shall have jurisdiction over the police force and its members, over special constables, and over police stations and gaols, lockups, and other places of detention provided by the city ... and shall appoint, fix the remuneration of, and, subject to the </w:t>
      </w:r>
      <w:r>
        <w:rPr>
          <w:rFonts w:ascii="arial" w:eastAsia="arial" w:hAnsi="arial" w:cs="arial"/>
          <w:i/>
          <w:color w:val="000000"/>
          <w:sz w:val="20"/>
          <w:lang w:val="en-US" w:eastAsia="en-US" w:bidi="ar-SA"/>
        </w:rPr>
        <w:t>Provincial Court Act</w:t>
      </w:r>
      <w:r>
        <w:rPr>
          <w:rFonts w:ascii="arial" w:eastAsia="arial" w:hAnsi="arial" w:cs="arial"/>
          <w:color w:val="000000"/>
          <w:sz w:val="20"/>
          <w:lang w:val="en-US" w:eastAsia="en-US" w:bidi="ar-SA"/>
        </w:rPr>
        <w:t>, assign duties to such gaol surgeons, court clerks, court stenographers or recorders, and other clerks, stenographers, and assistants as are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 statutorily imposed functions of the Board of Police Commissioners during the time frame in question (1957 to 1969) were set out in Part XXI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Under Part XXI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the Board of Police Commissioners was charged with the following functions: (a) providing for the policing of the City; (b) enforcing by-laws of the City; (c) enforcing the criminal law; (d) enforcing the general laws of British Columbia; (e) maintaining law and order within the limits of the City; and (f) administering justice including the prosecution of offenders triable summarily and by indictment.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order to carry out these functions, the Board of Police Commissioners was authorized by the Charter to perform the following: (a) appoint all members of the Vancouver police including the Chief Constable; (b) appoint special constables to assist the Vancouver police; (c) appoint and assign duties to Police Court prosecutors, jail surgeons, Police Court clerks, and other clerks, stenographers, and assistants; (d) create regulations for the discipline, control, efficiency, and governance of the Vancouver police; (e) delegate to the Chief Constable, the disciplinary powers of the Board including the right to suspend any member of the Vancouver police as in the discretion of the Board seem reasonable and the Chief Constable may in turn delegate any of such disciplinary powers as he thinks fit; (f) have jurisdiction over the Vancouver police, special constables, police stations, jails, lockups and other places of detention provided by the City, except as established under the Juvenile Courts Act; and (g) fix the remuneration for the Vancouver police and all other persons under its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turn, the City was required to provide funding to the Board of Police Commissioners for its operations by: (a) adopting, in whole or in part, the Board's proposed yearly expenditure estimates in connection with the maintenance of the Vancouver police and other operations under the Board's jurisdiction; (b) establishing and maintaining police offices (stations), Police Courts and places of detentions; (c) acquiring any real property and equipment required for police stations, Police Courts and places of detention; and (d) constructing any buildings required for police stations, Police Courts and places of detention.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alleged sexual assaults stopped after 1969. Accordingly, the question of the potential liability of the Board of Police Commissioners for what occurred by the end of 1969 governs the question of any liability of the Board of Police Commissioners.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POST 1969 STATUTORY AMENDMENTS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 xml:space="preserve">AND THE </w:t>
      </w:r>
      <w:r>
        <w:rPr>
          <w:rFonts w:ascii="arial" w:eastAsia="arial" w:hAnsi="arial" w:cs="arial"/>
          <w:b/>
          <w:i/>
          <w:color w:val="000000"/>
          <w:sz w:val="20"/>
          <w:u w:val="single"/>
          <w:lang w:val="en-US" w:eastAsia="en-US" w:bidi="ar-SA"/>
        </w:rPr>
        <w:t>STATUTE LAW AMENDMENT ACT 1974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There were a number of amendments after 1969 which may affect the interpretation of the position of the Board of Police Commissioners prior to January 1, 1970. In 1973, s. 455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was repealed and the following substituted: "(1) there shall be a Police Department of the City, administered by the Board of Police Commissioners; (2) the Board shall consist of the Mayor as Chairman, and six others to be appointed by the Lieutenant-Governor and Council after consultation with the Council."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In the January 31, 1974 Speech from the Throne, the Lieutenant-General stated that a British Columbia Police Commissioner would be formed ".. with the power to set standards for police performance, recruitment policies, training programs, ongoing research and discipline procedures". On June 6, 1974, Bill 91 was debated and, on June 12, 1974, Bill 91 received third reading. On June 20, 1974, the new </w:t>
      </w:r>
      <w:r>
        <w:rPr>
          <w:rFonts w:ascii="arial" w:eastAsia="arial" w:hAnsi="arial" w:cs="arial"/>
          <w:i/>
          <w:color w:val="000000"/>
          <w:sz w:val="20"/>
          <w:lang w:val="en-US" w:eastAsia="en-US" w:bidi="ar-SA"/>
        </w:rPr>
        <w:t>Police Act</w:t>
      </w:r>
      <w:r>
        <w:rPr>
          <w:rFonts w:ascii="arial" w:eastAsia="arial" w:hAnsi="arial" w:cs="arial"/>
          <w:color w:val="000000"/>
          <w:sz w:val="20"/>
          <w:lang w:val="en-US" w:eastAsia="en-US" w:bidi="ar-SA"/>
        </w:rPr>
        <w:t xml:space="preserve"> received Royal Assent.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Under the </w:t>
      </w:r>
      <w:r>
        <w:rPr>
          <w:rFonts w:ascii="arial" w:eastAsia="arial" w:hAnsi="arial" w:cs="arial"/>
          <w:i/>
          <w:color w:val="000000"/>
          <w:sz w:val="20"/>
          <w:lang w:val="en-US" w:eastAsia="en-US" w:bidi="ar-SA"/>
        </w:rPr>
        <w:t>Police Act 1974</w:t>
      </w:r>
      <w:r>
        <w:rPr>
          <w:rFonts w:ascii="arial" w:eastAsia="arial" w:hAnsi="arial" w:cs="arial"/>
          <w:color w:val="000000"/>
          <w:sz w:val="20"/>
          <w:lang w:val="en-US" w:eastAsia="en-US" w:bidi="ar-SA"/>
        </w:rPr>
        <w:t xml:space="preserve">, a "board" means a municipal police board established under s. 19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Pursuant to the definition of a "municipality", the City was included as a municipality. Pursuant to s. 22(3) of the </w:t>
      </w:r>
      <w:r>
        <w:rPr>
          <w:rFonts w:ascii="arial" w:eastAsia="arial" w:hAnsi="arial" w:cs="arial"/>
          <w:i/>
          <w:color w:val="000000"/>
          <w:sz w:val="20"/>
          <w:lang w:val="en-US" w:eastAsia="en-US" w:bidi="ar-SA"/>
        </w:rPr>
        <w:t>Police Act 1974</w:t>
      </w:r>
      <w:r>
        <w:rPr>
          <w:rFonts w:ascii="arial" w:eastAsia="arial" w:hAnsi="arial" w:cs="arial"/>
          <w:color w:val="000000"/>
          <w:sz w:val="20"/>
          <w:lang w:val="en-US" w:eastAsia="en-US" w:bidi="ar-SA"/>
        </w:rPr>
        <w:t>, employment was defined as follows:</w:t>
      </w:r>
      <w:r>
        <w:rPr>
          <w:rFonts w:ascii="arial" w:eastAsia="arial" w:hAnsi="arial" w:cs="arial"/>
          <w:sz w:val="20"/>
          <w:lang w:val="en-US" w:eastAsia="en-US" w:bidi="ar-SA"/>
        </w:rPr>
        <w:cr/>
      </w:r>
    </w:p>
    <w:p>
      <w:pPr>
        <w:numPr>
          <w:numId w:val="1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Subject to a collective agreement as defined in the </w:t>
      </w:r>
      <w:r>
        <w:rPr>
          <w:rFonts w:ascii="arial" w:eastAsia="arial" w:hAnsi="arial" w:cs="arial"/>
          <w:i/>
          <w:color w:val="000000"/>
          <w:sz w:val="20"/>
          <w:lang w:val="en-US" w:eastAsia="en-US" w:bidi="ar-SA"/>
        </w:rPr>
        <w:t>Labour Code of British Columbia Act</w:t>
      </w:r>
      <w:r>
        <w:rPr>
          <w:rFonts w:ascii="arial" w:eastAsia="arial" w:hAnsi="arial" w:cs="arial"/>
          <w:color w:val="000000"/>
          <w:sz w:val="20"/>
          <w:lang w:val="en-US" w:eastAsia="en-US" w:bidi="ar-SA"/>
        </w:rPr>
        <w:t>, the chief constable and every constable and employee of a municipal force shall</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be employees of the board;</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be provided with such accommodation, clothing, or other equipment as the board considers necessary for the purposes of his duties and functions; and</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be paid such remuneration as the Board may determine.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Accordingly, it was not until s. 22(3) of the </w:t>
      </w:r>
      <w:r>
        <w:rPr>
          <w:rFonts w:ascii="arial" w:eastAsia="arial" w:hAnsi="arial" w:cs="arial"/>
          <w:i/>
          <w:color w:val="000000"/>
          <w:sz w:val="20"/>
          <w:lang w:val="en-US" w:eastAsia="en-US" w:bidi="ar-SA"/>
        </w:rPr>
        <w:t>Police Act 1974</w:t>
      </w:r>
      <w:r>
        <w:rPr>
          <w:rFonts w:ascii="arial" w:eastAsia="arial" w:hAnsi="arial" w:cs="arial"/>
          <w:color w:val="000000"/>
          <w:sz w:val="20"/>
          <w:lang w:val="en-US" w:eastAsia="en-US" w:bidi="ar-SA"/>
        </w:rPr>
        <w:t xml:space="preserve"> came into effect that a statute made it clear that constables were employees of the Vancouver Police Board.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Section 38(c) of the </w:t>
      </w:r>
      <w:r>
        <w:rPr>
          <w:rFonts w:ascii="arial" w:eastAsia="arial" w:hAnsi="arial" w:cs="arial"/>
          <w:i/>
          <w:color w:val="000000"/>
          <w:sz w:val="20"/>
          <w:lang w:val="en-US" w:eastAsia="en-US" w:bidi="ar-SA"/>
        </w:rPr>
        <w:t>Statute Law Amendment Act 1974</w:t>
      </w:r>
      <w:r>
        <w:rPr>
          <w:rFonts w:ascii="arial" w:eastAsia="arial" w:hAnsi="arial" w:cs="arial"/>
          <w:color w:val="000000"/>
          <w:sz w:val="20"/>
          <w:lang w:val="en-US" w:eastAsia="en-US" w:bidi="ar-SA"/>
        </w:rPr>
        <w:t xml:space="preserve">, repealed Part XXI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and, pursuant to s. 42 of that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the portions repealing Part XXI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were to come into effect on Royal Assent. The Vancouver Police Board takes the position that the repeal of Part XXI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had the effect of abolishing the Board of Police Commissioners when s. 38(c) was given Royal Assent on June 20, 1974. The Vancouver Police Board submits that any liability which might have accrued to the Board of Police Commissioners came to an end on June 20, 1974 and, because the Board of Police Commissioners was abolished, the Vancouver Police Board would not have "inherited" any liabilities that might have accrued by the Board of Police Commissioners prior to either June 20, 1974 or August 3, 1974 when the Vancouver Police Board was established under the </w:t>
      </w:r>
      <w:r>
        <w:rPr>
          <w:rFonts w:ascii="arial" w:eastAsia="arial" w:hAnsi="arial" w:cs="arial"/>
          <w:i/>
          <w:color w:val="000000"/>
          <w:sz w:val="20"/>
          <w:lang w:val="en-US" w:eastAsia="en-US" w:bidi="ar-SA"/>
        </w:rPr>
        <w:t>Police Act 1974</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 BETWEEN JUNE 20 AND AUGUST 3, 1974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June of 1974, the Board of Police Commissioners had as its members Art Phillips as Mayor and the following persons: Marjorie Cantryn (term expiring June 30, 1974); Graham R. Dawson (term expiring June 30, 1974); Fritz K. Bowers (term expiring June 30, 1975); and Arthur Joseph Fynney Johnson, Q.C. (term expiring June 30, 1976). These members of the Board of Police Commissioners had been appointed by Lieutenant-Governor in Council on May 29, 1973.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Those members of the Board of Police Commissioners continued to meet between June 20, 1974 and August 3, 1974 despite what the Vancouver Police Board submits was the "abolishing" of the Board Police Commissioner on June 20, 1974.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 June 27, 1974 Minutes of the "Regular Meeting of the Board of Police Commissioners" reflect that those attending were the Mayor, some of the Commissioners, and various representatives of both the Police Union and the Police Department. The effect of the </w:t>
      </w:r>
      <w:r>
        <w:rPr>
          <w:rFonts w:ascii="arial" w:eastAsia="arial" w:hAnsi="arial" w:cs="arial"/>
          <w:i/>
          <w:color w:val="000000"/>
          <w:sz w:val="20"/>
          <w:lang w:val="en-US" w:eastAsia="en-US" w:bidi="ar-SA"/>
        </w:rPr>
        <w:t>Police Act 1974</w:t>
      </w:r>
      <w:r>
        <w:rPr>
          <w:rFonts w:ascii="arial" w:eastAsia="arial" w:hAnsi="arial" w:cs="arial"/>
          <w:color w:val="000000"/>
          <w:sz w:val="20"/>
          <w:lang w:val="en-US" w:eastAsia="en-US" w:bidi="ar-SA"/>
        </w:rPr>
        <w:t xml:space="preserve"> was not a topic of discussion at that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On August 3, 1974, the following individuals were appointed as members of the Vancouver Police Board: (a) Joseph Harold Cohen; (b) Hugh Lawson Parfitt; (c) Raymond Michel Pierre Paris; and (iv) Velma Theodore Christine Swanson.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According to its Minutes, the "Vancouver Municipal Police Board" held a meeting on August 8, 1974. In addition to the Mayor and various representatives from the Police Department and the two Police Unions, the members that had been appointed on August 3, 1974 attended as members. The Minutes of that meeting state: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Appointment of Vancouver Municipal Police Board: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i/>
          <w:color w:val="000000"/>
          <w:sz w:val="20"/>
          <w:lang w:val="en-US" w:eastAsia="en-US" w:bidi="ar-SA"/>
        </w:rPr>
        <w:t>Police Act</w:t>
      </w:r>
      <w:r>
        <w:rPr>
          <w:rFonts w:ascii="arial" w:eastAsia="arial" w:hAnsi="arial" w:cs="arial"/>
          <w:color w:val="000000"/>
          <w:sz w:val="20"/>
          <w:lang w:val="en-US" w:eastAsia="en-US" w:bidi="ar-SA"/>
        </w:rPr>
        <w:t xml:space="preserve"> enacted on June 12, 1974 repealed certain sections of the </w:t>
      </w:r>
      <w:r>
        <w:rPr>
          <w:rFonts w:ascii="arial" w:eastAsia="arial" w:hAnsi="arial" w:cs="arial"/>
          <w:i/>
          <w:color w:val="000000"/>
          <w:sz w:val="20"/>
          <w:lang w:val="en-US" w:eastAsia="en-US" w:bidi="ar-SA"/>
        </w:rPr>
        <w:t>Vancouver Charter</w:t>
      </w:r>
      <w:r>
        <w:rPr>
          <w:rFonts w:ascii="arial" w:eastAsia="arial" w:hAnsi="arial" w:cs="arial"/>
          <w:color w:val="000000"/>
          <w:sz w:val="20"/>
          <w:lang w:val="en-US" w:eastAsia="en-US" w:bidi="ar-SA"/>
        </w:rPr>
        <w:t>. The Board of Police Commissioners of Vancouver was abolished and the Vancouver Municipal Police Board [sic] was established.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An excerpt under the subheading "(j) </w:t>
      </w:r>
      <w:r>
        <w:rPr>
          <w:rFonts w:ascii="arial" w:eastAsia="arial" w:hAnsi="arial" w:cs="arial"/>
          <w:color w:val="000000"/>
          <w:sz w:val="20"/>
          <w:u w:val="single"/>
          <w:lang w:val="en-US" w:eastAsia="en-US" w:bidi="ar-SA"/>
        </w:rPr>
        <w:t>Name of Board</w:t>
      </w:r>
      <w:r>
        <w:rPr>
          <w:rFonts w:ascii="arial" w:eastAsia="arial" w:hAnsi="arial" w:cs="arial"/>
          <w:color w:val="000000"/>
          <w:sz w:val="20"/>
          <w:lang w:val="en-US" w:eastAsia="en-US" w:bidi="ar-SA"/>
        </w:rPr>
        <w:t>" from the August 22, 1974 Minutes of the Vancouver Police Board stated the following: "It was agreed that the Board would be known in future as 'Vancouver Police Board'."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Despite the creation of the Vancouver Police Board, the letterhead of the "Board of Police Commissioners" continued to be used well into 1975.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LABOUR RELATIONS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On August 6, 1945, the British Columbia Department of Labour issued a "Certification of Bargaining Representatives" to "City Policemen's Federal Labour Union, Local #12" naming "The Board of Police Commissioners of the City of Vancouver, BC" as the "employer" and recognizing those parties as the agents for the purpose of collective bargaining.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certification was varied on January 21, 1958 to change the name of the union to "The Vancouver Policemen's Union". The "Notification of Certification of Bargaining Representatives" stated that "Adam Bell", the Deputy Minister of Labour, had satisfied himself that "the majority of the employees employed in the police department by The Board of Commissioners of Police, Vancouver, B.C. were members of The Vancouver Policemen's Union". Mr. Bell then certified: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To all parties concerned that the above-named bargaining representatives are the properly appointed bargaining representatives for all employees concerned in the crafts, departments or plants of the employer above-mentioned, except inspectors of police and those employed in a confidential capacity or having authority to employ or discharge employees.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certification of the Board of Police Commissioners as the "employer" remained unchanged despite the legislative changes of 1974. It was not until 1982 that the Vancouver Police Board requested the Labour Relations Board to vary their 1945 certificate to change the name of the "employer" from the Board of Police Commissioners to the Vancouver Police Board.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April 18, 1974 Minutes of the "Special Meeting of the Board of Police Commissioners" noted that the subject of the meeting was the "1974 Contract Negotiations - Vancouver Policemen's Union". The Minutes of the June 13, 1974 meeting of the Board of Police Commissioners noted that the Board would meet on June 15, 1974 to consider the recommendations of the Industrial Inquiry Commission with regard to the 1974 "Collective Agreement between the Board and the Vancouver Policemen's Union".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various Collective Agreements negotiated in 1974 and 1975 reflect, first, the employer being the Board of Police Commissioners and, second, "The Vancouver Police Board". However, November 4, 1974 and January 15, 1975 letters relating to collective agreements were on the letterhead of the Board of Police Commissioners.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April 18, 1974 Minutes of the Board of Police Commissioners indicated that the Board was advised regarding the 1974 ".. contract negotiations between the Board and the Vancouver Policeman's Union". In an April 18, 1974 letter from the Board of Police Commissioners to the Minister of Labour, the Minister was advised that the Vancouver Policemen's Union had conducted a strike vote and the vote was 78% in favour of strike action. The letter recited a resolution that was passed at an April 18, 1974 Meeting: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THAT the Minister of Labour be requested to institute binding Arbitration to settle the dispute between the Board of Police Commissioners and the Vancouver Policemen's Union with regard to the Collective Agreement for the period commencing January 1, 1974.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agenda for the April 25, 1974 meeting of the Board of Police Commissioners indicated that the Board of Arbitration had made an award relating to the 1972-1973 year. The following was noted: "The final report of the Board of Arbitration concerning the 1972-1973 Agreement between the Board of Police Commissioners and the Vancouver Police Officers' Association was received."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April 25, 1974 Minutes of the Board of Police Commissioners indicated receipt of the final report of the Board of Arbitration concerning the 1972-1973 "Agreement between the Board of Police Commissioners and the Vancouver Police Officers' Association" and provided for the awards made regarding salary adjustments.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a May 8, 1974 letter to the Secretary of the "Board of Police Commissioners", the Vancouver Police Officers' Association set out various proposed changes to the 1974 contract, including clothing allowance, shift differential, overtime, vacation, statutory holidays, sick leave credits, gratuities and salaries.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the August 8, 1974 Minutes of the "Vancouver Municipal Police Board" was a copy of the letter received from the City Clerk dealing with the budget and stating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a result of the proposed settlement between the Police Union and the Police Commission, it was suggested by Alderman Bowers, Chairman of the Finance Committee, that the foregoing resolution be varied to permit the additional amount of $200,000 as a result of the proposed settlement to come from within the revenue excesses and other appropriations within the Police Budget and be added to the present salary appropriation.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Those Minutes also record the receipt of a letter from the Vancouver Police Officers Association regarding the 1974 Collective Agreement and requesting a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the August 22, 1974 Minutes of the Meeting of the Vancouver Police Board, there was a notation of a letter received from the City Clerk advising that the Collective Agreement between the Board of Police Commissioners and the Vancouver Policeman's Union expires on December 31, 1974.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An October 15, 1974 letter to the Director of Personnel Services, City Hall, from the "Board of Police Commissioners", indicated that an agreement had been reached with the Vancouver Police Officers' Association and that the Board of Police Commissioners had requested the City to grant salary increases.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a November 6, 1974 letter to the "Chairman and Members, Vancouver Municipal Police Board", the City Clerk enclosed an October 18, 1974, Memorandum of Agreement relating to there being a single set of joint negotiations with various unions representing various bodies within the City of Vancouver including the "Board of Police Commissioners for the City of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 AND CASE AUTHORITIES: ARE THEY SEPARATE ENTITIES?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The Board of Police Commissioners created by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and the Vancouver Police Board established under the </w:t>
      </w:r>
      <w:r>
        <w:rPr>
          <w:rFonts w:ascii="arial" w:eastAsia="arial" w:hAnsi="arial" w:cs="arial"/>
          <w:i/>
          <w:color w:val="000000"/>
          <w:sz w:val="20"/>
          <w:lang w:val="en-US" w:eastAsia="en-US" w:bidi="ar-SA"/>
        </w:rPr>
        <w:t>Police Act 1974</w:t>
      </w:r>
      <w:r>
        <w:rPr>
          <w:rFonts w:ascii="arial" w:eastAsia="arial" w:hAnsi="arial" w:cs="arial"/>
          <w:color w:val="000000"/>
          <w:sz w:val="20"/>
          <w:lang w:val="en-US" w:eastAsia="en-US" w:bidi="ar-SA"/>
        </w:rPr>
        <w:t xml:space="preserve"> are separate statutory entities. Accordingly, the answer to the first question posed in this special case is "yes". Therefore, the more critical question is whether the Vancouver Police Board can be liable for any liabilities attributed to the Board of Police Commissioners. Despite the finding that the Board of Police Commissioners and the Vancouver Police Board are separate entities, the question is whether any liability which might accrue to the Board of Police Commissioners can be "inherited" by the Vancouver Police Board when it was formed in 1974. I have concluded that it can 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There is nothing in the legislation creating the Vancouver Police Board to suggest that any liabilities which may have accrued to the Board of Police Commissioners would be eliminated as a result of the creation of the Vancouver Police Board under the </w:t>
      </w:r>
      <w:r>
        <w:rPr>
          <w:rFonts w:ascii="arial" w:eastAsia="arial" w:hAnsi="arial" w:cs="arial"/>
          <w:i/>
          <w:color w:val="000000"/>
          <w:sz w:val="20"/>
          <w:lang w:val="en-US" w:eastAsia="en-US" w:bidi="ar-SA"/>
        </w:rPr>
        <w:t>Police Act 1974</w:t>
      </w:r>
      <w:r>
        <w:rPr>
          <w:rFonts w:ascii="arial" w:eastAsia="arial" w:hAnsi="arial" w:cs="arial"/>
          <w:color w:val="000000"/>
          <w:sz w:val="20"/>
          <w:lang w:val="en-US" w:eastAsia="en-US" w:bidi="ar-SA"/>
        </w:rPr>
        <w:t xml:space="preserve">. The Supreme Court of Canada has supported the presumption that a legislature does not intend to abolish, limit or otherwise interfere with the rights of subjects. Legislation designed to curtail the rights that may be enjoyed by citizens or residents must be strictly construed. In </w:t>
      </w:r>
      <w:r>
        <w:rPr>
          <w:rFonts w:ascii="arial" w:eastAsia="arial" w:hAnsi="arial" w:cs="arial"/>
          <w:i/>
          <w:color w:val="000000"/>
          <w:sz w:val="20"/>
          <w:lang w:val="en-US" w:eastAsia="en-US" w:bidi="ar-SA"/>
        </w:rPr>
        <w:t>Sullivan on the Construction of Statutes</w:t>
      </w:r>
      <w:r>
        <w:rPr>
          <w:rFonts w:ascii="arial" w:eastAsia="arial" w:hAnsi="arial" w:cs="arial"/>
          <w:color w:val="000000"/>
          <w:sz w:val="20"/>
          <w:lang w:val="en-US" w:eastAsia="en-US" w:bidi="ar-SA"/>
        </w:rPr>
        <w:t>, 5th ed. (Toronto: LexisNexis, 2008), the learned author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presumed that the legislature does not intend to abolish, limit or otherwise interfere with the rights of subjects. Legislation designed to curtail the rights that may be enjoyed by citizens or residents is strictly construed. This presumption was explained by Estey J. in </w:t>
      </w:r>
      <w:r>
        <w:rPr>
          <w:rFonts w:ascii="arial" w:eastAsia="arial" w:hAnsi="arial" w:cs="arial"/>
          <w:i/>
          <w:color w:val="000000"/>
          <w:sz w:val="20"/>
          <w:lang w:val="en-US" w:eastAsia="en-US" w:bidi="ar-SA"/>
        </w:rPr>
        <w:t>Morguard Properties Ltd. v. City of Winnipeg</w:t>
      </w:r>
      <w:r>
        <w:rPr>
          <w:rFonts w:ascii="arial" w:eastAsia="arial" w:hAnsi="arial" w:cs="arial"/>
          <w:color w:val="000000"/>
          <w:sz w:val="20"/>
          <w:lang w:val="en-US" w:eastAsia="en-US" w:bidi="ar-SA"/>
        </w:rPr>
        <w:t xml:space="preserve">, </w:t>
      </w:r>
      <w:hyperlink r:id="rId261" w:history="1">
        <w:r>
          <w:rPr>
            <w:rFonts w:ascii="arial" w:eastAsia="arial" w:hAnsi="arial" w:cs="arial"/>
            <w:i/>
            <w:color w:val="0077CC"/>
            <w:sz w:val="20"/>
            <w:u w:val="single"/>
            <w:shd w:val="clear" w:color="auto" w:fill="FFFFFF"/>
            <w:lang w:val="en-US" w:eastAsia="en-US" w:bidi="ar-SA"/>
          </w:rPr>
          <w:t>[1983] 2 S.C.R. 493</w:t>
        </w:r>
      </w:hyperlink>
      <w:r>
        <w:rPr>
          <w:rFonts w:ascii="arial" w:eastAsia="arial" w:hAnsi="arial" w:cs="arial"/>
          <w:color w:val="000000"/>
          <w:sz w:val="20"/>
          <w:lang w:val="en-US" w:eastAsia="en-US" w:bidi="ar-SA"/>
        </w:rPr>
        <w:t xml:space="preserve"> at 13:</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courts require that, in order to adversely affect a citizen's right, whether as a taxpayer or otherwise, the Legislature must do so expressly... The Resources at hand in the preparation and enactment of legislation are such that a court must be slow to presume oversight or inarticulate intentions when the rights of the citizen are involved.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pp. 476-8)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The presumption against interference with vested rights is a long-established proposition in Canadian law and is: "... one of the many intentions attributed to Parliament and the provincial legislatures": </w:t>
      </w:r>
      <w:r>
        <w:rPr>
          <w:rFonts w:ascii="arial" w:eastAsia="arial" w:hAnsi="arial" w:cs="arial"/>
          <w:i/>
          <w:color w:val="000000"/>
          <w:sz w:val="20"/>
          <w:lang w:val="en-US" w:eastAsia="en-US" w:bidi="ar-SA"/>
        </w:rPr>
        <w:t>Spooner Oils Ltd. v. Turner Valley Gas Conservation Board</w:t>
      </w:r>
      <w:r>
        <w:rPr>
          <w:rFonts w:ascii="arial" w:eastAsia="arial" w:hAnsi="arial" w:cs="arial"/>
          <w:color w:val="000000"/>
          <w:sz w:val="20"/>
          <w:lang w:val="en-US" w:eastAsia="en-US" w:bidi="ar-SA"/>
        </w:rPr>
        <w:t xml:space="preserve">, </w:t>
      </w:r>
      <w:hyperlink r:id="rId262" w:history="1">
        <w:r>
          <w:rPr>
            <w:rFonts w:ascii="arial" w:eastAsia="arial" w:hAnsi="arial" w:cs="arial"/>
            <w:i/>
            <w:color w:val="0077CC"/>
            <w:sz w:val="20"/>
            <w:u w:val="single"/>
            <w:shd w:val="clear" w:color="auto" w:fill="FFFFFF"/>
            <w:lang w:val="en-US" w:eastAsia="en-US" w:bidi="ar-SA"/>
          </w:rPr>
          <w:t>[1933] S.C.R. 629</w:t>
        </w:r>
      </w:hyperlink>
      <w:r>
        <w:rPr>
          <w:rFonts w:ascii="arial" w:eastAsia="arial" w:hAnsi="arial" w:cs="arial"/>
          <w:color w:val="000000"/>
          <w:sz w:val="20"/>
          <w:lang w:val="en-US" w:eastAsia="en-US" w:bidi="ar-SA"/>
        </w:rPr>
        <w:t xml:space="preserve"> at p. 638, cited with approval in </w:t>
      </w:r>
      <w:r>
        <w:rPr>
          <w:rFonts w:ascii="arial" w:eastAsia="arial" w:hAnsi="arial" w:cs="arial"/>
          <w:i/>
          <w:color w:val="000000"/>
          <w:sz w:val="20"/>
          <w:lang w:val="en-US" w:eastAsia="en-US" w:bidi="ar-SA"/>
        </w:rPr>
        <w:t>Dikranian v. Quebec (Attorney General)</w:t>
      </w:r>
      <w:r>
        <w:rPr>
          <w:rFonts w:ascii="arial" w:eastAsia="arial" w:hAnsi="arial" w:cs="arial"/>
          <w:color w:val="000000"/>
          <w:sz w:val="20"/>
          <w:lang w:val="en-US" w:eastAsia="en-US" w:bidi="ar-SA"/>
        </w:rPr>
        <w:t xml:space="preserve">, </w:t>
      </w:r>
      <w:hyperlink r:id="rId263" w:history="1">
        <w:r>
          <w:rPr>
            <w:rFonts w:ascii="arial" w:eastAsia="arial" w:hAnsi="arial" w:cs="arial"/>
            <w:i/>
            <w:color w:val="0077CC"/>
            <w:sz w:val="20"/>
            <w:u w:val="single"/>
            <w:shd w:val="clear" w:color="auto" w:fill="FFFFFF"/>
            <w:lang w:val="en-US" w:eastAsia="en-US" w:bidi="ar-SA"/>
          </w:rPr>
          <w:t>[2005] 3 S.C.R. 530</w:t>
        </w:r>
      </w:hyperlink>
      <w:r>
        <w:rPr>
          <w:rFonts w:ascii="arial" w:eastAsia="arial" w:hAnsi="arial" w:cs="arial"/>
          <w:color w:val="000000"/>
          <w:sz w:val="20"/>
          <w:lang w:val="en-US" w:eastAsia="en-US" w:bidi="ar-SA"/>
        </w:rPr>
        <w:t>, at paras. 32-3.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The presumption against interfering with rights applies to the right to bring an action or an appeal and it also applies to defences, privileges and immunities. Estey J., in </w:t>
      </w:r>
      <w:r>
        <w:rPr>
          <w:rFonts w:ascii="arial" w:eastAsia="arial" w:hAnsi="arial" w:cs="arial"/>
          <w:i/>
          <w:color w:val="000000"/>
          <w:sz w:val="20"/>
          <w:lang w:val="en-US" w:eastAsia="en-US" w:bidi="ar-SA"/>
        </w:rPr>
        <w:t>Berardinelli v. Ontario Housing Corp.</w:t>
      </w:r>
      <w:r>
        <w:rPr>
          <w:rFonts w:ascii="arial" w:eastAsia="arial" w:hAnsi="arial" w:cs="arial"/>
          <w:color w:val="000000"/>
          <w:sz w:val="20"/>
          <w:lang w:val="en-US" w:eastAsia="en-US" w:bidi="ar-SA"/>
        </w:rPr>
        <w:t xml:space="preserve">, </w:t>
      </w:r>
      <w:hyperlink r:id="rId264" w:history="1">
        <w:r>
          <w:rPr>
            <w:rFonts w:ascii="arial" w:eastAsia="arial" w:hAnsi="arial" w:cs="arial"/>
            <w:i/>
            <w:color w:val="0077CC"/>
            <w:sz w:val="20"/>
            <w:u w:val="single"/>
            <w:shd w:val="clear" w:color="auto" w:fill="FFFFFF"/>
            <w:lang w:val="en-US" w:eastAsia="en-US" w:bidi="ar-SA"/>
          </w:rPr>
          <w:t>[1979] 1 SCR 275</w:t>
        </w:r>
      </w:hyperlink>
      <w:r>
        <w:rPr>
          <w:rFonts w:ascii="arial" w:eastAsia="arial" w:hAnsi="arial" w:cs="arial"/>
          <w:color w:val="000000"/>
          <w:sz w:val="20"/>
          <w:lang w:val="en-US" w:eastAsia="en-US" w:bidi="ar-SA"/>
        </w:rPr>
        <w: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Section 11 [of the </w:t>
      </w:r>
      <w:r>
        <w:rPr>
          <w:rFonts w:ascii="arial" w:eastAsia="arial" w:hAnsi="arial" w:cs="arial"/>
          <w:i/>
          <w:color w:val="000000"/>
          <w:sz w:val="20"/>
          <w:lang w:val="en-US" w:eastAsia="en-US" w:bidi="ar-SA"/>
        </w:rPr>
        <w:t>Public Authorities Protection Act</w:t>
      </w:r>
      <w:r>
        <w:rPr>
          <w:rFonts w:ascii="arial" w:eastAsia="arial" w:hAnsi="arial" w:cs="arial"/>
          <w:color w:val="000000"/>
          <w:sz w:val="20"/>
          <w:lang w:val="en-US" w:eastAsia="en-US" w:bidi="ar-SA"/>
        </w:rPr>
        <w:t>], being a restrictive provision wherein the rights of action of the citizen are necessarily circumscribed by its terms, attracts a strict interpretation and any ambiguity found upon the application of the proper principles of statutory interpretation should be resolved in favour of the person whose right of action is being truncated.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para. 492)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Sullivan and Driedger on the Construction of Statutes</w:t>
      </w:r>
      <w:r>
        <w:rPr>
          <w:rFonts w:ascii="arial" w:eastAsia="arial" w:hAnsi="arial" w:cs="arial"/>
          <w:color w:val="000000"/>
          <w:sz w:val="20"/>
          <w:lang w:val="en-US" w:eastAsia="en-US" w:bidi="ar-SA"/>
        </w:rPr>
        <w:t xml:space="preserve">, 4th ed (2002) (Toronto: LexisNexis), the learned authors state: "The values embodied in the presumption against interfering with vested rights, namely avoiding unfairness and observing the rule of law, inform interpretation in every case, not just those in which the court purports to find ambiguity." (at p. 576). This summation of the law was quoted with approval in </w:t>
      </w:r>
      <w:r>
        <w:rPr>
          <w:rFonts w:ascii="arial" w:eastAsia="arial" w:hAnsi="arial" w:cs="arial"/>
          <w:i/>
          <w:color w:val="000000"/>
          <w:sz w:val="20"/>
          <w:lang w:val="en-US" w:eastAsia="en-US" w:bidi="ar-SA"/>
        </w:rPr>
        <w:t>Dikranian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at para. 36.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I am unable to conclude that the drafters of the </w:t>
      </w:r>
      <w:r>
        <w:rPr>
          <w:rFonts w:ascii="arial" w:eastAsia="arial" w:hAnsi="arial" w:cs="arial"/>
          <w:i/>
          <w:color w:val="000000"/>
          <w:sz w:val="20"/>
          <w:lang w:val="en-US" w:eastAsia="en-US" w:bidi="ar-SA"/>
        </w:rPr>
        <w:t>Police Act 1974</w:t>
      </w:r>
      <w:r>
        <w:rPr>
          <w:rFonts w:ascii="arial" w:eastAsia="arial" w:hAnsi="arial" w:cs="arial"/>
          <w:color w:val="000000"/>
          <w:sz w:val="20"/>
          <w:lang w:val="en-US" w:eastAsia="en-US" w:bidi="ar-SA"/>
        </w:rPr>
        <w:t xml:space="preserve"> simply forgot to include language dealing with the accrued liabilities of the Board of Police Commissioners. Unless the language of the legislative enactment requires such a construction, it should not be read as prejudicially affecting vested rights. Accordingly, I am satisfied that any rights that Mr. Gulkison had to claim against the Board of Police Commissioners did not come to an end when the Vancouver Police Board was created. Rather, any continuing rights Mr. Gulkison had to claim against the Board of Police Commissioners were available to Mr. Gulkison against the Vancouver Police Board.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Here, the </w:t>
      </w:r>
      <w:r>
        <w:rPr>
          <w:rFonts w:ascii="arial" w:eastAsia="arial" w:hAnsi="arial" w:cs="arial"/>
          <w:i/>
          <w:color w:val="000000"/>
          <w:sz w:val="20"/>
          <w:lang w:val="en-US" w:eastAsia="en-US" w:bidi="ar-SA"/>
        </w:rPr>
        <w:t>Police Act 1974</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Statute Law Amendment Act 1974</w:t>
      </w:r>
      <w:r>
        <w:rPr>
          <w:rFonts w:ascii="arial" w:eastAsia="arial" w:hAnsi="arial" w:cs="arial"/>
          <w:color w:val="000000"/>
          <w:sz w:val="20"/>
          <w:lang w:val="en-US" w:eastAsia="en-US" w:bidi="ar-SA"/>
        </w:rPr>
        <w:t xml:space="preserve"> are silent with respect to whether the Vancouver Police Board is the continuation of the Board of Police Commissioners or whether the Vancouver Police Board is liable for civil wrongs committed by the Board of Police Commissioners. There is no necessary implication that the Vancouver Police Board is not liable for civil wrongs committed by the Board of Police Commissioners. The presumption against interference with vested rights applies and the legislation should be interpreted as permitting actions by Mr. Gulkison for torts committed by the Board of Police Commissioners to be taken against the Vancouver Police Board.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I am not able to conclude that the Legislature merely failed to provide that membership on the Board of Police Commissioners would come to an end and that the persons appointed would cease to hold office so that actions taken by the members of the Board of Police Commissioners between June 20, 1974 and August 3, 1974 were of no effect. The absence of a provision such as was included as s. 665(6) of the </w:t>
      </w:r>
      <w:r>
        <w:rPr>
          <w:rFonts w:ascii="arial" w:eastAsia="arial" w:hAnsi="arial" w:cs="arial"/>
          <w:i/>
          <w:color w:val="000000"/>
          <w:sz w:val="20"/>
          <w:lang w:val="en-US" w:eastAsia="en-US" w:bidi="ar-SA"/>
        </w:rPr>
        <w:t>Municipal Act 1960</w:t>
      </w:r>
      <w:r>
        <w:rPr>
          <w:rFonts w:ascii="arial" w:eastAsia="arial" w:hAnsi="arial" w:cs="arial"/>
          <w:color w:val="000000"/>
          <w:sz w:val="20"/>
          <w:lang w:val="en-US" w:eastAsia="en-US" w:bidi="ar-SA"/>
        </w:rPr>
        <w:t xml:space="preserve"> allows me to conclude that it was not the intention of the Legislature to bring the term of the members of the Board of Police Commissioners to an end on June 20, 1974: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 Upon this section becoming applicable to a municipality, section 664 ceases to apply to that municipality and every person then holding office as a member of the Board of Police Commissioners therein by reason of having been appointed to that office cease to hold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It is clear that the members of the Board of Police Commissioners carried on with their duties despite Royal Assent and the creation of the Vancouver Police Board on June 20, 1974. The May 29, 1973 appointees met as the Board of Police Commissioners after June 20, 1974. I am not able to conclude that the Legislature intended that there would be no governing body in place between June 20, 1974 and August 3, 1974 or that it would have to be presumed that the actions of the Board of Police Commissioners taken during that period would be null and void. In this regard, the August 23, 1974 Minutes reflect a change of name and not the creation of a new entity upon the "abolishment" of the old entity.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Police Act 1974</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Statute Law Amendment Act 1974</w:t>
      </w:r>
      <w:r>
        <w:rPr>
          <w:rFonts w:ascii="arial" w:eastAsia="arial" w:hAnsi="arial" w:cs="arial"/>
          <w:color w:val="000000"/>
          <w:sz w:val="20"/>
          <w:lang w:val="en-US" w:eastAsia="en-US" w:bidi="ar-SA"/>
        </w:rPr>
        <w:t xml:space="preserve"> are silent with respect to whether the Vancouver Police Board is the continuation of the Board of Police Commissioners or whether the Vancouver Police Board is liable for civil wrongs committed by the Board of Police Commissioners. It is clear and I conclude that the members of the Board of Police Commissioners acted in accordance with the belief that the Board of Police Commissioners had not been "abolished" as they met as such on June 12, 1974. As well, the certification with the Labour Relations Board remained with the Board of Police Commissioners as the "employer" until 1982.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 cannot conclude that the Collective Agreement which was set to expire on December 31, 1974 was between the Union and an entity that no longer existed. As well, the October 15, 1974 letter to Director of Personnel Services was from the Board of Police Commissioners. It is not possible for me to conclude that a letter would be sent by and received from a body that no longer existed and was not continued as the Vancouver Police Board.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A statute should not be construed as depriving a plaintiff of his or her right of action at common law unless a clear intention is manifested in the legislation. This presumption applies even where the action is not commenced until after the enactment of the legislation: </w:t>
      </w:r>
      <w:r>
        <w:rPr>
          <w:rFonts w:ascii="arial" w:eastAsia="arial" w:hAnsi="arial" w:cs="arial"/>
          <w:i/>
          <w:color w:val="000000"/>
          <w:sz w:val="20"/>
          <w:lang w:val="en-US" w:eastAsia="en-US" w:bidi="ar-SA"/>
        </w:rPr>
        <w:t>Meurer v. McKenzie</w:t>
      </w:r>
      <w:r>
        <w:rPr>
          <w:rFonts w:ascii="arial" w:eastAsia="arial" w:hAnsi="arial" w:cs="arial"/>
          <w:color w:val="000000"/>
          <w:sz w:val="20"/>
          <w:lang w:val="en-US" w:eastAsia="en-US" w:bidi="ar-SA"/>
        </w:rPr>
        <w:t xml:space="preserve"> </w:t>
      </w:r>
      <w:hyperlink r:id="rId265" w:history="1">
        <w:r>
          <w:rPr>
            <w:rFonts w:ascii="arial" w:eastAsia="arial" w:hAnsi="arial" w:cs="arial"/>
            <w:i/>
            <w:color w:val="0077CC"/>
            <w:sz w:val="20"/>
            <w:u w:val="single"/>
            <w:shd w:val="clear" w:color="auto" w:fill="FFFFFF"/>
            <w:lang w:val="en-US" w:eastAsia="en-US" w:bidi="ar-SA"/>
          </w:rPr>
          <w:t>(1977), 81 D.L.R. (3d) 388</w:t>
        </w:r>
      </w:hyperlink>
      <w:r>
        <w:rPr>
          <w:rFonts w:ascii="arial" w:eastAsia="arial" w:hAnsi="arial" w:cs="arial"/>
          <w:color w:val="000000"/>
          <w:sz w:val="20"/>
          <w:lang w:val="en-US" w:eastAsia="en-US" w:bidi="ar-SA"/>
        </w:rPr>
        <w:t xml:space="preserve"> (B.C.C.A.) at paras. 9, 10 and 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The Annual Report of the Attorney-General for 1974 provides details about the reasons behind the implementation and passing of the </w:t>
      </w:r>
      <w:r>
        <w:rPr>
          <w:rFonts w:ascii="arial" w:eastAsia="arial" w:hAnsi="arial" w:cs="arial"/>
          <w:i/>
          <w:color w:val="000000"/>
          <w:sz w:val="20"/>
          <w:lang w:val="en-US" w:eastAsia="en-US" w:bidi="ar-SA"/>
        </w:rPr>
        <w:t>Police Act 1974</w:t>
      </w:r>
      <w:r>
        <w:rPr>
          <w:rFonts w:ascii="arial" w:eastAsia="arial" w:hAnsi="arial" w:cs="arial"/>
          <w:color w:val="000000"/>
          <w:sz w:val="20"/>
          <w:lang w:val="en-US" w:eastAsia="en-US" w:bidi="ar-SA"/>
        </w:rPr>
        <w:t>, but none of those reasons include limitation of the liabilities of the Board of Police Commissioners. I am satisfied that this is further evidence that it was not the intention of the Legislature and it is not the effect at law that the right of action available to parties against the Board of Police Commissioners would come to an end upon the Royal Assent of the new legislation.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I am further able to reject the submission made on behalf of the Vancouver Police Board. The preamble of the current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provides this definition of "other administrative" bodies: "means an unincorporated body other than the Council, that under this or another Act may exercise powers of the City or Council, and includes the Board of Parks and Recreation and the Board of Police Commissioners". Section 147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then provides that: "The Council and other administrative bodies shall be deemed and considered to continue in existence notwithstanding any change in their membership, and proceedings begun by one Council or administrative body may be continued and completed by a succeeding Council or administrative body." Therefore, the City continues to refer to the Board of Police Commissioners as a continuing board within the current version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This demonstrates the intention of the City and the Legislature to ensure the continuation of the Board of Police Commissioners as an administrative body but under the new name the "Vancouver Police Board".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As there is no necessary implication that the Vancouver Police Board is not liable for civil wrongs committed by the Board of Police Commissioners, I have concluded that the presumption against interference with vested rights applies. If the Legislature had wanted to leave the "old liabilities" behind, it could have done so in the legislation and with appropriate transitional language. It did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 conclude that it was not the intention of the Legislature to "abolish" any causes of action that might have arisen against the Board of Police Commissioners and bring a new entity into existence unencumbered by past wrongs:</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was not until 1982 that the Board requested the Labour Relations Board to vary the 1945 Certificate to change the name from the Board of Police Commissioners to the Vancouver Police Board. If the new "free-standing" Vancouver Police Board was completely separate and distinct from the old "abolished" Board of Police Commissioners, why would advice not have been given to the Labour Relations Board that, as a "new employer", a new Certification was required?</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Before, during and after the promulgation of the </w:t>
      </w:r>
      <w:r>
        <w:rPr>
          <w:rFonts w:ascii="arial" w:eastAsia="arial" w:hAnsi="arial" w:cs="arial"/>
          <w:i/>
          <w:color w:val="000000"/>
          <w:sz w:val="20"/>
          <w:lang w:val="en-US" w:eastAsia="en-US" w:bidi="ar-SA"/>
        </w:rPr>
        <w:t>Police Act 1974</w:t>
      </w:r>
      <w:r>
        <w:rPr>
          <w:rFonts w:ascii="arial" w:eastAsia="arial" w:hAnsi="arial" w:cs="arial"/>
          <w:color w:val="000000"/>
          <w:sz w:val="20"/>
          <w:lang w:val="en-US" w:eastAsia="en-US" w:bidi="ar-SA"/>
        </w:rPr>
        <w:t>, the Board of Police Commissioners and the Vancouver Policemen's Union were bargaining regarding a collective agreement and no consideration was given to the fact that the defined "employer" under the collective agreement "did not exist" after June 20, 1974.</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the effect of bringing into effect the </w:t>
      </w:r>
      <w:r>
        <w:rPr>
          <w:rFonts w:ascii="arial" w:eastAsia="arial" w:hAnsi="arial" w:cs="arial"/>
          <w:i/>
          <w:color w:val="000000"/>
          <w:sz w:val="20"/>
          <w:lang w:val="en-US" w:eastAsia="en-US" w:bidi="ar-SA"/>
        </w:rPr>
        <w:t>Police Act 1974</w:t>
      </w:r>
      <w:r>
        <w:rPr>
          <w:rFonts w:ascii="arial" w:eastAsia="arial" w:hAnsi="arial" w:cs="arial"/>
          <w:color w:val="000000"/>
          <w:sz w:val="20"/>
          <w:lang w:val="en-US" w:eastAsia="en-US" w:bidi="ar-SA"/>
        </w:rPr>
        <w:t xml:space="preserve"> had the implications now claimed on behalf of the Vancouver Police Board, it is inexplicable why the Commissioners and the Vancouver Police Board members had no discussions about the effect now put forward by the Vancouver Police Board. In fact, the effect of the </w:t>
      </w:r>
      <w:r>
        <w:rPr>
          <w:rFonts w:ascii="arial" w:eastAsia="arial" w:hAnsi="arial" w:cs="arial"/>
          <w:i/>
          <w:color w:val="000000"/>
          <w:sz w:val="20"/>
          <w:lang w:val="en-US" w:eastAsia="en-US" w:bidi="ar-SA"/>
        </w:rPr>
        <w:t>Police Act 1974</w:t>
      </w:r>
      <w:r>
        <w:rPr>
          <w:rFonts w:ascii="arial" w:eastAsia="arial" w:hAnsi="arial" w:cs="arial"/>
          <w:color w:val="000000"/>
          <w:sz w:val="20"/>
          <w:lang w:val="en-US" w:eastAsia="en-US" w:bidi="ar-SA"/>
        </w:rPr>
        <w:t xml:space="preserve">, was not discussed during the regular meeting of the Board of Police Commissioners on June 27, 1974, seven days after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received Royal Assent.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WERE POLICE OFFICERS "EMPLOYEES"?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The Vancouver Police Board submits that, during the period 1957 through 1969 while the Board of Police Commissioners was responsible for administering the Vancouver Police Department, police officers were not employed by the Board of Police Commissioners. Rather, they held office during the pleasure of the Board pursuant to s. 458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Given that relationship between the Board of Police Commissioners and the police officers, the Vancouver Police Board submits that the Board of Police Commissioners cannot be vicariously liable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any member of the police force as it was not the employer of the officer. In this regard, the Vancouver Police Board relies on the decisions in </w:t>
      </w:r>
      <w:r>
        <w:rPr>
          <w:rFonts w:ascii="arial" w:eastAsia="arial" w:hAnsi="arial" w:cs="arial"/>
          <w:i/>
          <w:color w:val="000000"/>
          <w:sz w:val="20"/>
          <w:lang w:val="en-US" w:eastAsia="en-US" w:bidi="ar-SA"/>
        </w:rPr>
        <w:t>Winterbottom v. London</w:t>
      </w:r>
      <w:r>
        <w:rPr>
          <w:rFonts w:ascii="arial" w:eastAsia="arial" w:hAnsi="arial" w:cs="arial"/>
          <w:color w:val="000000"/>
          <w:sz w:val="20"/>
          <w:lang w:val="en-US" w:eastAsia="en-US" w:bidi="ar-SA"/>
        </w:rPr>
        <w:t xml:space="preserve">, </w:t>
      </w:r>
      <w:hyperlink r:id="rId266" w:history="1">
        <w:r>
          <w:rPr>
            <w:rFonts w:ascii="arial" w:eastAsia="arial" w:hAnsi="arial" w:cs="arial"/>
            <w:i/>
            <w:color w:val="0077CC"/>
            <w:sz w:val="20"/>
            <w:u w:val="single"/>
            <w:shd w:val="clear" w:color="auto" w:fill="FFFFFF"/>
            <w:lang w:val="en-US" w:eastAsia="en-US" w:bidi="ar-SA"/>
          </w:rPr>
          <w:t>[1901] 1 O.L.R. 549</w:t>
        </w:r>
      </w:hyperlink>
      <w:r>
        <w:rPr>
          <w:rFonts w:ascii="arial" w:eastAsia="arial" w:hAnsi="arial" w:cs="arial"/>
          <w:color w:val="000000"/>
          <w:sz w:val="20"/>
          <w:lang w:val="en-US" w:eastAsia="en-US" w:bidi="ar-SA"/>
        </w:rPr>
        <w:t xml:space="preserve"> (Ont. S.C.); </w:t>
      </w:r>
      <w:r>
        <w:rPr>
          <w:rFonts w:ascii="arial" w:eastAsia="arial" w:hAnsi="arial" w:cs="arial"/>
          <w:i/>
          <w:color w:val="000000"/>
          <w:sz w:val="20"/>
          <w:lang w:val="en-US" w:eastAsia="en-US" w:bidi="ar-SA"/>
        </w:rPr>
        <w:t>Aikens v. Kingston (City)</w:t>
      </w:r>
      <w:r>
        <w:rPr>
          <w:rFonts w:ascii="arial" w:eastAsia="arial" w:hAnsi="arial" w:cs="arial"/>
          <w:color w:val="000000"/>
          <w:sz w:val="20"/>
          <w:lang w:val="en-US" w:eastAsia="en-US" w:bidi="ar-SA"/>
        </w:rPr>
        <w:t xml:space="preserve">, </w:t>
      </w:r>
      <w:hyperlink r:id="rId267" w:history="1">
        <w:r>
          <w:rPr>
            <w:rFonts w:ascii="arial" w:eastAsia="arial" w:hAnsi="arial" w:cs="arial"/>
            <w:i/>
            <w:color w:val="0077CC"/>
            <w:sz w:val="20"/>
            <w:u w:val="single"/>
            <w:shd w:val="clear" w:color="auto" w:fill="FFFFFF"/>
            <w:lang w:val="en-US" w:eastAsia="en-US" w:bidi="ar-SA"/>
          </w:rPr>
          <w:t>[1923] 3 D.L.R. 869</w:t>
        </w:r>
      </w:hyperlink>
      <w:r>
        <w:rPr>
          <w:rFonts w:ascii="arial" w:eastAsia="arial" w:hAnsi="arial" w:cs="arial"/>
          <w:color w:val="000000"/>
          <w:sz w:val="20"/>
          <w:lang w:val="en-US" w:eastAsia="en-US" w:bidi="ar-SA"/>
        </w:rPr>
        <w:t xml:space="preserve"> (Ont. S.C.); </w:t>
      </w:r>
      <w:r>
        <w:rPr>
          <w:rFonts w:ascii="arial" w:eastAsia="arial" w:hAnsi="arial" w:cs="arial"/>
          <w:i/>
          <w:color w:val="000000"/>
          <w:sz w:val="20"/>
          <w:lang w:val="en-US" w:eastAsia="en-US" w:bidi="ar-SA"/>
        </w:rPr>
        <w:t>MacDonald v. Vancouver (City)</w:t>
      </w:r>
      <w:r>
        <w:rPr>
          <w:rFonts w:ascii="arial" w:eastAsia="arial" w:hAnsi="arial" w:cs="arial"/>
          <w:color w:val="000000"/>
          <w:sz w:val="20"/>
          <w:lang w:val="en-US" w:eastAsia="en-US" w:bidi="ar-SA"/>
        </w:rPr>
        <w:t xml:space="preserve">, </w:t>
      </w:r>
      <w:hyperlink r:id="rId268" w:history="1">
        <w:r>
          <w:rPr>
            <w:rFonts w:ascii="arial" w:eastAsia="arial" w:hAnsi="arial" w:cs="arial"/>
            <w:i/>
            <w:color w:val="0077CC"/>
            <w:sz w:val="20"/>
            <w:u w:val="single"/>
            <w:shd w:val="clear" w:color="auto" w:fill="FFFFFF"/>
            <w:lang w:val="en-US" w:eastAsia="en-US" w:bidi="ar-SA"/>
          </w:rPr>
          <w:t>[1953] 2 S.C.R. 170</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Re A Reference Under the Constitutional Questions Act</w:t>
      </w:r>
      <w:r>
        <w:rPr>
          <w:rFonts w:ascii="arial" w:eastAsia="arial" w:hAnsi="arial" w:cs="arial"/>
          <w:color w:val="000000"/>
          <w:sz w:val="20"/>
          <w:lang w:val="en-US" w:eastAsia="en-US" w:bidi="ar-SA"/>
        </w:rPr>
        <w:t xml:space="preserve">, </w:t>
      </w:r>
      <w:hyperlink r:id="rId269" w:history="1">
        <w:r>
          <w:rPr>
            <w:rFonts w:ascii="arial" w:eastAsia="arial" w:hAnsi="arial" w:cs="arial"/>
            <w:i/>
            <w:color w:val="0077CC"/>
            <w:sz w:val="20"/>
            <w:u w:val="single"/>
            <w:shd w:val="clear" w:color="auto" w:fill="FFFFFF"/>
            <w:lang w:val="en-US" w:eastAsia="en-US" w:bidi="ar-SA"/>
          </w:rPr>
          <w:t>[1957] O.R. 28</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Winterbottom</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the plaintiff sought damages against the defendants by reason of her having been knocked down and run over by the horses attached to a patrol wagon kept and used by the police force of the City of London and driven by police constables in conveying prisoners to police quarters. Robertson J. concluded that, even though police constables hold their office at the pleasure of the board, that does not constitute them as servants of the board: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and although they, the policemen or constables, hold their office at the pleasure of the board, that does not, in my opinion, constitute them servants of the board of police commissioners; so that the doctrine of </w:t>
      </w:r>
      <w:r>
        <w:rPr>
          <w:rFonts w:ascii="arial" w:eastAsia="arial" w:hAnsi="arial" w:cs="arial"/>
          <w:i/>
          <w:color w:val="000000"/>
          <w:sz w:val="20"/>
          <w:lang w:val="en-US" w:eastAsia="en-US" w:bidi="ar-SA"/>
        </w:rPr>
        <w:t>respondeat superior</w:t>
      </w:r>
      <w:r>
        <w:rPr>
          <w:rFonts w:ascii="arial" w:eastAsia="arial" w:hAnsi="arial" w:cs="arial"/>
          <w:color w:val="000000"/>
          <w:sz w:val="20"/>
          <w:lang w:val="en-US" w:eastAsia="en-US" w:bidi="ar-SA"/>
        </w:rPr>
        <w:t xml:space="preserve"> is not applicable, The policemen have a duty to perform as peace officers, and to exercise which, like any other constable, they are particularly appointed.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p. 554)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MacDonald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the action was against the City of Vancouver and a police officer transporting parties to a hospital in a police car owned by the City. In </w:t>
      </w:r>
      <w:r>
        <w:rPr>
          <w:rFonts w:ascii="arial" w:eastAsia="arial" w:hAnsi="arial" w:cs="arial"/>
          <w:i/>
          <w:color w:val="000000"/>
          <w:sz w:val="20"/>
          <w:lang w:val="en-US" w:eastAsia="en-US" w:bidi="ar-SA"/>
        </w:rPr>
        <w:t>obiter</w:t>
      </w:r>
      <w:r>
        <w:rPr>
          <w:rFonts w:ascii="arial" w:eastAsia="arial" w:hAnsi="arial" w:cs="arial"/>
          <w:color w:val="000000"/>
          <w:sz w:val="20"/>
          <w:lang w:val="en-US" w:eastAsia="en-US" w:bidi="ar-SA"/>
        </w:rPr>
        <w:t>, Locke J. made this statement: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While the question is not raised by the pleadings in the present action, the liability asserted being </w:t>
      </w:r>
      <w:r>
        <w:rPr>
          <w:rFonts w:ascii="arial" w:eastAsia="arial" w:hAnsi="arial" w:cs="arial"/>
          <w:i/>
          <w:color w:val="000000"/>
          <w:sz w:val="20"/>
          <w:lang w:val="en-US" w:eastAsia="en-US" w:bidi="ar-SA"/>
        </w:rPr>
        <w:t>qua</w:t>
      </w:r>
      <w:r>
        <w:rPr>
          <w:rFonts w:ascii="arial" w:eastAsia="arial" w:hAnsi="arial" w:cs="arial"/>
          <w:color w:val="000000"/>
          <w:sz w:val="20"/>
          <w:lang w:val="en-US" w:eastAsia="en-US" w:bidi="ar-SA"/>
        </w:rPr>
        <w:t xml:space="preserve"> owner, it may be noted that in </w:t>
      </w:r>
      <w:r>
        <w:rPr>
          <w:rFonts w:ascii="arial" w:eastAsia="arial" w:hAnsi="arial" w:cs="arial"/>
          <w:i/>
          <w:color w:val="000000"/>
          <w:sz w:val="20"/>
          <w:lang w:val="en-US" w:eastAsia="en-US" w:bidi="ar-SA"/>
        </w:rPr>
        <w:t>Bowles v. Winnipeg</w:t>
      </w:r>
      <w:r>
        <w:rPr>
          <w:rFonts w:ascii="arial" w:eastAsia="arial" w:hAnsi="arial" w:cs="arial"/>
          <w:color w:val="000000"/>
          <w:sz w:val="20"/>
          <w:lang w:val="en-US" w:eastAsia="en-US" w:bidi="ar-SA"/>
        </w:rPr>
        <w:t>, [[</w:t>
      </w:r>
      <w:hyperlink r:id="rId270" w:history="1">
        <w:r>
          <w:rPr>
            <w:rFonts w:ascii="arial" w:eastAsia="arial" w:hAnsi="arial" w:cs="arial"/>
            <w:i/>
            <w:color w:val="0077CC"/>
            <w:sz w:val="20"/>
            <w:u w:val="single"/>
            <w:shd w:val="clear" w:color="auto" w:fill="FFFFFF"/>
            <w:lang w:val="en-US" w:eastAsia="en-US" w:bidi="ar-SA"/>
          </w:rPr>
          <w:t>(1919) 29 Man. R. 480</w:t>
        </w:r>
      </w:hyperlink>
      <w:r>
        <w:rPr>
          <w:rFonts w:ascii="arial" w:eastAsia="arial" w:hAnsi="arial" w:cs="arial"/>
          <w:color w:val="000000"/>
          <w:sz w:val="20"/>
          <w:lang w:val="en-US" w:eastAsia="en-US" w:bidi="ar-SA"/>
        </w:rPr>
        <w:t xml:space="preserve">.], was held that neither the City of Winnipeg nor the Board of Police Commissioners was liable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a police constable appointed by the Board and acting under its orders. Further authority on this aspect of the matter may be found in </w:t>
      </w:r>
      <w:r>
        <w:rPr>
          <w:rFonts w:ascii="arial" w:eastAsia="arial" w:hAnsi="arial" w:cs="arial"/>
          <w:i/>
          <w:color w:val="000000"/>
          <w:sz w:val="20"/>
          <w:lang w:val="en-US" w:eastAsia="en-US" w:bidi="ar-SA"/>
        </w:rPr>
        <w:t>Wishart v. City of Brandon</w:t>
      </w:r>
      <w:r>
        <w:rPr>
          <w:rFonts w:ascii="arial" w:eastAsia="arial" w:hAnsi="arial" w:cs="arial"/>
          <w:color w:val="000000"/>
          <w:sz w:val="20"/>
          <w:lang w:val="en-US" w:eastAsia="en-US" w:bidi="ar-SA"/>
        </w:rPr>
        <w:t xml:space="preserve"> [</w:t>
      </w:r>
      <w:hyperlink r:id="rId271" w:history="1">
        <w:r>
          <w:rPr>
            <w:rFonts w:ascii="arial" w:eastAsia="arial" w:hAnsi="arial" w:cs="arial"/>
            <w:i/>
            <w:color w:val="0077CC"/>
            <w:sz w:val="20"/>
            <w:u w:val="single"/>
            <w:shd w:val="clear" w:color="auto" w:fill="FFFFFF"/>
            <w:lang w:val="en-US" w:eastAsia="en-US" w:bidi="ar-SA"/>
          </w:rPr>
          <w:t>(1887) 4 Man.R. 453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Winterbottom v. Board of Commissioners of Police of the City of London</w:t>
      </w:r>
      <w:r>
        <w:rPr>
          <w:rFonts w:ascii="arial" w:eastAsia="arial" w:hAnsi="arial" w:cs="arial"/>
          <w:color w:val="000000"/>
          <w:sz w:val="20"/>
          <w:lang w:val="en-US" w:eastAsia="en-US" w:bidi="ar-SA"/>
        </w:rPr>
        <w:t xml:space="preserve"> [</w:t>
      </w:r>
      <w:hyperlink r:id="rId266" w:history="1">
        <w:r>
          <w:rPr>
            <w:rFonts w:ascii="arial" w:eastAsia="arial" w:hAnsi="arial" w:cs="arial"/>
            <w:i/>
            <w:color w:val="0077CC"/>
            <w:sz w:val="20"/>
            <w:u w:val="single"/>
            <w:shd w:val="clear" w:color="auto" w:fill="FFFFFF"/>
            <w:lang w:val="en-US" w:eastAsia="en-US" w:bidi="ar-SA"/>
          </w:rPr>
          <w:t>(1901) 1 O.L.R. 549</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McCleave v. City of Moncton</w:t>
      </w:r>
      <w:r>
        <w:rPr>
          <w:rFonts w:ascii="arial" w:eastAsia="arial" w:hAnsi="arial" w:cs="arial"/>
          <w:color w:val="000000"/>
          <w:sz w:val="20"/>
          <w:lang w:val="en-US" w:eastAsia="en-US" w:bidi="ar-SA"/>
        </w:rPr>
        <w:t xml:space="preserve"> [ </w:t>
      </w:r>
      <w:hyperlink r:id="rId272" w:history="1">
        <w:r>
          <w:rPr>
            <w:rFonts w:ascii="arial" w:eastAsia="arial" w:hAnsi="arial" w:cs="arial"/>
            <w:i/>
            <w:color w:val="0077CC"/>
            <w:sz w:val="20"/>
            <w:u w:val="single"/>
            <w:shd w:val="clear" w:color="auto" w:fill="FFFFFF"/>
            <w:lang w:val="en-US" w:eastAsia="en-US" w:bidi="ar-SA"/>
          </w:rPr>
          <w:t>(1902) 32 Can. S.C.R. 106</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p. 176)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Re A Reference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the issue was whether a municipal council had the power to dismiss a Chief Constable or other police officer appointed by the Council without a hearing. On behalf of the Court, Laidlaw J.A. concluded that the relation of master and servant did not exist in law as between a municipality or a board and a member of the police force: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there is a fundamental difference between the domestic relation of servant and master and that of the holder of a public office and the State which he is said to serve. The constable falls within the latter category. His authority is original, not delegated, and is exercised at his own discretion by virtue of his office: he is a ministerial officer exercising statutory rights independently of contract."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refer, also, to </w:t>
      </w:r>
      <w:r>
        <w:rPr>
          <w:rFonts w:ascii="arial" w:eastAsia="arial" w:hAnsi="arial" w:cs="arial"/>
          <w:i/>
          <w:color w:val="000000"/>
          <w:sz w:val="20"/>
          <w:lang w:val="en-US" w:eastAsia="en-US" w:bidi="ar-SA"/>
        </w:rPr>
        <w:t>Nettleton v. Prescott</w:t>
      </w:r>
      <w:r>
        <w:rPr>
          <w:rFonts w:ascii="arial" w:eastAsia="arial" w:hAnsi="arial" w:cs="arial"/>
          <w:color w:val="000000"/>
          <w:sz w:val="20"/>
          <w:lang w:val="en-US" w:eastAsia="en-US" w:bidi="ar-SA"/>
        </w:rPr>
        <w:t xml:space="preserve"> </w:t>
      </w:r>
      <w:hyperlink r:id="rId273" w:history="1">
        <w:r>
          <w:rPr>
            <w:rFonts w:ascii="arial" w:eastAsia="arial" w:hAnsi="arial" w:cs="arial"/>
            <w:i/>
            <w:color w:val="0077CC"/>
            <w:sz w:val="20"/>
            <w:u w:val="single"/>
            <w:shd w:val="clear" w:color="auto" w:fill="FFFFFF"/>
            <w:lang w:val="en-US" w:eastAsia="en-US" w:bidi="ar-SA"/>
          </w:rPr>
          <w:t>(1908), 16 O.L.R. 538</w:t>
        </w:r>
      </w:hyperlink>
      <w:r>
        <w:rPr>
          <w:rFonts w:ascii="arial" w:eastAsia="arial" w:hAnsi="arial" w:cs="arial"/>
          <w:color w:val="000000"/>
          <w:sz w:val="20"/>
          <w:lang w:val="en-US" w:eastAsia="en-US" w:bidi="ar-SA"/>
        </w:rPr>
        <w:t xml:space="preserve">, at 542, 545, 547; </w:t>
      </w:r>
      <w:r>
        <w:rPr>
          <w:rFonts w:ascii="arial" w:eastAsia="arial" w:hAnsi="arial" w:cs="arial"/>
          <w:i/>
          <w:color w:val="000000"/>
          <w:sz w:val="20"/>
          <w:lang w:val="en-US" w:eastAsia="en-US" w:bidi="ar-SA"/>
        </w:rPr>
        <w:t>Bruton v. Regina Policemen's Association</w:t>
      </w:r>
      <w:r>
        <w:rPr>
          <w:rFonts w:ascii="arial" w:eastAsia="arial" w:hAnsi="arial" w:cs="arial"/>
          <w:color w:val="000000"/>
          <w:sz w:val="20"/>
          <w:lang w:val="en-US" w:eastAsia="en-US" w:bidi="ar-SA"/>
        </w:rPr>
        <w:t xml:space="preserve">, </w:t>
      </w:r>
      <w:hyperlink r:id="rId274" w:history="1">
        <w:r>
          <w:rPr>
            <w:rFonts w:ascii="arial" w:eastAsia="arial" w:hAnsi="arial" w:cs="arial"/>
            <w:i/>
            <w:color w:val="0077CC"/>
            <w:sz w:val="20"/>
            <w:u w:val="single"/>
            <w:shd w:val="clear" w:color="auto" w:fill="FFFFFF"/>
            <w:lang w:val="en-US" w:eastAsia="en-US" w:bidi="ar-SA"/>
          </w:rPr>
          <w:t>[1945] 3 D.L.R. 437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Reg. v. Labour Relations Board ex parte Fredericton</w:t>
      </w:r>
      <w:r>
        <w:rPr>
          <w:rFonts w:ascii="arial" w:eastAsia="arial" w:hAnsi="arial" w:cs="arial"/>
          <w:color w:val="000000"/>
          <w:sz w:val="20"/>
          <w:lang w:val="en-US" w:eastAsia="en-US" w:bidi="ar-SA"/>
        </w:rPr>
        <w:t xml:space="preserve"> </w:t>
      </w:r>
      <w:hyperlink r:id="rId275" w:history="1">
        <w:r>
          <w:rPr>
            <w:rFonts w:ascii="arial" w:eastAsia="arial" w:hAnsi="arial" w:cs="arial"/>
            <w:i/>
            <w:color w:val="0077CC"/>
            <w:sz w:val="20"/>
            <w:u w:val="single"/>
            <w:shd w:val="clear" w:color="auto" w:fill="FFFFFF"/>
            <w:lang w:val="en-US" w:eastAsia="en-US" w:bidi="ar-SA"/>
          </w:rPr>
          <w:t>(1955), 38 M.P.R. 26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Mayers v. Hoffman</w:t>
      </w:r>
      <w:r>
        <w:rPr>
          <w:rFonts w:ascii="arial" w:eastAsia="arial" w:hAnsi="arial" w:cs="arial"/>
          <w:color w:val="000000"/>
          <w:sz w:val="20"/>
          <w:lang w:val="en-US" w:eastAsia="en-US" w:bidi="ar-SA"/>
        </w:rPr>
        <w:t xml:space="preserve">, </w:t>
      </w:r>
      <w:hyperlink r:id="rId276" w:history="1">
        <w:r>
          <w:rPr>
            <w:rFonts w:ascii="arial" w:eastAsia="arial" w:hAnsi="arial" w:cs="arial"/>
            <w:i/>
            <w:color w:val="0077CC"/>
            <w:sz w:val="20"/>
            <w:u w:val="single"/>
            <w:shd w:val="clear" w:color="auto" w:fill="FFFFFF"/>
            <w:lang w:val="en-US" w:eastAsia="en-US" w:bidi="ar-SA"/>
          </w:rPr>
          <w:t>[1955] O.R. 965</w:t>
        </w:r>
      </w:hyperlink>
      <w:r>
        <w:rPr>
          <w:rFonts w:ascii="arial" w:eastAsia="arial" w:hAnsi="arial" w:cs="arial"/>
          <w:color w:val="000000"/>
          <w:sz w:val="20"/>
          <w:lang w:val="en-US" w:eastAsia="en-US" w:bidi="ar-SA"/>
        </w:rPr>
        <w:t xml:space="preserve"> at 971-2.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p. 31)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Aikens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the court concluded that, at common law, a police officer is not the servant or agent of a municipal corporation or the police commissioners so as to subject them to liability for the negligent act of the police officer: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Both defendants disclaim liability for the constable's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If the case fell to be determined at common law, I should be bound, I think, to give effect to this contention. A police constable is not the servant or agent of the municipal corporation or of the board of police commissioners, so as to subject them to liability for his negligent or wrongful acts while in the performance of his duties. The doctrine of </w:t>
      </w:r>
      <w:r>
        <w:rPr>
          <w:rFonts w:ascii="arial" w:eastAsia="arial" w:hAnsi="arial" w:cs="arial"/>
          <w:i/>
          <w:color w:val="000000"/>
          <w:sz w:val="20"/>
          <w:lang w:val="en-US" w:eastAsia="en-US" w:bidi="ar-SA"/>
        </w:rPr>
        <w:t>respondeat superior</w:t>
      </w:r>
      <w:r>
        <w:rPr>
          <w:rFonts w:ascii="arial" w:eastAsia="arial" w:hAnsi="arial" w:cs="arial"/>
          <w:color w:val="000000"/>
          <w:sz w:val="20"/>
          <w:lang w:val="en-US" w:eastAsia="en-US" w:bidi="ar-SA"/>
        </w:rPr>
        <w:t xml:space="preserve"> does not apply in such a case at all: </w:t>
      </w:r>
      <w:r>
        <w:rPr>
          <w:rFonts w:ascii="arial" w:eastAsia="arial" w:hAnsi="arial" w:cs="arial"/>
          <w:i/>
          <w:color w:val="000000"/>
          <w:sz w:val="20"/>
          <w:lang w:val="en-US" w:eastAsia="en-US" w:bidi="ar-SA"/>
        </w:rPr>
        <w:t>Winterbottom v. (London Police Commissioners</w:t>
      </w:r>
      <w:r>
        <w:rPr>
          <w:rFonts w:ascii="arial" w:eastAsia="arial" w:hAnsi="arial" w:cs="arial"/>
          <w:color w:val="000000"/>
          <w:sz w:val="20"/>
          <w:lang w:val="en-US" w:eastAsia="en-US" w:bidi="ar-SA"/>
        </w:rPr>
        <w:t xml:space="preserve"> </w:t>
      </w:r>
      <w:hyperlink r:id="rId266" w:history="1">
        <w:r>
          <w:rPr>
            <w:rFonts w:ascii="arial" w:eastAsia="arial" w:hAnsi="arial" w:cs="arial"/>
            <w:i/>
            <w:color w:val="0077CC"/>
            <w:sz w:val="20"/>
            <w:u w:val="single"/>
            <w:shd w:val="clear" w:color="auto" w:fill="FFFFFF"/>
            <w:lang w:val="en-US" w:eastAsia="en-US" w:bidi="ar-SA"/>
          </w:rPr>
          <w:t>(1901), 1 O.L.R. 549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Kelly v. Barton</w:t>
      </w:r>
      <w:r>
        <w:rPr>
          <w:rFonts w:ascii="arial" w:eastAsia="arial" w:hAnsi="arial" w:cs="arial"/>
          <w:color w:val="000000"/>
          <w:sz w:val="20"/>
          <w:lang w:val="en-US" w:eastAsia="en-US" w:bidi="ar-SA"/>
        </w:rPr>
        <w:t xml:space="preserve"> </w:t>
      </w:r>
      <w:hyperlink r:id="rId277" w:history="1">
        <w:r>
          <w:rPr>
            <w:rFonts w:ascii="arial" w:eastAsia="arial" w:hAnsi="arial" w:cs="arial"/>
            <w:i/>
            <w:color w:val="0077CC"/>
            <w:sz w:val="20"/>
            <w:u w:val="single"/>
            <w:shd w:val="clear" w:color="auto" w:fill="FFFFFF"/>
            <w:lang w:val="en-US" w:eastAsia="en-US" w:bidi="ar-SA"/>
          </w:rPr>
          <w:t>(1895), 26 O.R. 608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McCleave v. City of Moncton</w:t>
      </w:r>
      <w:r>
        <w:rPr>
          <w:rFonts w:ascii="arial" w:eastAsia="arial" w:hAnsi="arial" w:cs="arial"/>
          <w:color w:val="000000"/>
          <w:sz w:val="20"/>
          <w:lang w:val="en-US" w:eastAsia="en-US" w:bidi="ar-SA"/>
        </w:rPr>
        <w:t xml:space="preserve"> </w:t>
      </w:r>
      <w:hyperlink r:id="rId272" w:history="1">
        <w:r>
          <w:rPr>
            <w:rFonts w:ascii="arial" w:eastAsia="arial" w:hAnsi="arial" w:cs="arial"/>
            <w:i/>
            <w:color w:val="0077CC"/>
            <w:sz w:val="20"/>
            <w:u w:val="single"/>
            <w:shd w:val="clear" w:color="auto" w:fill="FFFFFF"/>
            <w:lang w:val="en-US" w:eastAsia="en-US" w:bidi="ar-SA"/>
          </w:rPr>
          <w:t>(1902), 32 Can. S.C.R. 106</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p. 871)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Vancouver Police Board submits that the relationship between the Board of Police Commissioners and the police force members remained unchanged until 1974 when the members of the police force became "employees of the Board".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While under the 1953 version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the Constables held office "during the pleasure of the Board" of Police Commissioners, I am satisfied that, after the 1945 certification, the Constables were the employees of the Board of Police Commissioners. Thereafter, the phrase "at the pleasure of" referred to the tenure of the members and not to the legal status of employer/employee: </w:t>
      </w:r>
      <w:r>
        <w:rPr>
          <w:rFonts w:ascii="arial" w:eastAsia="arial" w:hAnsi="arial" w:cs="arial"/>
          <w:i/>
          <w:color w:val="000000"/>
          <w:sz w:val="20"/>
          <w:lang w:val="en-US" w:eastAsia="en-US" w:bidi="ar-SA"/>
        </w:rPr>
        <w:t>Martin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It was certainly the assumption of the Labour Relations Board, the Union and the Board of Police Commissioners that the Board of Police Commissioners was the employer. Otherwise, communications between the Board of Police Commissioners, the Union and the Labour Relations Board would have been so badly misguided as to be misleading.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Having entered into an employer-employee relationship as early as 1953 and having consistently dealt with itself as the employer, it is not possible for either the Board of Police Commissioners or the Vancouver Police Board to now take the position that the Board of Police Commissioners was not an employer before 1974 and that it was merely an administrator on behalf of the 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I am satisfied that the 1901 decision in </w:t>
      </w:r>
      <w:r>
        <w:rPr>
          <w:rFonts w:ascii="arial" w:eastAsia="arial" w:hAnsi="arial" w:cs="arial"/>
          <w:i/>
          <w:color w:val="000000"/>
          <w:sz w:val="20"/>
          <w:lang w:val="en-US" w:eastAsia="en-US" w:bidi="ar-SA"/>
        </w:rPr>
        <w:t>Winterbottom</w:t>
      </w:r>
      <w:r>
        <w:rPr>
          <w:rFonts w:ascii="arial" w:eastAsia="arial" w:hAnsi="arial" w:cs="arial"/>
          <w:color w:val="000000"/>
          <w:sz w:val="20"/>
          <w:lang w:val="en-US" w:eastAsia="en-US" w:bidi="ar-SA"/>
        </w:rPr>
        <w:t xml:space="preserve">, the 1923 decision in </w:t>
      </w:r>
      <w:r>
        <w:rPr>
          <w:rFonts w:ascii="arial" w:eastAsia="arial" w:hAnsi="arial" w:cs="arial"/>
          <w:i/>
          <w:color w:val="000000"/>
          <w:sz w:val="20"/>
          <w:lang w:val="en-US" w:eastAsia="en-US" w:bidi="ar-SA"/>
        </w:rPr>
        <w:t>Aikens</w:t>
      </w:r>
      <w:r>
        <w:rPr>
          <w:rFonts w:ascii="arial" w:eastAsia="arial" w:hAnsi="arial" w:cs="arial"/>
          <w:color w:val="000000"/>
          <w:sz w:val="20"/>
          <w:lang w:val="en-US" w:eastAsia="en-US" w:bidi="ar-SA"/>
        </w:rPr>
        <w:t xml:space="preserve">, and the 1953 decision </w:t>
      </w:r>
      <w:r>
        <w:rPr>
          <w:rFonts w:ascii="arial" w:eastAsia="arial" w:hAnsi="arial" w:cs="arial"/>
          <w:i/>
          <w:color w:val="000000"/>
          <w:sz w:val="20"/>
          <w:lang w:val="en-US" w:eastAsia="en-US" w:bidi="ar-SA"/>
        </w:rPr>
        <w:t>MacDonald</w:t>
      </w:r>
      <w:r>
        <w:rPr>
          <w:rFonts w:ascii="arial" w:eastAsia="arial" w:hAnsi="arial" w:cs="arial"/>
          <w:color w:val="000000"/>
          <w:sz w:val="20"/>
          <w:lang w:val="en-US" w:eastAsia="en-US" w:bidi="ar-SA"/>
        </w:rPr>
        <w:t xml:space="preserve"> no longer reflect the reality which was in effect from and after the 1953 certification of the Board of Police Commissioners as the employer. The </w:t>
      </w:r>
      <w:r>
        <w:rPr>
          <w:rFonts w:ascii="arial" w:eastAsia="arial" w:hAnsi="arial" w:cs="arial"/>
          <w:i/>
          <w:color w:val="000000"/>
          <w:sz w:val="20"/>
          <w:lang w:val="en-US" w:eastAsia="en-US" w:bidi="ar-SA"/>
        </w:rPr>
        <w:t>indicia</w:t>
      </w:r>
      <w:r>
        <w:rPr>
          <w:rFonts w:ascii="arial" w:eastAsia="arial" w:hAnsi="arial" w:cs="arial"/>
          <w:color w:val="000000"/>
          <w:sz w:val="20"/>
          <w:lang w:val="en-US" w:eastAsia="en-US" w:bidi="ar-SA"/>
        </w:rPr>
        <w:t xml:space="preserve"> of an employer-employee relationship was in place from and after July 2, 1953 when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superseded the </w:t>
      </w:r>
      <w:r>
        <w:rPr>
          <w:rFonts w:ascii="arial" w:eastAsia="arial" w:hAnsi="arial" w:cs="arial"/>
          <w:i/>
          <w:color w:val="000000"/>
          <w:sz w:val="20"/>
          <w:lang w:val="en-US" w:eastAsia="en-US" w:bidi="ar-SA"/>
        </w:rPr>
        <w:t>Vancouver Incorporation Act 1921</w:t>
      </w:r>
      <w:r>
        <w:rPr>
          <w:rFonts w:ascii="arial" w:eastAsia="arial" w:hAnsi="arial" w:cs="arial"/>
          <w:color w:val="000000"/>
          <w:sz w:val="20"/>
          <w:lang w:val="en-US" w:eastAsia="en-US" w:bidi="ar-SA"/>
        </w:rPr>
        <w:t xml:space="preserve">. Under s. 460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the Board had the power to suspend any member of the police force as they had the power to delegate the ability to the Chief Constable to suspend any member of the police force. Under s. 463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the Board of Police Commissioners could make regulations for the discipline, control, efficiency and government of the members of the police force and each member of the police force was to obey the lawful directions and be subject to the control, discipline and government of the Board.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 make no determination of whether the Board of Police Commissioners was in a relationship of proximity with Mr. Gulkison so that it would be reasonably foreseeable that he would affected by any alleged failure of the Board of Police Commissioners to discharge its duties in a non-negligent manner. However, to the extent that it will ultimately be found that the Board of Police Commissioners is liable to Mr. Gulkison, that liability will accrue to the Vancouver Police Board. As well, I do not express an opinion as to whether any action available to Mr. Gulkison against the Vancouver Police Board is barred as a result of the expiry of any limitation period that governs proceedings which might have been available to Mr. Gulkison by virtue of the alleged sexual assaults which took place between 1957 and 1969.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 have concluded that the Vancouver Police Board is liable for any liabilities or damages that may be attributed to the Board of Police Commissioners. Accordingly, the action of the Plaintiff against the Vancouver Police Board is not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Plaintiff will be entitled to his costs of this application in any event of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G.D. BURNYEAT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93" style="position:absolute;z-index:25187225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78"/>
          <w:headerReference w:type="default" r:id="rId279"/>
          <w:footerReference w:type="even" r:id="rId280"/>
          <w:footerReference w:type="default" r:id="rId281"/>
          <w:headerReference w:type="first" r:id="rId282"/>
          <w:footerReference w:type="first" r:id="rId28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84" w:history="1">
        <w:r>
          <w:rPr>
            <w:rFonts w:ascii="arial" w:eastAsia="arial" w:hAnsi="arial" w:cs="arial"/>
            <w:b/>
            <w:bCs/>
            <w:i/>
            <w:color w:val="0077CC"/>
            <w:kern w:val="32"/>
            <w:sz w:val="28"/>
            <w:szCs w:val="32"/>
            <w:u w:val="single"/>
            <w:shd w:val="clear" w:color="auto" w:fill="FFFFFF"/>
            <w:lang w:val="en-US" w:eastAsia="en-US" w:bidi="ar-SA"/>
          </w:rPr>
          <w:t>Harris v. Sweet, [2006] B.C.J. No. 1123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Master Donaldson</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12,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16,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S020633</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[2006] B.C.J. No. 1123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2006 BCSC 785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151 A.C.W.S. (3d) 202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William James Harris, plaintiff, and Todd Sweet and City of New Westminster and Todd Matsumoto,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94" style="position:absolute;z-index:2516725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98" w:name="Keywords_12"/>
      <w:bookmarkEnd w:id="98"/>
      <w:r>
        <w:rPr>
          <w:rFonts w:ascii="arial" w:eastAsia="arial" w:hAnsi="arial" w:cs="arial"/>
          <w:b/>
          <w:color w:val="000000"/>
          <w:sz w:val="20"/>
          <w:lang w:val="en-US" w:eastAsia="en-US" w:bidi="ar-SA"/>
        </w:rPr>
        <w:t>Civil procedure — Pleadings — Amendment of — Statement of claim — To alter or add to claim for relief — Striking out pleadings or allegations — Grounds — Failure to disclose a cause of action or defence — Application by Harris to amend a paragraph of the Statement of Claim to allege that the Supervising Police Officers of the City of New Westminster had a duty of care to Harris to adequately train and supervise a municipal constable dismissed — Cross-application by the City to strike out the same paragraph as it disclosed no reasonable claim allowed — There was no particulars to form the basis of an allegation of negligent supervision as the necessary proximity between the parties to ground a duty of care had not been proven — Rules of Court, Rule 19(24)(a).</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Municipal law — Liabilities of municipality — Tortious liability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Application by Harris to amend a paragraph of the Statement of Claim to allege that the Supervising Police Officers of the City of New Westminster had a duty of care to Harris to adequately train and supervise a municipal constable dismissed — Cross-application by the City to strike out the same paragraph as it disclosed no reasonable claim allowed — There was no particulars to form the basis of an allegation of negligent supervision as the necessary proximity between the parties to ground a duty of care had not been proven.</w:t>
      </w:r>
    </w:p>
    <w:p>
      <w:pPr>
        <w:jc w:val="both"/>
        <w:rPr>
          <w:rFonts w:ascii="arial" w:eastAsia="arial" w:hAnsi="arial" w:cs="arial"/>
          <w:sz w:val="20"/>
          <w:lang w:val="en-US" w:eastAsia="en-US" w:bidi="ar-SA"/>
        </w:rPr>
      </w:pPr>
      <w:bookmarkStart w:id="99" w:name="Legislation Cited_11"/>
      <w:bookmarkEnd w:id="9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95" style="position:absolute;z-index:2517237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Rules of Court, Rule 19(24)(a)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Police Act, s. 15(1), s. 34(1)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00" w:name="Counsel_13"/>
      <w:bookmarkEnd w:id="100"/>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96" style="position:absolute;z-index:2517749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S.R. Schachter, Q.C. and J.C. MacInnis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J.R. Singleton, Q.C. and S.J. Berezowskyj</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01" w:name="Judgment_13"/>
      <w:bookmarkEnd w:id="101"/>
      <w:r>
        <w:pict>
          <v:line id="_x0000_s1097" style="position:absolute;z-index:251825152"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5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02" w:name="MASTER DONALDSON"/>
            <w:bookmarkEnd w:id="102"/>
            <w:r>
              <w:rPr>
                <w:rFonts w:ascii="arial" w:eastAsia="arial" w:hAnsi="arial" w:cs="arial"/>
                <w:b/>
                <w:color w:val="000000"/>
                <w:sz w:val="30"/>
                <w:lang w:val="en-US" w:eastAsia="en-US" w:bidi="ar-SA"/>
              </w:rPr>
              <w:t>MASTER DONALDSON</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application today arises from an incident which occurred the 31st of October 1999 in New Westminster. A claim is brought by the plaintiff in a writ and statement of claim filed the 21st of January 2000 which was amended the 27th of July 2001. There are cross applications. The application by the defendant is to strike paragraph 7 of the statement of claim and the application by the plaintiff is to amend paragraph 7. Paragraph 7 states the following:</w:t>
      </w:r>
      <w:r>
        <w:rPr>
          <w:rFonts w:ascii="arial" w:eastAsia="arial" w:hAnsi="arial" w:cs="arial"/>
          <w:sz w:val="20"/>
          <w:lang w:val="en-US" w:eastAsia="en-US" w:bidi="ar-SA"/>
        </w:rPr>
        <w:cr/>
      </w:r>
    </w:p>
    <w:p>
      <w:pPr>
        <w:numPr>
          <w:numId w:val="1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injuries resulted from and were aggravated by the negligent conduct of the Defendant City of New Westminster, particulars of which include:</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adequately train its personnel;</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adequately supervise its personnel;</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City of New Westminster knew or ought to have known that the Defendant Todd Sweet was prone to using excessive physical force and to committing assault and battery or other violent, unlawful behaviour in the course and scope of his duties as a municipal constable, and yet failed to take steps to correct his behaviour or remove him from his duties;</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provide adequate education, skill development and counselling in anger management to its employees;</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Employing persons with a capability and capacity for physical force and violent behaviours and in not taking safeguards to prevent the excessive or unreasonable use of same;</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Permitting, encouraging or failing to discourage police officers from the use of excessive and unnecessary force.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concedes that 7a, b, d, e and f should be struck but seeks to amend 7c so as to read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7C Having regard to the facts set out in paragraphs 7, 7A and 7B herein, the Supervising Officers owed to the Plaintiff a duty of care to adequately train and supervise the Defendant Todd Sweet.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At the completion of the hearing counsel advised me that the matter is set for trial to commence the 12th of June 2006. These reasons are not as extensive as they might otherwise be as a result of the rapidly-approaching trial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plaintiff contends the City has a direct liability arising from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supervising officers.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defendants state that there is no private law duty of care owed by the City or the supervising officers which gives rise to liability to the plaintiff in damages and so the amendments sought should not be allowed and paragraph 7 of the statement of defence as it exists should be struck. Rule 19(24)(a) of the </w:t>
      </w:r>
      <w:r>
        <w:rPr>
          <w:rFonts w:ascii="arial" w:eastAsia="arial" w:hAnsi="arial" w:cs="arial"/>
          <w:b/>
          <w:color w:val="000000"/>
          <w:sz w:val="20"/>
          <w:lang w:val="en-US" w:eastAsia="en-US" w:bidi="ar-SA"/>
        </w:rPr>
        <w:t>Rules of Court</w:t>
      </w:r>
      <w:r>
        <w:rPr>
          <w:rFonts w:ascii="arial" w:eastAsia="arial" w:hAnsi="arial" w:cs="arial"/>
          <w:color w:val="000000"/>
          <w:sz w:val="20"/>
          <w:lang w:val="en-US" w:eastAsia="en-US" w:bidi="ar-SA"/>
        </w:rPr>
        <w:t xml:space="preserve"> provides:</w:t>
      </w:r>
      <w:r>
        <w:rPr>
          <w:rFonts w:ascii="arial" w:eastAsia="arial" w:hAnsi="arial" w:cs="arial"/>
          <w:sz w:val="20"/>
          <w:lang w:val="en-US" w:eastAsia="en-US" w:bidi="ar-SA"/>
        </w:rPr>
        <w:cr/>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At any stage of a proceeding the court may order to be struck out or amended the whole or any part of an endorsement, pleading, petition or other document on the ground that</w:t>
      </w:r>
    </w:p>
    <w:p>
      <w:pPr>
        <w:numPr>
          <w:numId w:val="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discloses no reasonable claim or defence as the case may be,</w:t>
      </w:r>
    </w:p>
    <w:p>
      <w:pPr>
        <w:numPr>
          <w:numId w:val="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unnecessary, scandalous, frivolous or vexatious,</w:t>
      </w:r>
    </w:p>
    <w:p>
      <w:pPr>
        <w:numPr>
          <w:numId w:val="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may prejudice, embarrass or delay the fair trial or hearing or the proceeding, or</w:t>
      </w:r>
    </w:p>
    <w:p>
      <w:pPr>
        <w:numPr>
          <w:numId w:val="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otherwise an abuse of the process of the court,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and the court may grant judgment or order the proceeding to be stayed or dismissed and may order the costs of the application to be paid as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 defendant contends that neither the City nor the supervising officers are liable and negligent unless they have an obligation or duty in the circumstances to take reasonable care such a duty is determined in accordance with a two-stage framework as set out in </w:t>
      </w:r>
      <w:r>
        <w:rPr>
          <w:rFonts w:ascii="arial" w:eastAsia="arial" w:hAnsi="arial" w:cs="arial"/>
          <w:b/>
          <w:i/>
          <w:color w:val="000000"/>
          <w:sz w:val="20"/>
          <w:lang w:val="en-US" w:eastAsia="en-US" w:bidi="ar-SA"/>
        </w:rPr>
        <w:t>Anns v. London Borough of Merton</w:t>
      </w:r>
      <w:r>
        <w:rPr>
          <w:rFonts w:ascii="arial" w:eastAsia="arial" w:hAnsi="arial" w:cs="arial"/>
          <w:color w:val="000000"/>
          <w:sz w:val="20"/>
          <w:lang w:val="en-US" w:eastAsia="en-US" w:bidi="ar-SA"/>
        </w:rPr>
        <w:t>, [1978] A.C. 728:</w:t>
      </w:r>
      <w:r>
        <w:rPr>
          <w:rFonts w:ascii="arial" w:eastAsia="arial" w:hAnsi="arial" w:cs="arial"/>
          <w:sz w:val="20"/>
          <w:lang w:val="en-US" w:eastAsia="en-US" w:bidi="ar-SA"/>
        </w:rPr>
        <w:cr/>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harm complained of must be a reasonably foreseeable consequence of the alleged acts or omissions,</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must be sufficient proximity between the parties that it would not be unjust or unfair to impose a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In this matter the </w:t>
      </w:r>
      <w:r>
        <w:rPr>
          <w:rFonts w:ascii="arial" w:eastAsia="arial" w:hAnsi="arial" w:cs="arial"/>
          <w:b/>
          <w:i/>
          <w:color w:val="000000"/>
          <w:sz w:val="20"/>
          <w:lang w:val="en-US" w:eastAsia="en-US" w:bidi="ar-SA"/>
        </w:rPr>
        <w:t>Police Act</w:t>
      </w:r>
      <w:r>
        <w:rPr>
          <w:rFonts w:ascii="arial" w:eastAsia="arial" w:hAnsi="arial" w:cs="arial"/>
          <w:color w:val="000000"/>
          <w:sz w:val="20"/>
          <w:lang w:val="en-US" w:eastAsia="en-US" w:bidi="ar-SA"/>
        </w:rPr>
        <w:t xml:space="preserve"> applies; s. 15(1) sets out the duties of the City and s. 34(1) the duties of the Chief Constable. Reliance is placed by counsel for the defendant on the decision of the Supreme Court of Canada in </w:t>
      </w:r>
      <w:r>
        <w:rPr>
          <w:rFonts w:ascii="arial" w:eastAsia="arial" w:hAnsi="arial" w:cs="arial"/>
          <w:b/>
          <w:i/>
          <w:color w:val="000000"/>
          <w:sz w:val="20"/>
          <w:lang w:val="en-US" w:eastAsia="en-US" w:bidi="ar-SA"/>
        </w:rPr>
        <w:t>Odhavji Estate v. Woodhouse</w:t>
      </w:r>
      <w:r>
        <w:rPr>
          <w:rFonts w:ascii="arial" w:eastAsia="arial" w:hAnsi="arial" w:cs="arial"/>
          <w:color w:val="000000"/>
          <w:sz w:val="20"/>
          <w:lang w:val="en-US" w:eastAsia="en-US" w:bidi="ar-SA"/>
        </w:rPr>
        <w:t xml:space="preserve">, </w:t>
      </w:r>
      <w:hyperlink r:id="rId285" w:history="1">
        <w:r>
          <w:rPr>
            <w:rFonts w:ascii="arial" w:eastAsia="arial" w:hAnsi="arial" w:cs="arial"/>
            <w:i/>
            <w:color w:val="0077CC"/>
            <w:sz w:val="20"/>
            <w:u w:val="single"/>
            <w:shd w:val="clear" w:color="auto" w:fill="FFFFFF"/>
            <w:lang w:val="en-US" w:eastAsia="en-US" w:bidi="ar-SA"/>
          </w:rPr>
          <w:t>[2003] 3 S.C.R. 263</w:t>
        </w:r>
      </w:hyperlink>
      <w:r>
        <w:rPr>
          <w:rFonts w:ascii="arial" w:eastAsia="arial" w:hAnsi="arial" w:cs="arial"/>
          <w:color w:val="000000"/>
          <w:sz w:val="20"/>
          <w:lang w:val="en-US" w:eastAsia="en-US" w:bidi="ar-SA"/>
        </w:rPr>
        <w:t xml:space="preserve">. The plaintiff there was able to maintain an action against the Chief of Police as he had a duty to ensure the defendant officers cooperated with the special investigation unit and their failure to do so it was concluded would injure the plaintiff. The defendant contends the statutory duties there are more specific than those applicable by B.C. legislation. Here the defendant states that there is not sufficient proximity between the plaintiff and the City and/or the supervising officers such as to establish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to the plaintiff. Counsel points out that the plaintiff is not without remedy as he has a claim against the two defendant officers Sweet and Matsumoto and by legislation.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There are two decisions of the Supreme Court which are relied upon by both the plaintiff and defendants. These are </w:t>
      </w:r>
      <w:r>
        <w:rPr>
          <w:rFonts w:ascii="arial" w:eastAsia="arial" w:hAnsi="arial" w:cs="arial"/>
          <w:b/>
          <w:i/>
          <w:color w:val="000000"/>
          <w:sz w:val="20"/>
          <w:lang w:val="en-US" w:eastAsia="en-US" w:bidi="ar-SA"/>
        </w:rPr>
        <w:t>Ribeiro v. Vancouver (City)</w:t>
      </w:r>
      <w:r>
        <w:rPr>
          <w:rFonts w:ascii="arial" w:eastAsia="arial" w:hAnsi="arial" w:cs="arial"/>
          <w:color w:val="000000"/>
          <w:sz w:val="20"/>
          <w:lang w:val="en-US" w:eastAsia="en-US" w:bidi="ar-SA"/>
        </w:rPr>
        <w:t xml:space="preserve">, </w:t>
      </w:r>
      <w:hyperlink r:id="rId286" w:history="1">
        <w:r>
          <w:rPr>
            <w:rFonts w:ascii="arial" w:eastAsia="arial" w:hAnsi="arial" w:cs="arial"/>
            <w:i/>
            <w:color w:val="0077CC"/>
            <w:sz w:val="20"/>
            <w:u w:val="single"/>
            <w:shd w:val="clear" w:color="auto" w:fill="FFFFFF"/>
            <w:lang w:val="en-US" w:eastAsia="en-US" w:bidi="ar-SA"/>
          </w:rPr>
          <w:t>[2005] B.C.J. No. 579</w:t>
        </w:r>
      </w:hyperlink>
      <w:r>
        <w:rPr>
          <w:rFonts w:ascii="arial" w:eastAsia="arial" w:hAnsi="arial" w:cs="arial"/>
          <w:color w:val="000000"/>
          <w:sz w:val="20"/>
          <w:lang w:val="en-US" w:eastAsia="en-US" w:bidi="ar-SA"/>
        </w:rPr>
        <w:t xml:space="preserve">, which I will refer to as </w:t>
      </w:r>
      <w:r>
        <w:rPr>
          <w:rFonts w:ascii="arial" w:eastAsia="arial" w:hAnsi="arial" w:cs="arial"/>
          <w:b/>
          <w:i/>
          <w:color w:val="000000"/>
          <w:sz w:val="20"/>
          <w:lang w:val="en-US" w:eastAsia="en-US" w:bidi="ar-SA"/>
        </w:rPr>
        <w:t>Ribeiro</w:t>
      </w:r>
      <w:r>
        <w:rPr>
          <w:rFonts w:ascii="arial" w:eastAsia="arial" w:hAnsi="arial" w:cs="arial"/>
          <w:color w:val="000000"/>
          <w:sz w:val="20"/>
          <w:lang w:val="en-US" w:eastAsia="en-US" w:bidi="ar-SA"/>
        </w:rPr>
        <w:t xml:space="preserve"> No. #1 and </w:t>
      </w:r>
      <w:r>
        <w:rPr>
          <w:rFonts w:ascii="arial" w:eastAsia="arial" w:hAnsi="arial" w:cs="arial"/>
          <w:b/>
          <w:i/>
          <w:color w:val="000000"/>
          <w:sz w:val="20"/>
          <w:lang w:val="en-US" w:eastAsia="en-US" w:bidi="ar-SA"/>
        </w:rPr>
        <w:t>Ribeiro v. Vancouver (City)</w:t>
      </w:r>
      <w:r>
        <w:rPr>
          <w:rFonts w:ascii="arial" w:eastAsia="arial" w:hAnsi="arial" w:cs="arial"/>
          <w:color w:val="000000"/>
          <w:sz w:val="20"/>
          <w:lang w:val="en-US" w:eastAsia="en-US" w:bidi="ar-SA"/>
        </w:rPr>
        <w:t xml:space="preserve">, </w:t>
      </w:r>
      <w:hyperlink r:id="rId287" w:history="1">
        <w:r>
          <w:rPr>
            <w:rFonts w:ascii="arial" w:eastAsia="arial" w:hAnsi="arial" w:cs="arial"/>
            <w:i/>
            <w:color w:val="0077CC"/>
            <w:sz w:val="20"/>
            <w:u w:val="single"/>
            <w:shd w:val="clear" w:color="auto" w:fill="FFFFFF"/>
            <w:lang w:val="en-US" w:eastAsia="en-US" w:bidi="ar-SA"/>
          </w:rPr>
          <w:t>[2005] B.C.J. No. 1273</w:t>
        </w:r>
      </w:hyperlink>
      <w:r>
        <w:rPr>
          <w:rFonts w:ascii="arial" w:eastAsia="arial" w:hAnsi="arial" w:cs="arial"/>
          <w:color w:val="000000"/>
          <w:sz w:val="20"/>
          <w:lang w:val="en-US" w:eastAsia="en-US" w:bidi="ar-SA"/>
        </w:rPr>
        <w:t xml:space="preserve">, which I will refer to as </w:t>
      </w:r>
      <w:r>
        <w:rPr>
          <w:rFonts w:ascii="arial" w:eastAsia="arial" w:hAnsi="arial" w:cs="arial"/>
          <w:b/>
          <w:i/>
          <w:color w:val="000000"/>
          <w:sz w:val="20"/>
          <w:lang w:val="en-US" w:eastAsia="en-US" w:bidi="ar-SA"/>
        </w:rPr>
        <w:t>Ribeiro</w:t>
      </w:r>
      <w:r>
        <w:rPr>
          <w:rFonts w:ascii="arial" w:eastAsia="arial" w:hAnsi="arial" w:cs="arial"/>
          <w:color w:val="000000"/>
          <w:sz w:val="20"/>
          <w:lang w:val="en-US" w:eastAsia="en-US" w:bidi="ar-SA"/>
        </w:rPr>
        <w:t xml:space="preserve"> No. #2. Both are decisions of Madam Justice Kirkpatrick, as she then was, in Chambers. In </w:t>
      </w:r>
      <w:r>
        <w:rPr>
          <w:rFonts w:ascii="arial" w:eastAsia="arial" w:hAnsi="arial" w:cs="arial"/>
          <w:b/>
          <w:i/>
          <w:color w:val="000000"/>
          <w:sz w:val="20"/>
          <w:lang w:val="en-US" w:eastAsia="en-US" w:bidi="ar-SA"/>
        </w:rPr>
        <w:t>Ribeiro</w:t>
      </w:r>
      <w:r>
        <w:rPr>
          <w:rFonts w:ascii="arial" w:eastAsia="arial" w:hAnsi="arial" w:cs="arial"/>
          <w:color w:val="000000"/>
          <w:sz w:val="20"/>
          <w:lang w:val="en-US" w:eastAsia="en-US" w:bidi="ar-SA"/>
        </w:rPr>
        <w:t xml:space="preserve"> No. #2 the plaintiff was permitted to amend to raise an allegation of negligent supervision. It is obvious the pleadings in </w:t>
      </w:r>
      <w:r>
        <w:rPr>
          <w:rFonts w:ascii="arial" w:eastAsia="arial" w:hAnsi="arial" w:cs="arial"/>
          <w:b/>
          <w:i/>
          <w:color w:val="000000"/>
          <w:sz w:val="20"/>
          <w:lang w:val="en-US" w:eastAsia="en-US" w:bidi="ar-SA"/>
        </w:rPr>
        <w:t>Ribeiro</w:t>
      </w:r>
      <w:r>
        <w:rPr>
          <w:rFonts w:ascii="arial" w:eastAsia="arial" w:hAnsi="arial" w:cs="arial"/>
          <w:color w:val="000000"/>
          <w:sz w:val="20"/>
          <w:lang w:val="en-US" w:eastAsia="en-US" w:bidi="ar-SA"/>
        </w:rPr>
        <w:t xml:space="preserve"> included extensive allegations of failures in the procedures followed by the defendant officers in their interaction with Ribeiro. Madam Justice Kirkpatrick refers to a number of paragraphs in the statement of claim in her reasons at paragraphs 35, 36 and 38.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Here there are no such particulars to form the basis of an allegation of negligent supervision. The sought for amendment to paragraph 7 includes reference to Todd Sweet having "a pre-disposition ... to use unreasonable and excessive force in carrying out his duties as a police officer", but little more.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There is no indication that there had been any prior interaction of the plaintiff with either of the defendant officers and I am satisfied that there can therefore be no more than a general duty to the public as opposed to the necessary proximity which is referred to in </w:t>
      </w:r>
      <w:r>
        <w:rPr>
          <w:rFonts w:ascii="arial" w:eastAsia="arial" w:hAnsi="arial" w:cs="arial"/>
          <w:b/>
          <w:i/>
          <w:color w:val="000000"/>
          <w:sz w:val="20"/>
          <w:lang w:val="en-US" w:eastAsia="en-US" w:bidi="ar-SA"/>
        </w:rPr>
        <w:t>Odhavji</w:t>
      </w:r>
      <w:r>
        <w:rPr>
          <w:rFonts w:ascii="arial" w:eastAsia="arial" w:hAnsi="arial" w:cs="arial"/>
          <w:color w:val="000000"/>
          <w:sz w:val="20"/>
          <w:lang w:val="en-US" w:eastAsia="en-US" w:bidi="ar-SA"/>
        </w:rPr>
        <w:t xml:space="preserve"> or </w:t>
      </w:r>
      <w:r>
        <w:rPr>
          <w:rFonts w:ascii="arial" w:eastAsia="arial" w:hAnsi="arial" w:cs="arial"/>
          <w:b/>
          <w:i/>
          <w:color w:val="000000"/>
          <w:sz w:val="20"/>
          <w:lang w:val="en-US" w:eastAsia="en-US" w:bidi="ar-SA"/>
        </w:rPr>
        <w:t>Ribeiro</w:t>
      </w:r>
      <w:r>
        <w:rPr>
          <w:rFonts w:ascii="arial" w:eastAsia="arial" w:hAnsi="arial" w:cs="arial"/>
          <w:color w:val="000000"/>
          <w:sz w:val="20"/>
          <w:lang w:val="en-US" w:eastAsia="en-US" w:bidi="ar-SA"/>
        </w:rPr>
        <w:t xml:space="preserve"> No. #2 as to form the basis for the amendment sought by the plaintiff; thus the application of the defendant to strike paragraph 7 in its entirety is allowed and the application of the plaintiff to amend paragraph 7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MASTER DONALDSON PER MASTER BOLTON</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98" style="position:absolute;z-index:25187328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88"/>
          <w:headerReference w:type="default" r:id="rId289"/>
          <w:footerReference w:type="even" r:id="rId290"/>
          <w:footerReference w:type="default" r:id="rId291"/>
          <w:headerReference w:type="first" r:id="rId292"/>
          <w:footerReference w:type="first" r:id="rId29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94" w:history="1">
        <w:r>
          <w:rPr>
            <w:rFonts w:ascii="arial" w:eastAsia="arial" w:hAnsi="arial" w:cs="arial"/>
            <w:b/>
            <w:bCs/>
            <w:i/>
            <w:color w:val="0077CC"/>
            <w:kern w:val="32"/>
            <w:sz w:val="28"/>
            <w:szCs w:val="32"/>
            <w:u w:val="single"/>
            <w:shd w:val="clear" w:color="auto" w:fill="FFFFFF"/>
            <w:lang w:val="en-US" w:eastAsia="en-US" w:bidi="ar-SA"/>
          </w:rPr>
          <w:t>Jackson v. Rooney, [2007] B.C.J. No. 1199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Gray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22 - 26 and 30, 2007 (New</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Westminster), and February 1, 2007 (Vancouver)</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1,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New Westminster Registry No. S79796</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[2007] B.C.J. No. 1199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2007 BCSC 761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159 A.C.W.S. (3d) 217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Brenda Jackson, Plaintiff, and Stephanie Rooney and Kenneth Leigh Rooney,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(163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99" style="position:absolute;z-index:2516736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03" w:name="Keywords_13"/>
      <w:bookmarkEnd w:id="103"/>
      <w:r>
        <w:rPr>
          <w:rFonts w:ascii="arial" w:eastAsia="arial" w:hAnsi="arial" w:cs="arial"/>
          <w:b/>
          <w:color w:val="000000"/>
          <w:sz w:val="20"/>
          <w:lang w:val="en-US" w:eastAsia="en-US" w:bidi="ar-SA"/>
        </w:rPr>
        <w:t>Damages — Physical injuries — Body injuries — Neck — Back — Age of claimant — 46 to 55 — Non-pecuniary award — $60,001 to $80,000 — Assessment of plaintiff's damages suffered in motor vehicle accident — Plaintiff, 47, medical laboratory technician, progressed to management position after accident and earned $90,000 annually — Due to physical strain of regular lab work, plaintiff likely unable to return to laboratory work — Pre-existing degenerative disease — No symptoms prior to accident — Plaintiff entitled to non-pecuniary damages of $75,000, loss of earning capacity of $75,000, future care costs and loss of income — Neck surgery required due to accident and degenerative changes.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04" w:name="Case Summary_12"/>
            <w:bookmarkEnd w:id="10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Assessment of plaintiff's damages suffered in motor vehicle accident -- Plaintiff underwent fusion of cervical spine three and one-half years after accident -- At issue was whether surgery resulted from accident or from pre-existing degenerative disc disease -- Plaintiff, medical laboratory technologist, had no symptoms of neck or back problems prior to accident -- At time of accident, plaintiff was 42 years old -- After accident, plaintiff had pain in neck, shoulder, back and felt tingling in left hand -- Plaintiff returned to work full time within four weeks after accident -- Tingling and numbness in left arm worsened -- Plaintiff diagnosed with degenerative disc disease in 2002 -- Plaintiff suffered flare-up of head, neck, and shoulder pain and pain radiating down her left arm in 2003 -- Plaintiff promoted to laboratory manager in 2004 -- Neck surgery in 2005 largely alleviated plaintiff's symptoms -- At trial, plaintiff was 47 and earned $90,000 annually -- Plaintiff still had occasional headaches and suffered numbness and tingling -- HELD: Plaintiff entitled to damages arising from surgery -- Plaintiff established that neck surgery would not have been required but for both degenerative changes and onset of symptoms -- Court accepted plaintiff's medical evidence that accident caused symptoms which, together with the degenerative symptoms, led to surgery -- Plaintiff's symptoms reduced her ability to fully participate in family life and recreational activities such as skiing -- Non-pecuniary damages of $75,000 awarded -- Damages of $4,265 for past loss of income -- Plaintiff lost capacity to return to regular laboratory bench work, due to strain it would put on her neck, and because of problems with left hand dexterity -- Real possibility that plaintiff might be unemployed for periods because due to inability to work as technician -- $75,000 awarded for lost earning capacity -- Damages of $5,000 for cost of future care awarded -- Special damages of $8,244 awarded.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05" w:name="Counsel_14"/>
      <w:bookmarkEnd w:id="10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00" style="position:absolute;z-index:2517248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Shelley J. Henshaw, Kendelle L. Pollitt.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J. Derek James.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06" w:name="Judgment_14"/>
      <w:bookmarkEnd w:id="106"/>
      <w:r>
        <w:pict>
          <v:line id="_x0000_s1101" style="position:absolute;z-index:25177600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4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07" w:name="GRAY J."/>
            <w:bookmarkEnd w:id="107"/>
            <w:r>
              <w:rPr>
                <w:rFonts w:ascii="arial" w:eastAsia="arial" w:hAnsi="arial" w:cs="arial"/>
                <w:b/>
                <w:color w:val="000000"/>
                <w:sz w:val="30"/>
                <w:lang w:val="en-US" w:eastAsia="en-US" w:bidi="ar-SA"/>
              </w:rPr>
              <w:t>GRAY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Ms. Jackson was injured in a motor vehicle accident on October 24, 2001. The defendants admit liability for the accident. Ms. Jackson underwent a fusion of her cervical spine at the level of vertebrae C5-6 and C6-7 on June 29, 2005, about three and one-half years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At the seven-day trial for the assessment of Ms. Jackson's damages, the primary issue was whether the neck surgery was a result of the accident. The position of the defendants is that Ms. Jackson's surgery resulted from degenerative changes that would have resulted in surgery even if Ms. Jackson had not been injured in the accident. The defendants argued that the accident may have resulted in Ms. Jackson requiring surgery a year or two before she would have required it if the accident had not occurred, but that the need for surgery itself was not caused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defence argued that determining when Ms. Jackson first experienced tingling, also called parasthesias, in her left arm and hand (as distinct from numbness), is important for determining whether her neck problems arose from the accident or from degenerative changes.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While not presented as a global figure, on my calculations, Ms. Jackson claimed about $360,000 in damages. The defence position is that an award of about $35,000 will adequately compensate Ms. Jackson for her injuries from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FACTS</w:t>
      </w:r>
      <w:r>
        <w:rPr>
          <w:rFonts w:ascii="arial" w:eastAsia="arial" w:hAnsi="arial" w:cs="arial"/>
          <w:sz w:val="20"/>
          <w:lang w:val="en-US" w:eastAsia="en-US" w:bidi="ar-SA"/>
        </w:rPr>
        <w:cr/>
      </w:r>
    </w:p>
    <w:p>
      <w:pPr>
        <w:numPr>
          <w:numId w:val="113"/>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Ms. Jackson qualified as a medical laboratory technologist ("MLT") in Alberta in 1979. MLT work is usually physically demanding. About half the work for most MLTs is at a microscope. This requires the MLT to hold his or her neck in a sustained position for prolonged periods while looking through a microscope. The job generally involves a lot of repetitious manual work, often using hands at eye level while standing or sitting at a work bench. Ms. Jackson referred to this work as "bench work". The work requires dexterity and steadiness to avoid contaminating samples, particularly because MLTs usually wear rubber gloves.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Following a practicuum year, Ms. Jackson worked for about 16 years, from 1981 to 1997, for the office of the chief medical examiner in the department of justice in Alberta. She worked in "toxicology" and eventually became the senior MLT in that area. She loved the job, and left only because her husband took a job in Guelph, Ontario.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and Ms. Jackson's son, Taylor, was born in 1991. Ms. Jackson took a six-month maternity leave and returned to work full-time.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1997, the Jackson family moved to Guelph. Ms. Jackson obtained work as an MLT in a private clinic.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Jackson family moved to Langley, B.C. in early 2000. Ms. Jackson worked from February to June 2000 at Surrey Memorial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 June 12, 2000, Ms. Jackson started working for B.C. Biomedical ("B.C. Bio") in Surrey B.C. She worked initially in toxicology, an area in which most MLTs have little training. Ms. Jackson had significant expertise in that area from her experience with the chief medical examiner in Alberta, and she has a particular passion for toxicology.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October, 2001, Ms. Jackson was employed fulltime as an MLT at B.C. Bio earning about $50,500 per year. She worked a nine day fortnight of almost eight hours per day. She was a hard worker and served as a resource for other MLTs in the area of toxicology.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Before the accident, Ms. Jackson went golfing about four or five times per year, and went to the driving range more frequently. She went skiing once or twice a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Both before and after the accident, the plaintiff's husband, Mr. Jackson, has worked in sales in a position requiring him to be away from home one to two weeks per month. He has experience in negotiating contracts involving what are often termed "big-box" stores, meaning large high-volume retail stores.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Jackson has played hockey all of his life, including at the high AA level when he was young. He described himself as an average golfer. He is also an active skier.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Before the accident, the Jacksons hoped that Taylor would enjoy golf and skiing and that they could pursue those sports as a family. Family life for the Jacksons centred around Taylor's hockey games.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Ms. Jackson did not have any symptoms of neck or back problems prior to the accident. Her health was excellent. She was off work on average less than one day per year due to illness. She had a thyroid problem which was under control through medication. Prior to Taylor's birth, she had suffered from migraines, but following his birth, the frequency decreased to about one migraine headache per year.</w:t>
      </w:r>
      <w:r>
        <w:rPr>
          <w:rFonts w:ascii="arial" w:eastAsia="arial" w:hAnsi="arial" w:cs="arial"/>
          <w:sz w:val="20"/>
          <w:lang w:val="en-US" w:eastAsia="en-US" w:bidi="ar-SA"/>
        </w:rPr>
        <w:cr/>
      </w:r>
    </w:p>
    <w:p>
      <w:pPr>
        <w:numPr>
          <w:numId w:val="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Ms. Jackson was 42 years old at the time of the accident. She was driving home in her 1998 Chevrolet Malibu, wearing the shoulder and lap belt and with the headrest in place. The accident occurred at about 5:30 p.m. on October 24, 2001, at the intersection of Fraser Highway and 222nd Street, about one block from the Jackson family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Ms. Jackson was travelling about 35 k.p.h. through the intersection on a green light when her car was hit broadside by the defendant's left-turning car. The part of Ms. Jackson's car which was hit by the defendant was about the join between the driver's door and the front panel. Ms. Jackson estimated that the defendant's vehicle was travelling about the same speed as hers. The driver's air bag in Ms. Jackson's vehicle deployed forcefully into her face. Her car then struck a lamp standard on a concrete island and stopped abruptly. Her car was written off as damaged beyond its value.</w:t>
      </w:r>
      <w:r>
        <w:rPr>
          <w:rFonts w:ascii="arial" w:eastAsia="arial" w:hAnsi="arial" w:cs="arial"/>
          <w:sz w:val="20"/>
          <w:lang w:val="en-US" w:eastAsia="en-US" w:bidi="ar-SA"/>
        </w:rPr>
        <w:cr/>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Following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Ms. Jackson was shocked, frightened and disoriented by the accident. She smelled the burning odour from the airbag deployment and worried that her car was on fire. Although she was able to get out of her car within a minute, she had difficulty doing so because of the damage to the driver's door. Ms. Jackson phoned home and told her husband about the accident. The police arrived within minutes.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Ms. Jackson's husband and Taylor, then nine years old, came to the accident site. Taylor was upset and crying, so Ms. Jackson asked her husband to take him home and then to a parent-teacher meeting without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Ms. Jackson did not want her son to worry about her, and after the tow trucks arrived, she walked home, a distance of about a block. She started to feel facial pain and tightening in her neck and shoulders. Her right knee began to hurt and she developed a strong headache. She started feeling nauseous and lightheaded and decided to go to the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Jackson took his wife to Langley Memorial Hospital, arriving around 8:00 p.m. The medical records do not refer to Ms. Jackson reporting numbness or tingling. She was prescribed Tylenol 3 for pain and told to go home and contact her family doctor. She was exhausted, had a headache, and felt pain in her face, neck, shoulder and back. She could not sleep the first night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Two days after the accident, on October 26, 2001, Ms. Jackson went to see Dr. Fagan, her family doctor. She testified that at this time, her face was bruised and swollen, her headache was severe, she was nauseated and could not keep food down, her neck, shoulder and back were stiff, and her knee was sore. She testified that she felt numbness and tingling in her left hand within two or three days of the accident, as she felt things tightening. However, Dr. Fagan's only related note in Ms. Jackson's chart is to the effect that she did not have the feeling of pins and needles in her hands and that her right hand was sore from the airbag. Ms. Jackson could drive, but had to move her whole body to check over her shoulder. She could not find a comfortable position to sit or lie.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Dr. Fagan referred Ms. Jackson for physiotherapy. Ms. Jackson went that day to see Mr. Grant McLean, a physiotherapist. Ms. Jackson was so uncomfortable and tight that Mr. McLean was unable to do a very detailed assessment and he did not attempt treatment that day. His records note "nil paraesthesiae".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McLean treated Ms. Jackson's back and upper neck on October 29, 2001, but she had trouble tolerating the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On November 2, 2001, Ms. Jackson saw Dr. Fagan again. He noted "today left hand numbness, similar sensation after workout with Grant", referring to Grant McLean, the physiotherapist. Even though his notes do not refer to tingling, Dr. Fagan testified that Ms. Jackson reported both numbness and tingling in her left hand after working with Mr. McLean.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About two weeks after the accident, on November 13, 2001, Ms. Jackson commenced a gradual return to work, increasing her hours each day and performing modified duties. By this time, the facial bruising and swelling was resolving. Her headache remained constant. Her upper and lower back were still very tight, and she testified that pain was still radiating down her left arm. Her mid-back and lower back pain had significantly diminished, although some pain remained. Her right knee problems were starting to resolve. She worked only partial shifts at the computer, and did not do the very manual bench work. Her right knee was very sore.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Sunlife paid Ms. Jackson $3,265.41 for disability benefits while she was away from work in the first few weeks after the accident. No taxes were withheld. The agreement between Ms. Jackson and Sunlife requires Ms. Jackson to repay Sunlife if she recovers payment for this salary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About a month after the accident, Ms. Jackson's problems with her right knee went away, as did the facial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On November 26, 2001, Ms. Jackson returned to work full-time.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On November 30, 2001, Ms. Jackson saw Dr. Fagan again. His notes include a reference to "no paresthesias".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December 2001, Dr. Fagan recommended that Ms. Jackson continue with physiotherapy. He also recommended therapeutic massage for her cervical spine. However, she has not had any massage treatments to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Ms. Jackson attended all of Taylor's hockey games around Christmas in 2001, but she had trouble sitting and was in significant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February 2002, about three months following the accident, B.C. Bio promoted Ms. Jackson to the position of acting supervisor of haematology and chemistry. This position included supervision of the toxicology lab. Her duties primarily involved using the computer, and she did not return to doing an extended period of work at a lab bench. Ms. Jackson stopped going to physiotherapy in February 2002 at the suggestion of the Insurance Corporation of 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mid-April 2002, Ms. Jackson made the first note in her pain journal about tingling in her left arm. Around that time, she also stopped suffering from symptoms in her middle and lower back. The symptoms in her neck and shoulders subsided to the point that they were not constant, although she experienced them on a daily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Ms. Jackson resumed receiving physiotherapy treatments in May 2002, because she felt she needed the treatment. Later that month, Ms. Jackson made a note in her pain journal of increased numbness and tingling in her left arm following her attendance at a convention in Calgary.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Around the beginning of June 2002, Ms. Jackson experienced symptoms that were later diagnosed as a transient problem with Bell's Palsy. The problems included drooping on the left side of her face and extra sensitivity to touch. Ms. Jackson did not argue that this was caused by the accident. As a result of this problem, she stopped attending physiotherapy for about six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By October 2002, Ms. Jackson was suffering headaches only once or twice a week. She felt that the symptoms in her neck and shoulders were worsening rather than improving, and she was noticing increased numbness and tingling in her left hand. Her left shoulder started to curve forward and her headaches continued. Her left arm was becoming increasingly weak. She noticed the numbness and tingling mostly in the baby, ring and middle fingers of her left hand.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Ms. Jackson returned to physiotherapy treatments in December 2002 following the hiatus resulting from the Bell's Palsy. Prior to December 2002, Mr. McLean's initial focus during physiotherapy treatments was on Ms. Jackson's left shoulder and her upper neck in the C2-3 area. He did not observe anything to cause him to shift his focus to C5-6 or C6-7 until December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Ms. Jackson's neck was X-rayed on December 3, 2002, about 13 months after the accident, at Valley Medical Imaging. The X-ray report refers to degenerative disc disease at C5-6. It does not refer to any problems at C6-7.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Acting on Dr. Fagan's advice, Ms. Jackson paid for an MRI examination of her neck on December 3, 2002, about 14 months after the accident. The wait for a publicly funded test would have been eight months. Ms. Jackson's special damages claim includes a claim for the MRI cost. The written report from MRI Vancouver refers to degenerative disc disease and disc bulging at C5-6, but nothing at C6-7.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Dr. Fagan referred Ms. Jackson to Dr. Lee, a neurosurgeon, in February 2003, but there was an eight month wait for an appointment.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early 2003, Ms. Jackson did not go to Princeton, B.C. to watch Taylor play hockey in a tournament because of her concern that the long drive would hurt her neck.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By April 2003, Ms. Jackson was experiencing daily pain in her neck and shoulders, although it usually did not last the whole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 late April 2003, Ms. Jackson suffered a flare-up of head, neck, and shoulder pain and pain radiating down her left arm following a dental appointment. She suffered similar problems in July 2003 following a trip on an airplane.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Ms. Jackson was appointed permanent (rather than acting) supervisor of the toxicology area at B.C. Bio in July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Mr. McLean sent Dr. Lee a progress report dated September 18, 2003. He referred to Ms. Jackson having complaints of chronic neck and left arm pain and paresthesia, worse at night, all progressively worse over the past two years. The previous two years was about the period of time following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Ms. Jackson first visited Dr. Lee in October, 2003. He advised her not to golf or ski because of the potential strain those activities would put on her neck.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Dr. Lee saw Ms. Jackson again on December 18, 2003. His recommendation at that time was to continue conservative management, but he told her that there were reasons to consider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In January 2004, Ms. Jackson saw Dr. O'Brien, on referral from Dr. Fagan. She told Dr. O'Brien that over a period of about 11/2 years, she had suffered a problem with intermittent numbness and tingling in her left hand. That period would have begun around July 2002, being about eight months following the accident. This is roughly consistent with Ms. Jackson's notation in her pain journal in April 2002 about tingling in her left arm. Ms. Jackson also reported that her left grip strength seemed weaker than her right, although she was able to do barbell curls equally between the arms.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In February 2004, Ms. Jackson began studies at BCIT for a Bachelor of Technology and Business Management degree, with a health sciences speciality. She took this course in part to demonstrate that she was interested in management, so that she would be a serious contender for a job which was expected to become available at B.C. Bio. Ms. Jackson is continuing this program, and spends about six hours per week on course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In February 2004, Ms. Jackson underwent some nerve studies. They did not support a diagnosis of carpal tunnel syndrome on her left side. The testing did not include tests which would indicate whether she had a problem with a nerve root.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Also in February 2004, Ms. Jackson was in a second motor vehicle accident. A car behind her vehicle failed to stop and she was "rear-ended". She did not suffer any injuries in this 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In March 2004, B.C. Bio promoted Ms. Jackson to the position of laboratory manager of chemistry and haematology where she is responsible for 90 employees.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In May 2004, Ms. Jackson was continuing to suffer pain. Dr. Fagan agreed that she should try taking medication to help with nerve damage pain. She tried several medications but had problems with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In June 2004, Ms. Jackson was experiencing headaches only about once or twice a month. However, she was taking a medication which she eventually stopped owing to side effects. Her symptoms in her neck and shoulder worsened around the time of her examination for discovery on June 9,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During the fall of 2004, Ms. Jackson and Mr. McLean noticed that she had lost strength in her left 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In October 2004, Ms. Jackson discussed neck surgery with Dr. Lee. He warned her about the serious risks, which included paralysis and other serious complications.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Ms. Jackson's neck was examined at Royal Columbian Hospital by CT scan on February 1, 2005, being over three years after the accident. The written report from Royal Columbian Hospital refers to symptoms of degenerative disc disease at C5-6 and C6-7. It did not refer to herniation or protrusion at C5-6. It referred to a disc protrusion at C6-7.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At the end of February 2005, Ms. Jackson saw Dr. Lee and confirmed that she wanted to have neck surgery. She was put on a wait list for the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Ms. Jackson was scheduled to have a salary increase on July 1, 2005 to $84,000 per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On June 29, 2005, Dr. Lee performed a fusion of Ms. Jackson's neck at the C5-6 and C6-7 levels, using a bone graft from her hip. He found two herniated discs. His operative procedure report includes the postoperative diagnosis of C5-6 herniated disc, bilateral foraminal stenosis at C6-7, and left uncovertebral osteophyte focal disc protrusion.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surgery was successful in largely alleviating Ms. Jackson's symptoms. She had pain from the bone graft and the incision for about a month after the surgery. By August 10, 2005, she had little neck pain and the numbness in her fingers seemed to be receding.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By September 8, 2005, Ms. Jackson had no neck pain, although she had some pain along her shoulder and interscapular region. Her left arm pain had disappeared. The numbness and tingling remained. She felt that her arm was stronger. Dr. Lee recommended that Ms. Jackson resume physiotherapy, and she went back to Mr. McLean starting in September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Ms. Jackson was on medical leave from work for about three months after the surgery. During her medical leave, she avoided active exercise and lifting, and wore a neck collar, even when sleeping.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Ms. Jackson returned to work on October 3, 2005. She was glad to be back. At first, she experienced significant fatigue. Her neck pain was resolved, and her headaches were resolving. The numbness and tingling was getting better, although still present.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During the period of the post-surgical absence from work, Sunlife paid Ms. Jackson $15,504. That sum was calculated on the basis of Ms. Jackson's salary on the day of the surgery, so it did not include the salary increase which was scheduled to commence two days later, on July 1, 2005. Ms. Jackson paid the government about an extra $800 in income tax to reflect what she expected would be payable on the funds she received from Sunlife.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Ms. Jackson saw Dr. Turnbull on October 26, 2005. At that time, she was not troubled by ongoing neck pain. She believes that she would have told Dr. Turnbull that her neck was very stiff although she cannot recall saying that. She says that at this point, she was not engaging in very much in the way of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By August 2006, Ms. Jackson's day-to-day pain was significantly diminished, although it had not disappeared entirely. She could do most things. She hit golf balls at the driving range, but suffered pain the next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In September 2006, Ms. Jackson's work required her to investigate a problem by handling several hundred test tubes. She was slow at manipulating them and found it difficult to hold the tubes securely with her left hand.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In the fall of 2006, Ms. Jackson took a "boot camp" session for physical training. She did an exercise lying on her side during which she bent her neck. It triggered a flare-up of neck pain which lasted about three weeks. She went to physiotherapy sessions to deal with this flare-up, at a cost of $45 per session.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In December 2006, Ms. Jackson's work required her to perform about four hours of work in toxicology. The work required her to hold test tubes at eye level, which she found difficult. She was slow in the work and found it difficult to do, and she was worried about the potential consequences related to her dexterity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Ms. Jackson put tremendous effort into her rehabilitation. She attended almost 90 physiotherapy sessions that were about one hour each. She is also diligent about performing home exercises.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Ms. Jackson has not done any microscope work since the accident. She anticipates completing the degree of Bachelor of Technology and Business Management by the end of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Ms. Jackson's salary and job position has significantly increased since the accident. In 2000, her gross income was about $44,000. In 2001, the year of the accident, her salary was almost $50,000. In 2002, it was about $56,000. In 2003, she received employment income of about $63,000, and about $7,000 from an RRSP. Her gross income in 2004 was about $79,000, and in 2005, the year of the surgery, it was about $82,000. Her salary increased to $90,000 per year commencing July 1, 2006. At present, 13 supervisors report to Ms. Jackson.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At the time of trial, Ms. Jackson was 47 years old and earning $90,000. By the time of trial, the best-paid MLTs at B.C. Bio earned $65,000 per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Ms. Jackson's husband has been working since October 2006 as a sales manager for a company which is for sale. An United States company is a prospective purchaser. If Mr. Jackson's employer is purchased by an U.S. company, there is a realistic chance that the Jackson family would move to the United States. Because of Mr. Jackson's experience with "big-box" retailing, he may find other opportunities to move to the United States. He would be more interested in doing so when Taylor finishes high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Taylor is 15 years old and in Grade 10. Taylor's passions are hockey and golf. He plays and referees hockey. Ms. Jackson usually attends the games Taylor plays in, and often watches when he referees. When Mr. Jackson is out of town, she also attends Taylor's hockey practices. However, sitting in cold ice rinks hurts Ms. Jackson's neck.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Ms. Jackson plans to keep trying golfing. She has not skied since the accident and does not intend to try owing to the risk of injury above and below the fusion in her neck.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Ms. Jackson gets headaches every week or two, and particularly if she is stressed. She still suffers numbness and tingling, particularly if her neck tenses up, but those symptoms are not as constant as they were previously. Ms. Jackson has a fairly good range of cervical motion. She has made adjustments in her physical motions to prevent triggering pain. Her left arm is still not as strong as it was before the accident. She estimates that it is at 60% of the strength that it was prior to the accident, and that her dexterity is also about 60% of what it was. Her physical condition was essentially stable over the six months prior to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Ms. Jackson continues to suffer pain and headaches when she travels by airplane or sleeps in a hotel. She spends about $100 per year on medication like Ibuprofen.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Ms. Jackson is able to do housework, although it takes her longer than it did prior to the accident. She no longer mows the lawn to avoid pain triggered by that activity. She continues to have difficulty sleeping for a whole night owing to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Ms. Jackson is not sure that she will continue working in management for the balance of her working life. She misses the science of MLT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SUMMARY REGARDING TINGLING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 position of the defence is that Ms. Jackson did not suffer tingling in her left hand until several months after the accident. The defence refers to the contemporaneous clinical notes of Dr. Fagan and Mr. McLean, which do not refer to parathesia or tingling. The defence argued that Ms. Jackson is unreliable in her evidence that she suffered tingling in her left hand within days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Ms. Jackson appeared honest in testifying about suffering tingling within days of the accident. In addition, Dr. Fagan testified that on November 2, 2001, Ms. Jackson reported tingling in her left hand, although he did not make a note of it. Mr. McLean's clinical note of September 18, 2003 refers to left arm parathesia essentially over the period since the accident, rather than commencing months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Despite the absence of corroborative contemporaneous medical records, Ms. Jackson has proven on a balance of probabilities that she experienced left hand tingling within a week of the accident. The absence of contemporaneous notations of those symptoms likely resulted from a greater focus being placed on the symptoms troubling Ms. Jackson the most, being her significant problems with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MEDICAL EVIDENCE</w:t>
      </w:r>
      <w:r>
        <w:rPr>
          <w:rFonts w:ascii="arial" w:eastAsia="arial" w:hAnsi="arial" w:cs="arial"/>
          <w:sz w:val="20"/>
          <w:lang w:val="en-US" w:eastAsia="en-US" w:bidi="ar-SA"/>
        </w:rPr>
        <w:cr/>
      </w:r>
    </w:p>
    <w:p>
      <w:pPr>
        <w:numPr>
          <w:numId w:val="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Dr. Teal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Ms. Jackson relied on the evidence of Dr. Teal, a neurologist. He has been a physician for about 30 years and a neurologist for about 17 of those years. Before becoming a neurologist, he worked as a specialist in emergency medicine and was frequently involved in assessing traumatic injuries. His area of expertise and interest is stroke management and prevention, and he spends about 55% of his time on work in that subspecialty area. He also sees patients with cervical spine complaints. He seldom provides medical legal opinions because he is more focussed on his areas of academic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Dr. Teal provided a report dated July 24, 2006. It includes the following opinion on pages 10-11 at item 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my opinion that Ms. Jackson suffered a cervical injury consistent with both a significant cervical strain and with nerve root irritation and compression as a direct result of the motor vehicle accident. She became immediately symptomatic with regard to neck pain and restricted range of motion following the accident. This is well documented. Additionally, within days of the motor vehicle accident, she began to experience tingling or paresthesias in the left hand, which is consistent with nerve root irritation. Her neck and arm symptoms never fully resolved following the accident, although they had a somewhat fluctuating course, which is not uncommon with nerve root compression. The symptoms of nerve root irritation and compression that she experienced occurred on and before November 2, 2001. She had increasing arm pain and a sense of weakness by October 2002. Her physiotherapist recorded symptoms consistent with nerve root irritation in March 2003. Dr. Lee felt she had nerve root findings in October 2003. Dr. O'Brien, a neurologist independently concluded she had symptoms consistent with cervical radiculopathy in 2004.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my opinion that her symptoms were consistent with both C6 and C7 nerve root involvement. I agree with Dr. Lee, her neurosurgeon, that it is difficult to discern the relative contributions of the involvement of these two nerve roots. She had sensory symptoms, which were predominantly C7 in that often the middle finger was involved but occasionally the thumb or index finger would seem to be more prominent, which is more a C6 finding. She had evidence of decreased brachioradialis reflex on examination by Dr. Lee, which is a predominantly C6 finding, but she also had evidence of a weak left triceps, which is predominantly a C7 innervated muscles. Additionally, her residual neurologic findings on my examination are due to a C7 nerve root injury.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my opinion that her radicular symptoms were due to the combined pathology of cervical disc herniation and osteophytic narrowing of the neural foramina. Ms. Jackson did clearly have disc protructions at both the C5-6 and the C6-7 levels as was documented in the operative report by Dr. Lee. Furthermore, Ms. Jackson reported that the constant neck pain and the left arm symptoms resolved, for the most part, almost immediately following surgery. This is highly characteristic of surgery that has been successful in alleviating a symptomatic nerve root compression. It is possible Ms. Jackson may have had some pre-existing degenerative disease of her cervical spine prior to the motor vehicle accident. There are no x-rays of the cervical spine that pre-date the motor vehicle accident, and the first set of cervical spine x-rays done following the motor vehicle accident was conducted over a year later on December 3, 2002. These x-rays and the subsequent MRI showed degenerative changes at the C5-6 level. A CT scan performed in February 2005 showed there were now degenerative changes present at both the C5-6 and C6-7 levels. It is my opinion she probably did have some degree of asymptomatic degenerative changes in her neck at the time of the motor vehicle accident. It is my opinion that it is most probable that the injury sustained in the motor vehicle accident destabilized this situation, immediately produced symptoms, and led to progressive degeneration and disc herniation. These changes resulted in both her initial and her ongoing symptoms. It is my opinion that the motor vehicle accident set off a sequence of changes in her neck including progressive degeneration and disc herniations that resulted in her symptoms and markedly restricted and limited her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Dr. Teal also wrote as follows at item 8 on page 12: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disagree with Dr. Turnbull's statement regarding the natural history of asymptomatic degenerative changes in the cervical spine and the "probable" need for surgery. Degenerative changes in the cervical spine are extremely common. We commonly see x-ray abnormalities in asymptomatic patients, and the vast majority of these patients never require surgery. Even in patients with symptomatic degenerative changes in the cervical spine, including symptoms of pain, restricted range of motion, and some radicular symptoms, only the minority of the patients will actually require and undergo surgery. It is for this very reason that unless there is a compelling need for urgent surgery such as severe excruciating pain or substantial neurologic deficit, most clinicians and surgeons will try to treat patients conservatively hoping that medical management and the tincture of time will help alleviate the symptoms.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Jackson was completely asymptomatic with respect to her neck and arm prior to the motor vehicle accident. It is impossible to predict with any degree of certainty whether Ms. Jackson may have developed surgical indications at some point in the future, however, it is my opinion it is highly improbable that she would have spontaneously developed her symptoms or required surgery by 2005 had the motor vehicle accident not occurred. Furthermore, it is my opinion that it is improbable she would actually require surgery in the foreseeable future (within the next 10-15 years). In this regard, I use the term "improbable" to mean less than 50% chance of requiring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Dr. Teal reviewed the imaging reports, rather than the images themselves, in preparing his written opinion. In the week or so before trial, he reviewed the original imaging studies. In his opinion, the December 3, 2002 image showed moderate changes at C5-6 level, and very mild degenerative change at the C6-7 level. In his opinion, the December 2002 MRI showed narrowing at C5-6 significant enough to potentially cause nerve root compression at that level, and some minor changes at the C6-7 level. In his opinion, the CT scan of 2005 showed significant foraminal narrowing at the C5-6 level, which had progressed from the prior imaging studies, and at the C6-7 level, the CT scan showed a focal herniation as well as degenerative changes.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Dr. Teal wrote that Ms. Jackson has a vulnerable cervical spine which is now predisposed to further degenerative changes at adjacent levels due to changes in the biomechanics and physical stresses placed on the spine. He estimated that about 20% of patients with fusions at two levels will suffer increased degenerative changes at the adjacent levels owing to the increased strains resulting from the fusions.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While Dr. Teal is not a vocational consultant, he is familiar with lab work from his many years of working in hospitals. He recommended that Ms. Jackson should not work as a lab technologist or in a job capacity requiring sustained bench or microscope work that would involve prolonged and sustained neck postures.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The defence challenged Dr. Teal's evidence on the basis that he was not impartial. I found Dr. Teal to be a responsible and helpful witness, who on occasion volunteered more than necessary to answer questions he was asked.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Dr. Teal agreed that numbness by itself is consistent with a number of conditions. He also agreed that normally one does not see multi-level herniations after trauma. He testified that he understood there was paresthesia within a week of the accident. He acknowledged that it was an important assumption on his part that "within days of the motor vehicle accident, [Ms. Jackson] began to experience tingling or paresthesias in the left hand which is consistent with nerve root irritation." He agreed that there was no evidence in the 2002 imaging of a fractured vertebrae or herniation.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Dr. Teal agreed that the difference between his opinion and Dr. Turnbull's opinion appeared to be that he is of the view that a single trauma can cause progression of degenerative disc disease in the absence of actual injury to the vertebrae such as fracture or damage to the disc like a herniation, protrusion or lesion. In contrast, Dr. Turnbull is of the view that a single trauma does not cause commencement or progression of degenerative disc disease.</w:t>
      </w:r>
      <w:r>
        <w:rPr>
          <w:rFonts w:ascii="arial" w:eastAsia="arial" w:hAnsi="arial" w:cs="arial"/>
          <w:sz w:val="20"/>
          <w:lang w:val="en-US" w:eastAsia="en-US" w:bidi="ar-SA"/>
        </w:rPr>
        <w:cr/>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Dr. Sovio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The defence relied on the evidence of Dr. Sovio, an orthopaedic surgeon. He does not do neck surgery. He does a lot of knee surgery and Workers Compensation work. He provided three written reports, dated November 5, 2003, September 13, 2004, and December 5,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Dr. Sovio saw Ms. Jackson on November 4, 2003 and his report is dated the following day. Dr. Sovio wrote that, on examination, he: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could not demonstrate anything that would suggest nerve root impingement. There was no sensory abnormality or no motor abnormality that could be assigned to any particular nerve root or peripheral nerve. ... The patient has been shown by x-ray to have degenerative change at C5-6 with bilateral foraminal stenosis along with osteophyte formation. These changes are not acute and are not related to the motor vehicle accident but rather pre-existent.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He also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no hard evidence of root impingement and I do not feel that the patient will require any surgical intervention and I would strongly recommend against it under these circumstances.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patient states that she has seen a neurosurgeon who discussed with her the possibility of fusion of C5-6 level. I certainly would not recommend that and I do not feel that surgery would cure the patient's complaints which are much wider ranging than the discomfort that one would expect to arise from osteoarthritis of C5-6 level along with root irritation. With significant changes in C5-6 area it may be entirely possible that the patient would have developed symptoms of one sort or another over time but conservative management usually controls these symptoms and though waxing and waning of symptoms can occur generally speaking conservative management with physiotherapy, medication and exercise will control these problems.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encourage the patient to be as active as she can to increase her activity program and strengthening program as this would likely be helpful. In case of flare up anti-inflammatory agents likely would be worthwhile but as mentioned I do not feel that surgery is indicated. I do not feel that the Bell's palsy and the patient's facial asymmetry that are present at this time have anything to do with the motor vehicle accident and what part the motor vehicle accident has played in the patient's neck symptomatology is difficult to say but suffice it to say that the findings on x-ray and MRI predate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Dr. Sovio noted global weakness in Ms. Jackson's left arm, but no wasting of the musculature or inequality in reflexes. He did not find any "hard evidence" of root impingement. Dr. Sovio described "hard signs" as being signs where there is little chance of a patient's subjective input. He gave the example of muscle wasting, which can be observed without the patient's input. He described disc herniation as when a disc comes out through the ligaments, and the bulge can cause compression of a nerve root.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Dr. Sovio's second report, which is dated September 13, 2004, was based on his review of further medical records. He did not change his opinion. In this second report, he wrote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Without hard signs of nerve root impingement the results of surgery would be guarded. Certainly degenerative disc would not be causing pain which radiates down the arm. If one takes the examination of Dr. Lee to be accurate it involves multiple nerve roots which certainly would not be addressed by fusion and decompression at C5-6 level thus one would expect ongoing complaints following the surgery.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However, I noticed that Dr. Lee found the patient to have what he considered root irritation. He stated that the patient's left biceps was slightly smaller. I noted the same situation but considering that the patient was right handed I did not feel that one could use that as an absolute finding and I noted also that the patient appeared to have global weakness in the left upper extremity which seemed to include all the muscles. This in itself would speak against recommending surgery as patient's (sic) with non-anatomic signs tend to be poor candidates for surgical intervention.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Dr. Sovio's third report was based on further medical records and his review of Dr. Teal's report dated July 24, 2006. Dr. Sovio did not see Ms. Jackson again. He wrote as follows in his third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no evidence of hard signs of root impingement present and electromyographic studies have failed to prove any nerve root impingement. The patient did not have any hard neurologic signs and the decision to undertake surgical treatment was more on a subjective than an objective basis.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also true that asymptomatic degenerative changes are seen in the cervical spine quite regularly and that a vast majority of the patient's (sic) never require surgery but since this patient had multilevel disease with apparently disc herniations at 2 levels one would have expected the patient's degenerative signs and symptoms to progress and perhaps it would have been probable that there was a need for surgical intervention in the future.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do not agree with Dr. Teal that it is highly improbable that the patient would have developed symptoms in her neck or required surgery had the motor vehicle accident not occurred.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agree with Dr. Turnbull that the patient's neck and arm symptoms can be more attributed to soft tissue injuries than specific degenerative changes in the disc at C5-6.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In Dr. Sovio's opinion, there is no question that the degenerative changes which are present in Ms. Jackson's cervical spine pre-dated the accident and were not caused by it. He noted that it is unusual to have multilevel disc herniations if they occur as a result of trauma. He would have expected Ms. Jackson's degenerative changes and symptoms to progress because there was multilevel disease with apparent disc herniation at two levels. In his opinion, any further development of degenerative changes with neurological involvement could not be related to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Dr. Sovio testified that disc herniation by itself is not clinically significant. He testified that disc herniation is not unusual, and 30% of cases are asymptomatic. What is clinically significant is impingement on the nerve. Dr. Sovio testified that Ms. Jackson's surgery was done for arthritic changes. In his opinion, it is not appropriate to recommend surgery on the basis of "soft signs" alone, and surgery should be recommended only if "hard signs" confirm "soft signs". In Dr. Sovio's opinion, global weakness in a patient's arm is a contraindication to surgery because it is not neurological.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xml:space="preserve">  Dr. Sovio agreed under cross-examination that trauma can cause symptomatic disc degeneration </w:t>
      </w:r>
      <w:r>
        <w:rPr>
          <w:rFonts w:ascii="arial" w:eastAsia="arial" w:hAnsi="arial" w:cs="arial"/>
          <w:i/>
          <w:color w:val="000000"/>
          <w:sz w:val="20"/>
          <w:lang w:val="en-US" w:eastAsia="en-US" w:bidi="ar-SA"/>
        </w:rPr>
        <w:t>de novo</w:t>
      </w:r>
      <w:r>
        <w:rPr>
          <w:rFonts w:ascii="arial" w:eastAsia="arial" w:hAnsi="arial" w:cs="arial"/>
          <w:color w:val="000000"/>
          <w:sz w:val="20"/>
          <w:lang w:val="en-US" w:eastAsia="en-US" w:bidi="ar-SA"/>
        </w:rPr>
        <w:t>, can aggravate symptoms of pre-existing disc degeneration, and can accelerate the progression of pre-existing degenerative change.</w:t>
      </w:r>
      <w:r>
        <w:rPr>
          <w:rFonts w:ascii="arial" w:eastAsia="arial" w:hAnsi="arial" w:cs="arial"/>
          <w:sz w:val="20"/>
          <w:lang w:val="en-US" w:eastAsia="en-US" w:bidi="ar-SA"/>
        </w:rPr>
        <w:cr/>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Dr. Turnbull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The defence also relied on the evidence of Dr. Turnbull, a neurosurgeon. He has been involved in neurosurgical practice for about forty years, but no longer does surgical operations. He provided three written reports, dated December 13, 2004, October 27, 2005 and January 25,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Dr. Turnbull did not see Ms. Jackson before preparing his first report, because she declined to see him. In his opinion, the degenerative changes at C5-6 of bony osteophyte formation and degenerative disc disease cannot be regarded as a consequence of the accident. He noted that, while the degenerative changes at C5-6 may have been temporarily activated by the accident to produce symptoms, such an outcome would persist for only a few months because healing normally occurs with disc injury even though the disc does not resume the contour that it had prior to the degenerative changes.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Dr. Turnbull wrote in his first report that he felt that Ms. Jackson would be ill-advised to undergo a cervical discectomy and fusion at C5-6. He wrote that it is most likely that such an operation would have minimal beneficial effect on her ongoing symptoms, and the possibility of a disappointing outcome from the operation exceeded the likelihood of a good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In Dr. Turnbull's opinion, Ms. Jackson's neck, shoulder and arm symptoms following the accident can be attributed to soft tissue injuries other than the specific degenerative changes in the disc at C5-6. Dr. Turnbull believed that Ms. Jackson suffered a cervical strain, as commonly occurs in motor vehicle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Dr. Turnbull noted that Ms. Jackson might have developed symptoms as a result of her C5-6 disc degeneration regardless of the accident. In his opinion, the symptoms she developed could not be attributed directly to the disc herniation because there was no evidence of any pressure on neural structures.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Dr. Turnbull wrote his second report, dated October 27, 2005, after seeing Ms. Jackson on the previous day. This was about four months after Ms. Jackson's surgical neck fusions. Dr. Turnbull noted that Ms. Jackson had a good range of neck mobility considering that her neck had been fused surgically at two levels. Because most cervical rotation, flexion and extension takes place at the upper two levels, Dr. Turnbull did not expect the fusion of C5-6 and C6-7 to have more than a minimal effect on her neck mobility.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On examination, Dr. Turnbull could not find any weakness in Ms. Jackson's muscles, and her reflexes were symmetrical and normal. He did not detect any sensory abnormalities.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Dr. Turnbull noted that cervical disc herniation and osteophyte formation is associated with degeneration, a spontaneous process in virtually everyone which is classified as a degenerative disease. Trauma seldom causes disc herniation. When a disc has undergone degenerative changes, trauma may provoke new symptoms or aggravate degrees of herniation that may already be underway.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In Dr. Turnbull's opinion, the degenerative changes shown on the December 3, 2002 x-ray preceded the accident because changes such as the ones on the x-ray take years to develop. In his opinion, the MRI scan of December 30, 2002 showed essentially the same changes, and did not reveal changes at C6-7 such as disc protrusion or lesion or tear.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In his second report, Dr. Turnbull wrote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Since the osteophyte and disc herniation at C6-7 was not visualized on the MRI scan of 2002, it would appear that this change developed subsequently, in keeping with the natural history of degenerative disc disease. The neck pain that was a prominent symptom early after the MVA evolved into left arm pain and mild neurological dysfunction over the course of the next months and years. The extent to which the MVA can be regarded as activating or accelerating the degenerative disease in the cervical spine would be difficult to quantify, but there does appear to be a case to be made for the MVA having a role in the evolution of her problems that eventually necessitated her having surgical treatment. Had the MVA not occurred, the degenerative changes most likely would have advanced to a degree that surgery eventually would have been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In Dr. Turnbull's opinion, a single event of trauma of the nature suffered by Ms. Jackson does not cause progression of degenerative disc disease in the absence of actual injury to the vertebrae, or actual injury to the disc.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Dr. Turnbull's third report was to respond to specific questions, and was not based on any more information than he considered in preparing his second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In Dr. Turnbull's opinion, the degenerative changes can be regarded as having developed spontaneously and not as a result of the accident. In his opinion, the degenerative changes at C6-7 developed independently of the accident, and as a consequence, the need to operate on that disc was not accelerated by the accident. In Dr. Turnbull's opinion, it is most probable that the degenerative changes would have advanced to a degree that surgery would have been required if the accident had not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Dr. Turnbull did not believe that the degenerative changes can be regarded as being likely to advance more slowly if the accident had not occurred. However, in his opinion, the accident may have accelerated the development of symptoms, which in turn may have advanced the need for surgical intervention by one or two years. In Dr. Turnbull's opinion, Ms. Jackson's ongoing concerns, which he considers minimal, cannot be related to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Dr. Turnbull testified that, based on his review of the medical evidence, the main reason for the surgery was the discovery in 2005 of the herniation at C6-7. In his opinion, the pain distribution demonstrated by Ms. Jackson in the period just after the accident did not indicate that C5-6 was the source of the problem. It is Dr. Turnbull's opinion that the changes Dr. Lee found could not be accounted for by the involvement of a single nerve root. The weakness that Dr. Lee found initially was global, and not related to one nerve root.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Dr. Turnbull's opinion was that one could not foresee Ms. Jackson's need for surgery before the C6-7 disc herniation and the new disc herniation changed the whole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ANALYSIS</w:t>
      </w:r>
      <w:r>
        <w:rPr>
          <w:rFonts w:ascii="arial" w:eastAsia="arial" w:hAnsi="arial" w:cs="arial"/>
          <w:sz w:val="20"/>
          <w:lang w:val="en-US" w:eastAsia="en-US" w:bidi="ar-SA"/>
        </w:rPr>
        <w:cr/>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xml:space="preserve">  The law of causation is based on the principle that a plaintiff must be placed in the position he or she would have been in without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and not in a better position. It is therefore necessary to determine not only the plaintiff's position after the tort, but also to assess what the "original position" would have been. The court seeks to compensate the plaintiff for the difference between the original position and the injured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In this case, the position of the plaintiff is that, but for the accident, her degenerative changes would not have become symptomatic and surgery would not have been required. The position of the defence is that Ms. Jackson's degenerative symptoms would have become sufficiently symptomatic even without the accident that she would have required surgery, although perhaps a year or two later than she did as a result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295" w:history="1">
        <w:r>
          <w:rPr>
            <w:rFonts w:ascii="arial" w:eastAsia="arial" w:hAnsi="arial" w:cs="arial"/>
            <w:i/>
            <w:color w:val="0077CC"/>
            <w:sz w:val="20"/>
            <w:u w:val="single"/>
            <w:shd w:val="clear" w:color="auto" w:fill="FFFFFF"/>
            <w:lang w:val="en-US" w:eastAsia="en-US" w:bidi="ar-SA"/>
          </w:rPr>
          <w:t>[2007] 4 W.W.R. 1</w:t>
        </w:r>
      </w:hyperlink>
      <w:r>
        <w:rPr>
          <w:rFonts w:ascii="arial" w:eastAsia="arial" w:hAnsi="arial" w:cs="arial"/>
          <w:color w:val="000000"/>
          <w:sz w:val="20"/>
          <w:lang w:val="en-US" w:eastAsia="en-US" w:bidi="ar-SA"/>
        </w:rPr>
        <w:t xml:space="preserve">, </w:t>
      </w:r>
      <w:hyperlink r:id="rId295"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 xml:space="preserve">, the Supreme Court of Canada took the opportunity (albeit in </w:t>
      </w:r>
      <w:r>
        <w:rPr>
          <w:rFonts w:ascii="arial" w:eastAsia="arial" w:hAnsi="arial" w:cs="arial"/>
          <w:i/>
          <w:color w:val="000000"/>
          <w:sz w:val="20"/>
          <w:lang w:val="en-US" w:eastAsia="en-US" w:bidi="ar-SA"/>
        </w:rPr>
        <w:t>obiter dicta</w:t>
      </w:r>
      <w:r>
        <w:rPr>
          <w:rFonts w:ascii="arial" w:eastAsia="arial" w:hAnsi="arial" w:cs="arial"/>
          <w:color w:val="000000"/>
          <w:sz w:val="20"/>
          <w:lang w:val="en-US" w:eastAsia="en-US" w:bidi="ar-SA"/>
        </w:rPr>
        <w:t>) to clarify the relationship between the "but for" test and the "material contribution" test with respect to causation. At paras. 20-25, McLachlin C.J., for the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Much judicial and academic ink has been spilled over the proper test for causation in cases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It is neither necessary nor helpful to catalogue the various debates. It suffices at this juncture to simply assert the general principles that emerge from the cases.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First, the basic test for determining causation remains the "but for" test. This applies to multi-cause injuries. The plaintiff bears the burden of showing that "but for" the negligent act or omission of each defendant, the injury would not have occurred. Having done this,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may be apportioned, as permitted by statute.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fundamental rule has never been displaced and remains the primary test for causation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actions. As stated in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at para. 14,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Major J., "[t]he general, but not conclusive, test for causation is the but for' test, which requires the plaintiff to show that the injury would not have occurred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Similarly, as I noted in </w:t>
      </w:r>
      <w:r>
        <w:rPr>
          <w:rFonts w:ascii="arial" w:eastAsia="arial" w:hAnsi="arial" w:cs="arial"/>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296" w:history="1">
        <w:r>
          <w:rPr>
            <w:rFonts w:ascii="arial" w:eastAsia="arial" w:hAnsi="arial" w:cs="arial"/>
            <w:i/>
            <w:color w:val="0077CC"/>
            <w:sz w:val="20"/>
            <w:u w:val="single"/>
            <w:shd w:val="clear" w:color="auto" w:fill="FFFFFF"/>
            <w:lang w:val="en-US" w:eastAsia="en-US" w:bidi="ar-SA"/>
          </w:rPr>
          <w:t>[2005] 3 S.C.R. 3</w:t>
        </w:r>
      </w:hyperlink>
      <w:r>
        <w:rPr>
          <w:rFonts w:ascii="arial" w:eastAsia="arial" w:hAnsi="arial" w:cs="arial"/>
          <w:color w:val="000000"/>
          <w:sz w:val="20"/>
          <w:lang w:val="en-US" w:eastAsia="en-US" w:bidi="ar-SA"/>
        </w:rPr>
        <w:t>, at para. 78, "[t]he rules of causation consider generally whether but for' the defendant's acts, the plaintiff's damages would have been incurred on a balance of probabilities."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"but for" test recognizes that compensation for negligent conduct should only be made "where a substantial connection between the injury and defendant's conduct" is present. It ensures that a defendant will not be held liable for the plaintiff's injuries where they "may very well be due to factors unconnected to the defendant and not the fault of anyone": </w:t>
      </w:r>
      <w:r>
        <w:rPr>
          <w:rFonts w:ascii="arial" w:eastAsia="arial" w:hAnsi="arial" w:cs="arial"/>
          <w:i/>
          <w:color w:val="000000"/>
          <w:sz w:val="20"/>
          <w:lang w:val="en-US" w:eastAsia="en-US" w:bidi="ar-SA"/>
        </w:rPr>
        <w:t>Snell v. Farrell</w:t>
      </w:r>
      <w:r>
        <w:rPr>
          <w:rFonts w:ascii="arial" w:eastAsia="arial" w:hAnsi="arial" w:cs="arial"/>
          <w:color w:val="000000"/>
          <w:sz w:val="20"/>
          <w:lang w:val="en-US" w:eastAsia="en-US" w:bidi="ar-SA"/>
        </w:rPr>
        <w:t xml:space="preserve">, </w:t>
      </w:r>
      <w:hyperlink r:id="rId98" w:history="1">
        <w:r>
          <w:rPr>
            <w:rFonts w:ascii="arial" w:eastAsia="arial" w:hAnsi="arial" w:cs="arial"/>
            <w:i/>
            <w:color w:val="0077CC"/>
            <w:sz w:val="20"/>
            <w:u w:val="single"/>
            <w:shd w:val="clear" w:color="auto" w:fill="FFFFFF"/>
            <w:lang w:val="en-US" w:eastAsia="en-US" w:bidi="ar-SA"/>
          </w:rPr>
          <w:t>[1990] 2 S.C.R. 311</w:t>
        </w:r>
      </w:hyperlink>
      <w:r>
        <w:rPr>
          <w:rFonts w:ascii="arial" w:eastAsia="arial" w:hAnsi="arial" w:cs="arial"/>
          <w:color w:val="000000"/>
          <w:sz w:val="20"/>
          <w:lang w:val="en-US" w:eastAsia="en-US" w:bidi="ar-SA"/>
        </w:rPr>
        <w:t xml:space="preserve"> at p. 327,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Sopinka J.</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However, in special circumstances, the law has recognized exceptions to the basic "but for" test, and applied a "material contribution" test. Broadly speaking, the cases in which the "material contribution" test is properly applied involve two requirements.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First, it must be impossible for the plaintiff to prove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the plaintiff's injury using the "but for" test. The impossibility must be due to factors that are outside of the plaintiff's control; for example, current limits of scientific knowledge. Second, it must be clear that the defendant breached a duty of care owed to the plaintiff, thereby exposing the plaintiff to an unreasonable risk of injury, and the plaintiff must have suffered that form of injury. In other words, the plaintiff's injury must fall within the ambit of the risk created by the defendant's breach. In those exceptional cases where these two requirements are satisfied, liability may be imposed, even though the "but for" test is not satisfied, because it would offend basic notions of fairness and justice to deny liability by applying a "but for" approach.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The first step in assessing Ms. Jackson's damages is determining whether her neck problems which gave rise to the surgery were caused by the accident. Ms. Jackson's position is that all of her neck problems were caused by the accident. The position of the defence is that the most practical way to make an award for the problems arising from the accident and not the problems arising from the degenerative changes would be to award damages for the period up to the surgery. On that basis, the defence takes the position that any problems after the end of June 2005 were the result of Ms. Jackson's degenerative disc disease, and not recoverable as a result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To succeed in obtaining damages related to the surgery, Ms. Jackson must establish on a balance of probabilities that, but for the accident, she would not have required the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The evidence as a whole demonstrates the following:</w:t>
      </w:r>
      <w:r>
        <w:rPr>
          <w:rFonts w:ascii="arial" w:eastAsia="arial" w:hAnsi="arial" w:cs="arial"/>
          <w:sz w:val="20"/>
          <w:lang w:val="en-US" w:eastAsia="en-US" w:bidi="ar-SA"/>
        </w:rPr>
        <w:cr/>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time of the accident, Ms. Jackson had degenerative changes in her neck, which were not caused by the accident;</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degenerative changes were not symptomatic prior to the accident;</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degenerative changes are often asymptomatic;</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surgery would not be required for asymptomatic degenerative changes and in most cases would not be required for symptomatic degenerative changes; and</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difficult for doctors to determine whether degenerative changes will cause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Ms. Jackson has demonstrated on a balance of probabilities that the surgery would not have been required but for both the degenerative changes and the onset of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Dr. Turnbull's opinion, tendered by the defence, was that the accident may have accelerated the onset of symptoms from the degenerative changes and advanced the need for surgery by one or two years. Dr. Sovio's final opinion, also tendered by the defence, was that the degenerative changes in Ms. Jackson's neck would have resulted in surgery even without the accident. Dr. Teal's opinion, tendered by the plaintiff, was that the accident caused the symptoms which, together with the degenerative symptoms, led to the surgery. All three doctors are well qualified.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I prefer the opinion of Dr. Teal for several reasons. First, it is consistent with Ms. Jackson's sudden onset of symptoms following the accident. Second, it makes sense in the context of degenerative changes often being asymptomatic and symptomatic changes often not requiring surgery. Third, I could not find any scientific basis for the defence position that the degenerative changes would have become so symptomatic even without the accident that surgery would have been required.</w:t>
      </w:r>
      <w:r>
        <w:rPr>
          <w:rFonts w:ascii="arial" w:eastAsia="arial" w:hAnsi="arial" w:cs="arial"/>
          <w:sz w:val="20"/>
          <w:lang w:val="en-US" w:eastAsia="en-US" w:bidi="ar-SA"/>
        </w:rPr>
        <w:cr/>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Ms. Jackson presented as a very honest and straightforward individual who did not exaggerate. She is committed to her family and her work. She worked hard at her rehabilitation. She suffered a period of about four years of considerable pain, pursuing extensive physiotherapy and exercise and trying medication, before finally undergoing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Ms. Jackson suffered facial bruising and swelling for about two weeks after the accident. She suffered right knee and facial pain for about a month. She suffered significant mid-back and lower-back pain for about two weeks, and reduced pain for about six months. She had left shoulder pain for about six months. She suffered severe headaches which reduced after about a year to once or twice a week. She suffered significant neck pain for about four years, and still suffers periodic pain flare-ups. She has had intermittent tingling in her left hand since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Ms. Jackson has an increased risk of future neck problems requiring further surgery. Dr. Teal's estimate of the likelihood of increased degenerative changes was about 20%, and Dr. Lee's estimate was 15-20% for a person with two discs fused such as Ms. Jackson.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Ms. Jackson's symptoms reduced her ability to fully participate in family life and recreational activities such as skiing. She was able to continue working and obtain promotions, although she stopped doing physically demanding bench work. She was able to care for her son, including during the week or two each month that her husband was out of town for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Since the surgery, Ms. Jackson's neck pain has mostly resolved apart from periodic flare-ups. She still suffers from periodic tingling in the fingers of her left hand and reduced dexterity in that hand. She also still gets headaches every week or two.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I will address Ms. Jackson's claim for damages under the following headings:</w:t>
      </w:r>
      <w:r>
        <w:rPr>
          <w:rFonts w:ascii="arial" w:eastAsia="arial" w:hAnsi="arial" w:cs="arial"/>
          <w:sz w:val="20"/>
          <w:lang w:val="en-US" w:eastAsia="en-US" w:bidi="ar-SA"/>
        </w:rPr>
        <w:cr/>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Past income loss;</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earning capacity;</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Cost of future care; and</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Ms. Jackson's position is that the appropriate award for her non-pecuniary damages is $125,000.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The position of the defence is that Ms. Jackson is entitled to non-pecuniary damages in the range of $30,000. That was based on the argument that compensating her for her symptoms until the surgery would approximate compensation for all the damages relating to the accident, without compensating her for the problems associated with degenerative disc disease not related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As discussed above, I have concluded that the surgery would not have been required but for the accident. The accident caused Ms. Jackson to suffer four years of considerable neck pain prior to the surgery. She also suffered pain in her face, knee, back and shoulder, and headaches. She lost the ability to engage in sports which were part of her family life. She is left with occasional pain in her back, neck and shoulder, with some tingling and numbness. She will likely suffer periodic pain flare-ups. Her strength and dexterity with her left hand is diminished. She is no longer able to do the toxicology bench work which she particularly enjoyed.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xml:space="preserve">  Counsel cited the following cases on non-pecuniary damages: </w:t>
      </w:r>
      <w:r>
        <w:rPr>
          <w:rFonts w:ascii="arial" w:eastAsia="arial" w:hAnsi="arial" w:cs="arial"/>
          <w:b/>
          <w:i/>
          <w:color w:val="000000"/>
          <w:sz w:val="20"/>
          <w:lang w:val="en-US" w:eastAsia="en-US" w:bidi="ar-SA"/>
        </w:rPr>
        <w:t>Graham v. Rogers</w:t>
      </w:r>
      <w:r>
        <w:rPr>
          <w:rFonts w:ascii="arial" w:eastAsia="arial" w:hAnsi="arial" w:cs="arial"/>
          <w:color w:val="000000"/>
          <w:sz w:val="20"/>
          <w:lang w:val="en-US" w:eastAsia="en-US" w:bidi="ar-SA"/>
        </w:rPr>
        <w:t xml:space="preserve">, </w:t>
      </w:r>
      <w:hyperlink r:id="rId297" w:history="1">
        <w:r>
          <w:rPr>
            <w:rFonts w:ascii="arial" w:eastAsia="arial" w:hAnsi="arial" w:cs="arial"/>
            <w:i/>
            <w:color w:val="0077CC"/>
            <w:sz w:val="20"/>
            <w:u w:val="single"/>
            <w:shd w:val="clear" w:color="auto" w:fill="FFFFFF"/>
            <w:lang w:val="en-US" w:eastAsia="en-US" w:bidi="ar-SA"/>
          </w:rPr>
          <w:t>2000 BCSC 605</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Coles v. Spriggs</w:t>
      </w:r>
      <w:r>
        <w:rPr>
          <w:rFonts w:ascii="arial" w:eastAsia="arial" w:hAnsi="arial" w:cs="arial"/>
          <w:color w:val="000000"/>
          <w:sz w:val="20"/>
          <w:lang w:val="en-US" w:eastAsia="en-US" w:bidi="ar-SA"/>
        </w:rPr>
        <w:t xml:space="preserve">, </w:t>
      </w:r>
      <w:hyperlink r:id="rId298" w:history="1">
        <w:r>
          <w:rPr>
            <w:rFonts w:ascii="arial" w:eastAsia="arial" w:hAnsi="arial" w:cs="arial"/>
            <w:i/>
            <w:color w:val="0077CC"/>
            <w:sz w:val="20"/>
            <w:u w:val="single"/>
            <w:shd w:val="clear" w:color="auto" w:fill="FFFFFF"/>
            <w:lang w:val="en-US" w:eastAsia="en-US" w:bidi="ar-SA"/>
          </w:rPr>
          <w:t>[1997] B.C.J. No. 336</w:t>
        </w:r>
      </w:hyperlink>
      <w:r>
        <w:rPr>
          <w:rFonts w:ascii="arial" w:eastAsia="arial" w:hAnsi="arial" w:cs="arial"/>
          <w:color w:val="000000"/>
          <w:sz w:val="20"/>
          <w:lang w:val="en-US" w:eastAsia="en-US" w:bidi="ar-SA"/>
        </w:rPr>
        <w:t xml:space="preserve"> (S.C.); </w:t>
      </w:r>
      <w:r>
        <w:rPr>
          <w:rFonts w:ascii="arial" w:eastAsia="arial" w:hAnsi="arial" w:cs="arial"/>
          <w:b/>
          <w:i/>
          <w:color w:val="000000"/>
          <w:sz w:val="20"/>
          <w:lang w:val="en-US" w:eastAsia="en-US" w:bidi="ar-SA"/>
        </w:rPr>
        <w:t>Morris v. Rose Estate</w:t>
      </w:r>
      <w:r>
        <w:rPr>
          <w:rFonts w:ascii="arial" w:eastAsia="arial" w:hAnsi="arial" w:cs="arial"/>
          <w:color w:val="000000"/>
          <w:sz w:val="20"/>
          <w:lang w:val="en-US" w:eastAsia="en-US" w:bidi="ar-SA"/>
        </w:rPr>
        <w:t xml:space="preserve"> </w:t>
      </w:r>
      <w:hyperlink r:id="rId299" w:history="1">
        <w:r>
          <w:rPr>
            <w:rFonts w:ascii="arial" w:eastAsia="arial" w:hAnsi="arial" w:cs="arial"/>
            <w:i/>
            <w:color w:val="0077CC"/>
            <w:sz w:val="20"/>
            <w:u w:val="single"/>
            <w:shd w:val="clear" w:color="auto" w:fill="FFFFFF"/>
            <w:lang w:val="en-US" w:eastAsia="en-US" w:bidi="ar-SA"/>
          </w:rPr>
          <w:t>(1996), 23 B.C.L.R. (3d) 256</w:t>
        </w:r>
      </w:hyperlink>
      <w:r>
        <w:rPr>
          <w:rFonts w:ascii="arial" w:eastAsia="arial" w:hAnsi="arial" w:cs="arial"/>
          <w:color w:val="000000"/>
          <w:sz w:val="20"/>
          <w:lang w:val="en-US" w:eastAsia="en-US" w:bidi="ar-SA"/>
        </w:rPr>
        <w:t xml:space="preserve"> (C.A.); </w:t>
      </w:r>
      <w:r>
        <w:rPr>
          <w:rFonts w:ascii="arial" w:eastAsia="arial" w:hAnsi="arial" w:cs="arial"/>
          <w:b/>
          <w:i/>
          <w:color w:val="000000"/>
          <w:sz w:val="20"/>
          <w:lang w:val="en-US" w:eastAsia="en-US" w:bidi="ar-SA"/>
        </w:rPr>
        <w:t>Foran v. Nguyen</w:t>
      </w:r>
      <w:r>
        <w:rPr>
          <w:rFonts w:ascii="arial" w:eastAsia="arial" w:hAnsi="arial" w:cs="arial"/>
          <w:color w:val="000000"/>
          <w:sz w:val="20"/>
          <w:lang w:val="en-US" w:eastAsia="en-US" w:bidi="ar-SA"/>
        </w:rPr>
        <w:t xml:space="preserve">, </w:t>
      </w:r>
      <w:hyperlink r:id="rId300" w:history="1">
        <w:r>
          <w:rPr>
            <w:rFonts w:ascii="arial" w:eastAsia="arial" w:hAnsi="arial" w:cs="arial"/>
            <w:i/>
            <w:color w:val="0077CC"/>
            <w:sz w:val="20"/>
            <w:u w:val="single"/>
            <w:shd w:val="clear" w:color="auto" w:fill="FFFFFF"/>
            <w:lang w:val="en-US" w:eastAsia="en-US" w:bidi="ar-SA"/>
          </w:rPr>
          <w:t>2006 BCSC 605</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Love v. Pai</w:t>
      </w:r>
      <w:r>
        <w:rPr>
          <w:rFonts w:ascii="arial" w:eastAsia="arial" w:hAnsi="arial" w:cs="arial"/>
          <w:color w:val="000000"/>
          <w:sz w:val="20"/>
          <w:lang w:val="en-US" w:eastAsia="en-US" w:bidi="ar-SA"/>
        </w:rPr>
        <w:t xml:space="preserve">, </w:t>
      </w:r>
      <w:hyperlink r:id="rId301" w:history="1">
        <w:r>
          <w:rPr>
            <w:rFonts w:ascii="arial" w:eastAsia="arial" w:hAnsi="arial" w:cs="arial"/>
            <w:i/>
            <w:color w:val="0077CC"/>
            <w:sz w:val="20"/>
            <w:u w:val="single"/>
            <w:shd w:val="clear" w:color="auto" w:fill="FFFFFF"/>
            <w:lang w:val="en-US" w:eastAsia="en-US" w:bidi="ar-SA"/>
          </w:rPr>
          <w:t>2003 BCSC 900</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Liu v. Hansen</w:t>
      </w:r>
      <w:r>
        <w:rPr>
          <w:rFonts w:ascii="arial" w:eastAsia="arial" w:hAnsi="arial" w:cs="arial"/>
          <w:color w:val="000000"/>
          <w:sz w:val="20"/>
          <w:lang w:val="en-US" w:eastAsia="en-US" w:bidi="ar-SA"/>
        </w:rPr>
        <w:t xml:space="preserve"> </w:t>
      </w:r>
      <w:hyperlink r:id="rId302" w:history="1">
        <w:r>
          <w:rPr>
            <w:rFonts w:ascii="arial" w:eastAsia="arial" w:hAnsi="arial" w:cs="arial"/>
            <w:i/>
            <w:color w:val="0077CC"/>
            <w:sz w:val="20"/>
            <w:u w:val="single"/>
            <w:shd w:val="clear" w:color="auto" w:fill="FFFFFF"/>
            <w:lang w:val="en-US" w:eastAsia="en-US" w:bidi="ar-SA"/>
          </w:rPr>
          <w:t>[1996] B.C.J. No. 591</w:t>
        </w:r>
      </w:hyperlink>
      <w:r>
        <w:rPr>
          <w:rFonts w:ascii="arial" w:eastAsia="arial" w:hAnsi="arial" w:cs="arial"/>
          <w:color w:val="000000"/>
          <w:sz w:val="20"/>
          <w:lang w:val="en-US" w:eastAsia="en-US" w:bidi="ar-SA"/>
        </w:rPr>
        <w:t xml:space="preserve"> (S.C.); </w:t>
      </w:r>
      <w:r>
        <w:rPr>
          <w:rFonts w:ascii="arial" w:eastAsia="arial" w:hAnsi="arial" w:cs="arial"/>
          <w:b/>
          <w:i/>
          <w:color w:val="000000"/>
          <w:sz w:val="20"/>
          <w:lang w:val="en-US" w:eastAsia="en-US" w:bidi="ar-SA"/>
        </w:rPr>
        <w:t>Kerr v. Macklin</w:t>
      </w:r>
      <w:r>
        <w:rPr>
          <w:rFonts w:ascii="arial" w:eastAsia="arial" w:hAnsi="arial" w:cs="arial"/>
          <w:color w:val="000000"/>
          <w:sz w:val="20"/>
          <w:lang w:val="en-US" w:eastAsia="en-US" w:bidi="ar-SA"/>
        </w:rPr>
        <w:t xml:space="preserve">, </w:t>
      </w:r>
      <w:hyperlink r:id="rId303" w:history="1">
        <w:r>
          <w:rPr>
            <w:rFonts w:ascii="arial" w:eastAsia="arial" w:hAnsi="arial" w:cs="arial"/>
            <w:i/>
            <w:color w:val="0077CC"/>
            <w:sz w:val="20"/>
            <w:u w:val="single"/>
            <w:shd w:val="clear" w:color="auto" w:fill="FFFFFF"/>
            <w:lang w:val="en-US" w:eastAsia="en-US" w:bidi="ar-SA"/>
          </w:rPr>
          <w:t>2004 BCSC 318</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Barkman v. Roy</w:t>
      </w:r>
      <w:r>
        <w:rPr>
          <w:rFonts w:ascii="arial" w:eastAsia="arial" w:hAnsi="arial" w:cs="arial"/>
          <w:color w:val="000000"/>
          <w:sz w:val="20"/>
          <w:lang w:val="en-US" w:eastAsia="en-US" w:bidi="ar-SA"/>
        </w:rPr>
        <w:t xml:space="preserve">, </w:t>
      </w:r>
      <w:hyperlink r:id="rId304" w:history="1">
        <w:r>
          <w:rPr>
            <w:rFonts w:ascii="arial" w:eastAsia="arial" w:hAnsi="arial" w:cs="arial"/>
            <w:i/>
            <w:color w:val="0077CC"/>
            <w:sz w:val="20"/>
            <w:u w:val="single"/>
            <w:shd w:val="clear" w:color="auto" w:fill="FFFFFF"/>
            <w:lang w:val="en-US" w:eastAsia="en-US" w:bidi="ar-SA"/>
          </w:rPr>
          <w:t>2005 BCSC 837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xml:space="preserve">  I have also considered the following cases: </w:t>
      </w:r>
      <w:r>
        <w:rPr>
          <w:rFonts w:ascii="arial" w:eastAsia="arial" w:hAnsi="arial" w:cs="arial"/>
          <w:b/>
          <w:i/>
          <w:color w:val="000000"/>
          <w:sz w:val="20"/>
          <w:lang w:val="en-US" w:eastAsia="en-US" w:bidi="ar-SA"/>
        </w:rPr>
        <w:t>Heartt v. Royal</w:t>
      </w:r>
      <w:r>
        <w:rPr>
          <w:rFonts w:ascii="arial" w:eastAsia="arial" w:hAnsi="arial" w:cs="arial"/>
          <w:color w:val="000000"/>
          <w:sz w:val="20"/>
          <w:lang w:val="en-US" w:eastAsia="en-US" w:bidi="ar-SA"/>
        </w:rPr>
        <w:t xml:space="preserve">, </w:t>
      </w:r>
      <w:hyperlink r:id="rId305" w:history="1">
        <w:r>
          <w:rPr>
            <w:rFonts w:ascii="arial" w:eastAsia="arial" w:hAnsi="arial" w:cs="arial"/>
            <w:i/>
            <w:color w:val="0077CC"/>
            <w:sz w:val="20"/>
            <w:u w:val="single"/>
            <w:shd w:val="clear" w:color="auto" w:fill="FFFFFF"/>
            <w:lang w:val="en-US" w:eastAsia="en-US" w:bidi="ar-SA"/>
          </w:rPr>
          <w:t>2000 BCSC 1122</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Bradley v. Diamond</w:t>
      </w:r>
      <w:r>
        <w:rPr>
          <w:rFonts w:ascii="arial" w:eastAsia="arial" w:hAnsi="arial" w:cs="arial"/>
          <w:color w:val="000000"/>
          <w:sz w:val="20"/>
          <w:lang w:val="en-US" w:eastAsia="en-US" w:bidi="ar-SA"/>
        </w:rPr>
        <w:t xml:space="preserve">, </w:t>
      </w:r>
      <w:hyperlink r:id="rId306" w:history="1">
        <w:r>
          <w:rPr>
            <w:rFonts w:ascii="arial" w:eastAsia="arial" w:hAnsi="arial" w:cs="arial"/>
            <w:i/>
            <w:color w:val="0077CC"/>
            <w:sz w:val="20"/>
            <w:u w:val="single"/>
            <w:shd w:val="clear" w:color="auto" w:fill="FFFFFF"/>
            <w:lang w:val="en-US" w:eastAsia="en-US" w:bidi="ar-SA"/>
          </w:rPr>
          <w:t>2002 BCCA 284</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Shipilow v. Minch</w:t>
      </w:r>
      <w:r>
        <w:rPr>
          <w:rFonts w:ascii="arial" w:eastAsia="arial" w:hAnsi="arial" w:cs="arial"/>
          <w:color w:val="000000"/>
          <w:sz w:val="20"/>
          <w:lang w:val="en-US" w:eastAsia="en-US" w:bidi="ar-SA"/>
        </w:rPr>
        <w:t xml:space="preserve">, </w:t>
      </w:r>
      <w:hyperlink r:id="rId307" w:history="1">
        <w:r>
          <w:rPr>
            <w:rFonts w:ascii="arial" w:eastAsia="arial" w:hAnsi="arial" w:cs="arial"/>
            <w:i/>
            <w:color w:val="0077CC"/>
            <w:sz w:val="20"/>
            <w:u w:val="single"/>
            <w:shd w:val="clear" w:color="auto" w:fill="FFFFFF"/>
            <w:lang w:val="en-US" w:eastAsia="en-US" w:bidi="ar-SA"/>
          </w:rPr>
          <w:t>2006 BCSC 1786</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Peters v. Kay</w:t>
      </w:r>
      <w:r>
        <w:rPr>
          <w:rFonts w:ascii="arial" w:eastAsia="arial" w:hAnsi="arial" w:cs="arial"/>
          <w:color w:val="000000"/>
          <w:sz w:val="20"/>
          <w:lang w:val="en-US" w:eastAsia="en-US" w:bidi="ar-SA"/>
        </w:rPr>
        <w:t xml:space="preserve">, </w:t>
      </w:r>
      <w:hyperlink r:id="rId308" w:history="1">
        <w:r>
          <w:rPr>
            <w:rFonts w:ascii="arial" w:eastAsia="arial" w:hAnsi="arial" w:cs="arial"/>
            <w:i/>
            <w:color w:val="0077CC"/>
            <w:sz w:val="20"/>
            <w:u w:val="single"/>
            <w:shd w:val="clear" w:color="auto" w:fill="FFFFFF"/>
            <w:lang w:val="en-US" w:eastAsia="en-US" w:bidi="ar-SA"/>
          </w:rPr>
          <w:t>2004 BCSC 1160</w:t>
        </w:r>
      </w:hyperlink>
      <w:r>
        <w:rPr>
          <w:rFonts w:ascii="arial" w:eastAsia="arial" w:hAnsi="arial" w:cs="arial"/>
          <w:color w:val="000000"/>
          <w:sz w:val="20"/>
          <w:lang w:val="en-US" w:eastAsia="en-US" w:bidi="ar-SA"/>
        </w:rPr>
        <w:t xml:space="preserve">, aff'd. </w:t>
      </w:r>
      <w:hyperlink r:id="rId309" w:history="1">
        <w:r>
          <w:rPr>
            <w:rFonts w:ascii="arial" w:eastAsia="arial" w:hAnsi="arial" w:cs="arial"/>
            <w:i/>
            <w:color w:val="0077CC"/>
            <w:sz w:val="20"/>
            <w:u w:val="single"/>
            <w:shd w:val="clear" w:color="auto" w:fill="FFFFFF"/>
            <w:lang w:val="en-US" w:eastAsia="en-US" w:bidi="ar-SA"/>
          </w:rPr>
          <w:t>2006 BCCA 42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Each award depends on the particular facts of the case. No two cases are the same. In this case, an appropriate award is $75,000.</w:t>
      </w:r>
      <w:r>
        <w:rPr>
          <w:rFonts w:ascii="arial" w:eastAsia="arial" w:hAnsi="arial" w:cs="arial"/>
          <w:sz w:val="20"/>
          <w:lang w:val="en-US" w:eastAsia="en-US" w:bidi="ar-SA"/>
        </w:rPr>
        <w:cr/>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Past income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Ms. Jackson claims damages for past wage loss of about $24,000. Her position is that she is entitled to compensation for lost wages during two periods. First is the period of about three weeks immediately following the motor vehicle accident, for which she claims about $3,000. Second is the period of about three months following the neck surgery, for which she claims about $21,000.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Ms. Jackson's counsel argued that because Ms. Jackson had paid tax on the $15,500 that she received from Sunlife for the post-surgical period, there should not be any deduction from that $15,500 for income tax. Ms. Jackson claims about $5,500 for the post-surgical period on the basis that she should be compensated at the salary that was effective July 1, 2005, rather than the lower salary which was the basis of the insurance company's payment. Her position is that tax should be deducted only from that $5,500 figure reflecting the salary adjustment.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The defence agrees that the past wage loss immediately following the motor vehicle accident was $3,265.41, and that nothing must be deducted for income tax if that is the entire award for past wage loss. The defence position is that the post-operative loss is not related to the accident. However, I have rejected that interpretation of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The position of the defence about deduction of income tax from the award for the post-surgical period is that the court cannot take into account individual circumstances. The defence argued that if Ms. Jackson in fact paid taxes on the funds she received following the surgery, she can file for a tax reassessment.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xml:space="preserve">  Sections 52 and 54 of the </w:t>
      </w:r>
      <w:r>
        <w:rPr>
          <w:rFonts w:ascii="arial" w:eastAsia="arial" w:hAnsi="arial" w:cs="arial"/>
          <w:b/>
          <w:i/>
          <w:color w:val="000000"/>
          <w:sz w:val="20"/>
          <w:lang w:val="en-US" w:eastAsia="en-US" w:bidi="ar-SA"/>
        </w:rPr>
        <w:t>Insurance (Motor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 xml:space="preserve">, provide that Ms. Jackson cannot receive more than the "net income loss" suffered after the accident and before the first day of trial. As interpreted by Pitfield J. in </w:t>
      </w:r>
      <w:r>
        <w:rPr>
          <w:rFonts w:ascii="arial" w:eastAsia="arial" w:hAnsi="arial" w:cs="arial"/>
          <w:b/>
          <w:i/>
          <w:color w:val="000000"/>
          <w:sz w:val="20"/>
          <w:lang w:val="en-US" w:eastAsia="en-US" w:bidi="ar-SA"/>
        </w:rPr>
        <w:t>Hudniuk v. Warkentin</w:t>
      </w:r>
      <w:r>
        <w:rPr>
          <w:rFonts w:ascii="arial" w:eastAsia="arial" w:hAnsi="arial" w:cs="arial"/>
          <w:color w:val="000000"/>
          <w:sz w:val="20"/>
          <w:lang w:val="en-US" w:eastAsia="en-US" w:bidi="ar-SA"/>
        </w:rPr>
        <w:t xml:space="preserve"> </w:t>
      </w:r>
      <w:hyperlink r:id="rId310" w:history="1">
        <w:r>
          <w:rPr>
            <w:rFonts w:ascii="arial" w:eastAsia="arial" w:hAnsi="arial" w:cs="arial"/>
            <w:i/>
            <w:color w:val="0077CC"/>
            <w:sz w:val="20"/>
            <w:u w:val="single"/>
            <w:shd w:val="clear" w:color="auto" w:fill="FFFFFF"/>
            <w:lang w:val="en-US" w:eastAsia="en-US" w:bidi="ar-SA"/>
          </w:rPr>
          <w:t>(2003), 9 B.C.L.R. (4th) 324</w:t>
        </w:r>
      </w:hyperlink>
      <w:r>
        <w:rPr>
          <w:rFonts w:ascii="arial" w:eastAsia="arial" w:hAnsi="arial" w:cs="arial"/>
          <w:color w:val="000000"/>
          <w:sz w:val="20"/>
          <w:lang w:val="en-US" w:eastAsia="en-US" w:bidi="ar-SA"/>
        </w:rPr>
        <w:t xml:space="preserve">, </w:t>
      </w:r>
      <w:hyperlink r:id="rId310" w:history="1">
        <w:r>
          <w:rPr>
            <w:rFonts w:ascii="arial" w:eastAsia="arial" w:hAnsi="arial" w:cs="arial"/>
            <w:i/>
            <w:color w:val="0077CC"/>
            <w:sz w:val="20"/>
            <w:u w:val="single"/>
            <w:shd w:val="clear" w:color="auto" w:fill="FFFFFF"/>
            <w:lang w:val="en-US" w:eastAsia="en-US" w:bidi="ar-SA"/>
          </w:rPr>
          <w:t>2003 BCSC 62</w:t>
        </w:r>
      </w:hyperlink>
      <w:r>
        <w:rPr>
          <w:rFonts w:ascii="arial" w:eastAsia="arial" w:hAnsi="arial" w:cs="arial"/>
          <w:color w:val="000000"/>
          <w:sz w:val="20"/>
          <w:lang w:val="en-US" w:eastAsia="en-US" w:bidi="ar-SA"/>
        </w:rPr>
        <w:t>, this legislation requires the court to deduct from the lost gross income the amount of income tax determined as if it had been earned on the first day of trial, which was January 22, 2007, computed in accordance with the federal and provincial income tax legislation and the employment insurance legislation applicable on the end of the prior calendar year, which was December 31,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The terms of the legislation do not permit the court to make adjustments for income tax actually paid by a plaintiff. As a result, income tax must be deducted from Ms. Jackson's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xml:space="preserve">  Ms. Jackson is entitled to an award for past lost income of $24,265, less income tax and other deductions as required by s. 52 and s. 54 of the </w:t>
      </w:r>
      <w:r>
        <w:rPr>
          <w:rFonts w:ascii="arial" w:eastAsia="arial" w:hAnsi="arial" w:cs="arial"/>
          <w:b/>
          <w:i/>
          <w:color w:val="000000"/>
          <w:sz w:val="20"/>
          <w:lang w:val="en-US" w:eastAsia="en-US" w:bidi="ar-SA"/>
        </w:rPr>
        <w:t>Insurance (Motor Vehicle) Act.</w:t>
      </w:r>
      <w:r>
        <w:rPr>
          <w:rFonts w:ascii="arial" w:eastAsia="arial" w:hAnsi="arial" w:cs="arial"/>
          <w:color w:val="000000"/>
          <w:sz w:val="20"/>
          <w:lang w:val="en-US" w:eastAsia="en-US" w:bidi="ar-SA"/>
        </w:rPr>
        <w:t xml:space="preserve"> If the parties cannot agree on the amount of those deductions, the amount shall be certified by the registrar.</w:t>
      </w:r>
      <w:r>
        <w:rPr>
          <w:rFonts w:ascii="arial" w:eastAsia="arial" w:hAnsi="arial" w:cs="arial"/>
          <w:sz w:val="20"/>
          <w:lang w:val="en-US" w:eastAsia="en-US" w:bidi="ar-SA"/>
        </w:rPr>
        <w:cr/>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Ms. Jackson claims damages for loss of future earning capacity on the basis that she should not return to work as an MLT doing bench work, and may suffer periods of unemployment as a result. Ms. Jackson's position is that the proper award for her loss of income earning capacity is $195,000. That is based on losing three years' of work at a salary of $65,000, without discounting for present value on the basis that this loss must be assessed not calculated.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The position of the defence is that Ms. Jackson is not entitled to anything for lost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Reilly v. Lynn</w:t>
      </w:r>
      <w:r>
        <w:rPr>
          <w:rFonts w:ascii="arial" w:eastAsia="arial" w:hAnsi="arial" w:cs="arial"/>
          <w:color w:val="000000"/>
          <w:sz w:val="20"/>
          <w:lang w:val="en-US" w:eastAsia="en-US" w:bidi="ar-SA"/>
        </w:rPr>
        <w:t xml:space="preserve"> </w:t>
      </w:r>
      <w:hyperlink r:id="rId311" w:history="1">
        <w:r>
          <w:rPr>
            <w:rFonts w:ascii="arial" w:eastAsia="arial" w:hAnsi="arial" w:cs="arial"/>
            <w:i/>
            <w:color w:val="0077CC"/>
            <w:sz w:val="20"/>
            <w:u w:val="single"/>
            <w:shd w:val="clear" w:color="auto" w:fill="FFFFFF"/>
            <w:lang w:val="en-US" w:eastAsia="en-US" w:bidi="ar-SA"/>
          </w:rPr>
          <w:t>(2003), 10 B.C.L.R. (4th) 16</w:t>
        </w:r>
      </w:hyperlink>
      <w:r>
        <w:rPr>
          <w:rFonts w:ascii="arial" w:eastAsia="arial" w:hAnsi="arial" w:cs="arial"/>
          <w:color w:val="000000"/>
          <w:sz w:val="20"/>
          <w:lang w:val="en-US" w:eastAsia="en-US" w:bidi="ar-SA"/>
        </w:rPr>
        <w:t xml:space="preserve">, </w:t>
      </w:r>
      <w:hyperlink r:id="rId311" w:history="1">
        <w:r>
          <w:rPr>
            <w:rFonts w:ascii="arial" w:eastAsia="arial" w:hAnsi="arial" w:cs="arial"/>
            <w:i/>
            <w:color w:val="0077CC"/>
            <w:sz w:val="20"/>
            <w:u w:val="single"/>
            <w:shd w:val="clear" w:color="auto" w:fill="FFFFFF"/>
            <w:lang w:val="en-US" w:eastAsia="en-US" w:bidi="ar-SA"/>
          </w:rPr>
          <w:t>2003 BCCA 49</w:t>
        </w:r>
      </w:hyperlink>
      <w:r>
        <w:rPr>
          <w:rFonts w:ascii="arial" w:eastAsia="arial" w:hAnsi="arial" w:cs="arial"/>
          <w:color w:val="000000"/>
          <w:sz w:val="20"/>
          <w:lang w:val="en-US" w:eastAsia="en-US" w:bidi="ar-SA"/>
        </w:rPr>
        <w:t xml:space="preserve"> at paras. 100-101, Low and Smith JJ.A. summarized the approach to assessing lost earning capacity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[100] An award for loss of earning capacity presents particular difficulties. As Dickson J. (as he then was) said, in </w:t>
      </w:r>
      <w:r>
        <w:rPr>
          <w:rFonts w:ascii="arial" w:eastAsia="arial" w:hAnsi="arial" w:cs="arial"/>
          <w:i/>
          <w:color w:val="000000"/>
          <w:sz w:val="20"/>
          <w:lang w:val="en-US" w:eastAsia="en-US" w:bidi="ar-SA"/>
        </w:rPr>
        <w:t>Andrews v. Grand &amp; Toy Alberta Ltd.</w:t>
      </w:r>
      <w:r>
        <w:rPr>
          <w:rFonts w:ascii="arial" w:eastAsia="arial" w:hAnsi="arial" w:cs="arial"/>
          <w:color w:val="000000"/>
          <w:sz w:val="20"/>
          <w:lang w:val="en-US" w:eastAsia="en-US" w:bidi="ar-SA"/>
        </w:rPr>
        <w:t xml:space="preserve">, </w:t>
      </w:r>
      <w:hyperlink r:id="rId16"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xml:space="preserve"> at 251:</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We must now gaze more deeply into the crystal ball. What sort of a career would the accident victim have had? What were his prospects and potential prior to the accident? It is not loss of earnings but, rather, loss of earning capacity for which compensation must be made: </w:t>
      </w:r>
      <w:r>
        <w:rPr>
          <w:rFonts w:ascii="arial" w:eastAsia="arial" w:hAnsi="arial" w:cs="arial"/>
          <w:i/>
          <w:color w:val="000000"/>
          <w:sz w:val="20"/>
          <w:lang w:val="en-US" w:eastAsia="en-US" w:bidi="ar-SA"/>
        </w:rPr>
        <w:t xml:space="preserve">The Queen v. Jennings, </w:t>
      </w:r>
      <w:hyperlink r:id="rId312" w:history="1">
        <w:r>
          <w:rPr>
            <w:rFonts w:ascii="arial" w:eastAsia="arial" w:hAnsi="arial" w:cs="arial"/>
            <w:i/>
            <w:color w:val="0077CC"/>
            <w:sz w:val="20"/>
            <w:u w:val="single"/>
            <w:shd w:val="clear" w:color="auto" w:fill="FFFFFF"/>
            <w:lang w:val="en-US" w:eastAsia="en-US" w:bidi="ar-SA"/>
          </w:rPr>
          <w:t>[1966] S.C.R. 532</w:t>
        </w:r>
      </w:hyperlink>
      <w:r>
        <w:rPr>
          <w:rFonts w:ascii="arial" w:eastAsia="arial" w:hAnsi="arial" w:cs="arial"/>
          <w:i/>
          <w:color w:val="000000"/>
          <w:sz w:val="20"/>
          <w:lang w:val="en-US" w:eastAsia="en-US" w:bidi="ar-SA"/>
        </w:rPr>
        <w:t>. A capital asset has been lost: what was its value?</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[101] The relevant principles may be briefly summarized. The standard of proof in relation to future events is simple probability, not the balance of probabilities, and hypothetical events are to be given weight according to their relative likelihood: Athey v. Leonati</w:t>
      </w:r>
      <w:r>
        <w:rPr>
          <w:rFonts w:ascii="arial" w:eastAsia="arial" w:hAnsi="arial" w:cs="arial"/>
          <w:color w:val="000000"/>
          <w:sz w:val="20"/>
          <w:lang w:val="en-US" w:eastAsia="en-US" w:bidi="ar-SA"/>
        </w:rPr>
        <w:t xml:space="preserve">, </w:t>
      </w:r>
      <w:hyperlink r:id="rId12"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 27. A plaintiff is entitled to compensation for real and substantial possibilities of loss, which are to be quantified by estimating the chance of the loss occurring: </w:t>
      </w:r>
      <w:r>
        <w:rPr>
          <w:rFonts w:ascii="arial" w:eastAsia="arial" w:hAnsi="arial" w:cs="arial"/>
          <w:i/>
          <w:color w:val="000000"/>
          <w:sz w:val="20"/>
          <w:lang w:val="en-US" w:eastAsia="en-US" w:bidi="ar-SA"/>
        </w:rPr>
        <w:t>Athey v. Leonati, supra</w:t>
      </w:r>
      <w:r>
        <w:rPr>
          <w:rFonts w:ascii="arial" w:eastAsia="arial" w:hAnsi="arial" w:cs="arial"/>
          <w:color w:val="000000"/>
          <w:sz w:val="20"/>
          <w:lang w:val="en-US" w:eastAsia="en-US" w:bidi="ar-SA"/>
        </w:rPr>
        <w:t xml:space="preserve">, at para. 27, </w:t>
      </w:r>
      <w:r>
        <w:rPr>
          <w:rFonts w:ascii="arial" w:eastAsia="arial" w:hAnsi="arial" w:cs="arial"/>
          <w:i/>
          <w:color w:val="000000"/>
          <w:sz w:val="20"/>
          <w:lang w:val="en-US" w:eastAsia="en-US" w:bidi="ar-SA"/>
        </w:rPr>
        <w:t>Steenblok v. Funk</w:t>
      </w:r>
      <w:r>
        <w:rPr>
          <w:rFonts w:ascii="arial" w:eastAsia="arial" w:hAnsi="arial" w:cs="arial"/>
          <w:color w:val="000000"/>
          <w:sz w:val="20"/>
          <w:lang w:val="en-US" w:eastAsia="en-US" w:bidi="ar-SA"/>
        </w:rPr>
        <w:t xml:space="preserve"> </w:t>
      </w:r>
      <w:hyperlink r:id="rId14" w:history="1">
        <w:r>
          <w:rPr>
            <w:rFonts w:ascii="arial" w:eastAsia="arial" w:hAnsi="arial" w:cs="arial"/>
            <w:i/>
            <w:color w:val="0077CC"/>
            <w:sz w:val="20"/>
            <w:u w:val="single"/>
            <w:shd w:val="clear" w:color="auto" w:fill="FFFFFF"/>
            <w:lang w:val="en-US" w:eastAsia="en-US" w:bidi="ar-SA"/>
          </w:rPr>
          <w:t>(1990), 46 B.C.L.R. (2d) 133</w:t>
        </w:r>
      </w:hyperlink>
      <w:r>
        <w:rPr>
          <w:rFonts w:ascii="arial" w:eastAsia="arial" w:hAnsi="arial" w:cs="arial"/>
          <w:color w:val="000000"/>
          <w:sz w:val="20"/>
          <w:lang w:val="en-US" w:eastAsia="en-US" w:bidi="ar-SA"/>
        </w:rPr>
        <w:t xml:space="preserve"> at 135 (C.A.). The valuation of the loss of earning capacity may involve a comparison of what the plaintiff would probably have earned but for the accident with what he will probably earn in his injured condition: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105"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at 93 (S.C.). However, that is not the end of the inquiry; the overall fairness and reasonableness of the award must be considered</w:t>
      </w:r>
      <w:r>
        <w:rPr>
          <w:rFonts w:ascii="arial" w:eastAsia="arial" w:hAnsi="arial" w:cs="arial"/>
          <w:i/>
          <w:color w:val="000000"/>
          <w:sz w:val="20"/>
          <w:lang w:val="en-US" w:eastAsia="en-US" w:bidi="ar-SA"/>
        </w:rPr>
        <w:t>: Rosvold v. Dunlop</w:t>
      </w:r>
      <w:r>
        <w:rPr>
          <w:rFonts w:ascii="arial" w:eastAsia="arial" w:hAnsi="arial" w:cs="arial"/>
          <w:color w:val="000000"/>
          <w:sz w:val="20"/>
          <w:lang w:val="en-US" w:eastAsia="en-US" w:bidi="ar-SA"/>
        </w:rPr>
        <w:t xml:space="preserve"> </w:t>
      </w:r>
      <w:hyperlink r:id="rId313" w:history="1">
        <w:r>
          <w:rPr>
            <w:rFonts w:ascii="arial" w:eastAsia="arial" w:hAnsi="arial" w:cs="arial"/>
            <w:i/>
            <w:color w:val="0077CC"/>
            <w:sz w:val="20"/>
            <w:u w:val="single"/>
            <w:shd w:val="clear" w:color="auto" w:fill="FFFFFF"/>
            <w:lang w:val="en-US" w:eastAsia="en-US" w:bidi="ar-SA"/>
          </w:rPr>
          <w:t>(2001), 84 B.C.L.R. (3d) 158</w:t>
        </w:r>
      </w:hyperlink>
      <w:r>
        <w:rPr>
          <w:rFonts w:ascii="arial" w:eastAsia="arial" w:hAnsi="arial" w:cs="arial"/>
          <w:color w:val="000000"/>
          <w:sz w:val="20"/>
          <w:lang w:val="en-US" w:eastAsia="en-US" w:bidi="ar-SA"/>
        </w:rPr>
        <w:t xml:space="preserve">, </w:t>
      </w:r>
      <w:hyperlink r:id="rId313"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at para. 11; </w:t>
      </w:r>
      <w:r>
        <w:rPr>
          <w:rFonts w:ascii="arial" w:eastAsia="arial" w:hAnsi="arial" w:cs="arial"/>
          <w:i/>
          <w:color w:val="000000"/>
          <w:sz w:val="20"/>
          <w:lang w:val="en-US" w:eastAsia="en-US" w:bidi="ar-SA"/>
        </w:rPr>
        <w:t>Ryder v. Paquette</w:t>
      </w:r>
      <w:r>
        <w:rPr>
          <w:rFonts w:ascii="arial" w:eastAsia="arial" w:hAnsi="arial" w:cs="arial"/>
          <w:color w:val="000000"/>
          <w:sz w:val="20"/>
          <w:lang w:val="en-US" w:eastAsia="en-US" w:bidi="ar-SA"/>
        </w:rPr>
        <w:t xml:space="preserve">, </w:t>
      </w:r>
      <w:hyperlink r:id="rId314" w:history="1">
        <w:r>
          <w:rPr>
            <w:rFonts w:ascii="arial" w:eastAsia="arial" w:hAnsi="arial" w:cs="arial"/>
            <w:i/>
            <w:color w:val="0077CC"/>
            <w:sz w:val="20"/>
            <w:u w:val="single"/>
            <w:shd w:val="clear" w:color="auto" w:fill="FFFFFF"/>
            <w:lang w:val="en-US" w:eastAsia="en-US" w:bidi="ar-SA"/>
          </w:rPr>
          <w:t>[1995] B.C.J. No. 644</w:t>
        </w:r>
      </w:hyperlink>
      <w:r>
        <w:rPr>
          <w:rFonts w:ascii="arial" w:eastAsia="arial" w:hAnsi="arial" w:cs="arial"/>
          <w:color w:val="000000"/>
          <w:sz w:val="20"/>
          <w:lang w:val="en-US" w:eastAsia="en-US" w:bidi="ar-SA"/>
        </w:rPr>
        <w:t xml:space="preserve"> (C.A.). Moreover, the task of the Court is to assess the losses, not to calculate them mathematically</w:t>
      </w:r>
      <w:r>
        <w:rPr>
          <w:rFonts w:ascii="arial" w:eastAsia="arial" w:hAnsi="arial" w:cs="arial"/>
          <w:i/>
          <w:color w:val="000000"/>
          <w:sz w:val="20"/>
          <w:lang w:val="en-US" w:eastAsia="en-US" w:bidi="ar-SA"/>
        </w:rPr>
        <w:t>: Mulholland (Guardian ad litem of) v. Riley Estate</w:t>
      </w:r>
      <w:r>
        <w:rPr>
          <w:rFonts w:ascii="arial" w:eastAsia="arial" w:hAnsi="arial" w:cs="arial"/>
          <w:color w:val="000000"/>
          <w:sz w:val="20"/>
          <w:lang w:val="en-US" w:eastAsia="en-US" w:bidi="ar-SA"/>
        </w:rPr>
        <w:t xml:space="preserve"> </w:t>
      </w:r>
      <w:hyperlink r:id="rId315" w:history="1">
        <w:r>
          <w:rPr>
            <w:rFonts w:ascii="arial" w:eastAsia="arial" w:hAnsi="arial" w:cs="arial"/>
            <w:i/>
            <w:color w:val="0077CC"/>
            <w:sz w:val="20"/>
            <w:u w:val="single"/>
            <w:shd w:val="clear" w:color="auto" w:fill="FFFFFF"/>
            <w:lang w:val="en-US" w:eastAsia="en-US" w:bidi="ar-SA"/>
          </w:rPr>
          <w:t>(1995), 12 B.C.L.R. (3d) 248</w:t>
        </w:r>
      </w:hyperlink>
      <w:r>
        <w:rPr>
          <w:rFonts w:ascii="arial" w:eastAsia="arial" w:hAnsi="arial" w:cs="arial"/>
          <w:color w:val="000000"/>
          <w:sz w:val="20"/>
          <w:lang w:val="en-US" w:eastAsia="en-US" w:bidi="ar-SA"/>
        </w:rPr>
        <w:t xml:space="preserve"> (C.A.). Finally, since the course of future events is unknown, allowance must be made for the contingency that the assumptions upon which the award is based may prove to be wrong: </w:t>
      </w:r>
      <w:r>
        <w:rPr>
          <w:rFonts w:ascii="arial" w:eastAsia="arial" w:hAnsi="arial" w:cs="arial"/>
          <w:i/>
          <w:color w:val="000000"/>
          <w:sz w:val="20"/>
          <w:lang w:val="en-US" w:eastAsia="en-US" w:bidi="ar-SA"/>
        </w:rPr>
        <w:t>Milina v. Bartsch, supra</w:t>
      </w:r>
      <w:r>
        <w:rPr>
          <w:rFonts w:ascii="arial" w:eastAsia="arial" w:hAnsi="arial" w:cs="arial"/>
          <w:color w:val="000000"/>
          <w:sz w:val="20"/>
          <w:lang w:val="en-US" w:eastAsia="en-US" w:bidi="ar-SA"/>
        </w:rPr>
        <w:t xml:space="preserve">, at 79. In adjusting for contingencies, the remarks of Dickson J. in </w:t>
      </w:r>
      <w:r>
        <w:rPr>
          <w:rFonts w:ascii="arial" w:eastAsia="arial" w:hAnsi="arial" w:cs="arial"/>
          <w:i/>
          <w:color w:val="000000"/>
          <w:sz w:val="20"/>
          <w:lang w:val="en-US" w:eastAsia="en-US" w:bidi="ar-SA"/>
        </w:rPr>
        <w:t>Andrews v. Grand &amp; Toy Alberta Ltd., supra,</w:t>
      </w:r>
      <w:r>
        <w:rPr>
          <w:rFonts w:ascii="arial" w:eastAsia="arial" w:hAnsi="arial" w:cs="arial"/>
          <w:color w:val="000000"/>
          <w:sz w:val="20"/>
          <w:lang w:val="en-US" w:eastAsia="en-US" w:bidi="ar-SA"/>
        </w:rPr>
        <w:t xml:space="preserve"> at 253, are a useful guide: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First, in many respects, these contingencies implicitly are already contained in an assessment of the projected average level of earnings of the injured person, for one must assume that this figure is a projection with respect to the real world of work, vicissitudes and all. Second, not all contingencies are adverse ... Finally, in modern society there are many public and private schemes which cushion the individual against adverse contingencies. Clearly, the percentage deduction which is proper will depend on the facts of the individual case, particularly the nature of the plaintiff's occupation, but generally it will be small...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Ms. Jackson worked as an MLT for over 25 years. She has progressed in her positions at B.C. Bio since the accident, and is earning significantly more now than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It is not realistic for Ms. Jackson to return to toxicology or other MLT work requiring significant bench work. The physical demands of the job include sustained postures which will be difficult for Ms. Jackson in light of her neck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Ms. Jackson has lost the capacity to return to regular MLT bench work, primarily because of the strain it would put on her neck, and also because of her problems with left hand dexterity. She enjoyed MLT bench work, particularly in toxicology. It is work that may be more readily available than management work should Ms. Jackson move to a new community.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The Jackson family has been relatively stable geographically, remaining about 16 years in Alberta and seven years in Langley, B.C. With each move, Ms. Jackson first found work as an MLT at the bench. Ms. Jackson will likely work another 18 years, until she reaches 65 years of age. There is a real possibility that Ms. Jackson may be unemployed for periods because she is unable to work as an MLT.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In all the circumstances, a fair award to reflect Ms. Jackson's lost earning capacity is $75,000.</w:t>
      </w:r>
      <w:r>
        <w:rPr>
          <w:rFonts w:ascii="arial" w:eastAsia="arial" w:hAnsi="arial" w:cs="arial"/>
          <w:sz w:val="20"/>
          <w:lang w:val="en-US" w:eastAsia="en-US" w:bidi="ar-SA"/>
        </w:rPr>
        <w:cr/>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Ms. Jackson's seeks $5,400 for costs of future care. She claims the cost of periodic physiotherapy to deal with pain flare-ups, and costs for medication. Her position is that she will require about $100 per year for medications such as analgesics over a further 18 years of employment. She claims $1,800 for this item.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Ms. Jackson also seeks an award reflecting future physiotherapy and massage therapy costs. She claims $200 per year for the 18 years until she reaches age 65, for a total of $3,600 for this item.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The defence position is that Ms. Jackson should not receive any award for the 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Ms. Jackson's future care claim is generally reasonable. She is entitled to $5,000 for the cost of future care.</w:t>
      </w:r>
      <w:r>
        <w:rPr>
          <w:rFonts w:ascii="arial" w:eastAsia="arial" w:hAnsi="arial" w:cs="arial"/>
          <w:sz w:val="20"/>
          <w:lang w:val="en-US" w:eastAsia="en-US" w:bidi="ar-SA"/>
        </w:rPr>
        <w:cr/>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Ms. Jackson claims $8,244 in special damages. The defence position is that only about $1,600 is recoverable because the balance of the expenses were caused by the degenerative disc and not the accident. The sole question here arises from the causation issue, which has been resolved in favour of Ms. Jackson.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As a result, Ms. Jackson is entitled to $8,244 in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In summary, Ms. Jackson is entitled to the following:</w:t>
      </w:r>
      <w:r>
        <w:rPr>
          <w:rFonts w:ascii="arial" w:eastAsia="arial" w:hAnsi="arial" w:cs="arial"/>
          <w:sz w:val="20"/>
          <w:lang w:val="en-US" w:eastAsia="en-US" w:bidi="ar-SA"/>
        </w:rPr>
        <w:cr/>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$75,000 for non-pecuniary damages;</w:t>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$24,265, less income tax and other deductions as required by s. 52 and s. 54 of the </w:t>
      </w:r>
      <w:r>
        <w:rPr>
          <w:rFonts w:ascii="arial" w:eastAsia="arial" w:hAnsi="arial" w:cs="arial"/>
          <w:b/>
          <w:i/>
          <w:color w:val="000000"/>
          <w:sz w:val="20"/>
          <w:lang w:val="en-US" w:eastAsia="en-US" w:bidi="ar-SA"/>
        </w:rPr>
        <w:t>Insurance (Motor Vehicle) Act</w:t>
      </w:r>
      <w:r>
        <w:rPr>
          <w:rFonts w:ascii="arial" w:eastAsia="arial" w:hAnsi="arial" w:cs="arial"/>
          <w:color w:val="000000"/>
          <w:sz w:val="20"/>
          <w:lang w:val="en-US" w:eastAsia="en-US" w:bidi="ar-SA"/>
        </w:rPr>
        <w:t>, the deduction to be agreed or certified by the registrar;</w:t>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$75,000 for lost earning capacity;</w:t>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$5,000 for the cost of future care; and</w:t>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$8,244 for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Unless the parties have further submissions on costs, Ms. Jackson is entitled to costs on Scale B. If the parties have submissions on costs, they should schedule a further hearing through the registry.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GRAY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02" style="position:absolute;z-index:25182617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16"/>
          <w:headerReference w:type="default" r:id="rId317"/>
          <w:footerReference w:type="even" r:id="rId318"/>
          <w:footerReference w:type="default" r:id="rId319"/>
          <w:headerReference w:type="first" r:id="rId320"/>
          <w:footerReference w:type="first" r:id="rId32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22" w:history="1">
        <w:r>
          <w:rPr>
            <w:rFonts w:ascii="arial" w:eastAsia="arial" w:hAnsi="arial" w:cs="arial"/>
            <w:b/>
            <w:bCs/>
            <w:i/>
            <w:color w:val="0077CC"/>
            <w:kern w:val="32"/>
            <w:sz w:val="28"/>
            <w:szCs w:val="32"/>
            <w:u w:val="single"/>
            <w:shd w:val="clear" w:color="auto" w:fill="FFFFFF"/>
            <w:lang w:val="en-US" w:eastAsia="en-US" w:bidi="ar-SA"/>
          </w:rPr>
          <w:t>Middleton v. Morcke, [2007] B.C.J. No. 1237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Stromberg-Stein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7 - 11,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6,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Nos. M045173 and M045174</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[2007] B.C.J. No. 1237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323" w:history="1">
        <w:r>
          <w:rPr>
            <w:rFonts w:ascii="arial" w:eastAsia="arial" w:hAnsi="arial" w:cs="arial"/>
            <w:i/>
            <w:color w:val="0077CC"/>
            <w:sz w:val="20"/>
            <w:u w:val="single"/>
            <w:shd w:val="clear" w:color="auto" w:fill="FFFFFF"/>
            <w:lang w:val="en-US" w:eastAsia="en-US" w:bidi="ar-SA"/>
          </w:rPr>
          <w:t>2007 BCSC 804</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323" w:history="1">
        <w:r>
          <w:rPr>
            <w:rFonts w:ascii="arial" w:eastAsia="arial" w:hAnsi="arial" w:cs="arial"/>
            <w:i/>
            <w:color w:val="0077CC"/>
            <w:sz w:val="20"/>
            <w:u w:val="single"/>
            <w:shd w:val="clear" w:color="auto" w:fill="FFFFFF"/>
            <w:lang w:val="en-US" w:eastAsia="en-US" w:bidi="ar-SA"/>
          </w:rPr>
          <w:t>157 A.C.W.S. (3d) 965</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Carrie Middleton, Plaintiff, and Karen Morcke, Defendant (Registry No. M045173) And between Carrie Middleton, Plaintiff, and Myounghi Lee, Defendant (Registry No. M045174)</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03" style="position:absolute;z-index:2516746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08" w:name="Keywords_14"/>
      <w:bookmarkEnd w:id="108"/>
      <w:r>
        <w:rPr>
          <w:rFonts w:ascii="arial" w:eastAsia="arial" w:hAnsi="arial" w:cs="arial"/>
          <w:b/>
          <w:color w:val="000000"/>
          <w:sz w:val="20"/>
          <w:lang w:val="en-US" w:eastAsia="en-US" w:bidi="ar-SA"/>
        </w:rPr>
        <w:t>Damages — General damages — For personal injuries — Loss of earning capacity — Non-pecuniary damages, including pain and suffering — The plaintiff was awarded $56,914 in damages against the two defendants for injuries suffered in the two motor vehicle accidents — General damages of $60,000 were awarded, apportioned at 60 per cent for the first accident, and 40 for the second; all was reduced by 40 per cent for failure to mitigate, and the award for lost earning capacity was $10,000.</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Apportionment of liability — The plaintiff was awarded $56,914 in damages against the two defendants for injuries suffered in the two motor vehicle accidents — General damages of $60,000 were awarded, apportioned at 60 per cent for the first accident, and 40 for the second; all was reduced by 40 per cent for failure to mitigate, and the award for lost earning capacity was $10,000.</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09" w:name="Case Summary_13"/>
            <w:bookmarkEnd w:id="10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 brought two actions seeking damages for injuries allegedly sustained in two different motor vehicle accidents -- She sought general damages of $80,000, plus $150,000 for loss of earning capacity, $15,000 for costs of future care, etc. -- The court described the first collision as a "significant thump", while the second involved a touching of bumpers -- The plaintiff argued that the accidents had changed her from a happy, vibrant young woman to a depressed, pained, restricted, limited person -- HELD: The plaintiff was awarded $56,914 in damages -- General damages of $60,000 were awarded, apportioned at 60 per cent for the first accident, and 40 for the second; all was reduced by 40 per cent for failure to mitigate -- The award for lost earning capacity was $10,000 -- The plaintiff had successfully worked both part-time and full-time since the accident, and only missed three days of work due to her injuries; there was no evidence her injuries would appreciably affect her ability to work in any field she might reasonably be expected to pursue -- The award for cost of future care was $1,500 -- Special damages of $9,044 were agreed, as were $370 in past wage loss -- There was little appreciable difference between the plaintiff's pre-accident and post-accident academic performance -- It was impossible to conclude the accidents had caused any significant delay in her education, as she had displayed no consistent educational path, nor a sense of urgency or commitment to her post-secondary education at any time since graduating from high school -- The plaintiff had failed to mitigate with respect to her depressions symptoms, by refusing to attend group therapy or take depression medication.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10" w:name="Counsel_15"/>
      <w:bookmarkEnd w:id="11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04" style="position:absolute;z-index:2517258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C.R. Bacon.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John Noble.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11" w:name="Judgment_15"/>
      <w:bookmarkEnd w:id="111"/>
      <w:r>
        <w:pict>
          <v:line id="_x0000_s1105" style="position:absolute;z-index:251777024"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5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12" w:name="STROMBERG-STEIN J."/>
            <w:bookmarkEnd w:id="112"/>
            <w:r>
              <w:rPr>
                <w:rFonts w:ascii="arial" w:eastAsia="arial" w:hAnsi="arial" w:cs="arial"/>
                <w:b/>
                <w:color w:val="000000"/>
                <w:sz w:val="30"/>
                <w:lang w:val="en-US" w:eastAsia="en-US" w:bidi="ar-SA"/>
              </w:rPr>
              <w:t>STROMBERG-STEIN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Carrie Middleton, was involved in two motor vehicle accidents: one on May 14, 2003, and the other on December 30, 2003. Both were relatively minor rear-end collisions and neither of the other drivers were injured. In the first accident, the impact was a significant thump; damage to the two cars totalled $7,500. The second accident involved a touching of bumpers; there was no monetary damage as a transfer of paint on the plaintiff's bumper was buffed 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Position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It is the position of the plaintiff that the accidents have impacted her life by changing her from a happy, vibrant, active young woman before the accidents, to a depressed, pained, restricted, limited person afterwards. The plaintiff seeks damages in the following amounts: general damages, $80,000; loss of earning capacity, $150,000; special damages, $9,044 (as agreed); wage loss, $370 (as agreed); and cost of future care, $15,000.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Position of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defendants, Karen Morcke and Myounghi Lee, admit that the plaintiff was injured in the accidents and that she has experienced pain and has spent some money on her recovery. However, the defendants argue her ongoing complaints are due to her failure to mitigate her damages: on the physical side, by not exercising properly; and on the psychological side, by declining to follow medical advice by refusing to take biofeedback, group therapy or anti-depressant medication. It is the position of the defendants that the plaintiff should be awarded $30,000 for pain and suffering; $9,044 for special damages; $370 for past income loss; and $1,000 for cost of future care, limited to five prolotherapy sessions. The defendants submit there should be no award for loss of earning capacity or, in the alternative, that it should be less than $10,000.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Global Assessment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Both parties agree a global assessment of damages is appropriate, since the second accident only aggravated the plaintiff's injuries received in the first accident. Both parties ask the Court to apportion a percentage of damages attributable to each accident for the purpose of Rule 37 (Offer to Settle) of the </w:t>
      </w:r>
      <w:r>
        <w:rPr>
          <w:rFonts w:ascii="arial" w:eastAsia="arial" w:hAnsi="arial" w:cs="arial"/>
          <w:b/>
          <w:i/>
          <w:color w:val="000000"/>
          <w:sz w:val="20"/>
          <w:lang w:val="en-US" w:eastAsia="en-US" w:bidi="ar-SA"/>
        </w:rPr>
        <w:t>Rules of Court</w:t>
      </w:r>
      <w:r>
        <w:rPr>
          <w:rFonts w:ascii="arial" w:eastAsia="arial" w:hAnsi="arial" w:cs="arial"/>
          <w:color w:val="000000"/>
          <w:sz w:val="20"/>
          <w:lang w:val="en-US" w:eastAsia="en-US" w:bidi="ar-SA"/>
        </w:rPr>
        <w:t>. In that regard, the defendants seek to apportion damages for the first and second accidents at 75%/25%; the plaintiff seeks to apportion damages at 50%/50%.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Plaintiff's Pre-Accident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Prior to the first accident, the plaintiff was a healthy woman with no disability or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had no functional limitations before the first accident. She was physically active, participating in biking, hiking, golfing at the driving range, playing tennis, swimming and dancing. She worked part-time, went to school part-time, and had a serious boyfriend. She was an avid reader, helpful around the house and got along well with her family and friends.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only active medical problems the plaintiff had before the first accident were asthma and eczema. She also suffered from migraine headaches in the latter years of high school and the first year of college. In late 1999, the plaintiff had some neck and upper back pain, attributed to a postural problem arising from her full-time work as a marketing assistant to a financial planner, which disappeared following a short course of physiotherapy and correction of her posture. X-rays taken on December 14, 1999, of the lumbar spine, sacroiliac joint and right ankle were normal. There were a few isolated incidents of emotional upset recorded in the medical records. The plaintiff had no active or problematic medical conditions at the time of 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Plaintiff's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On the day of the first accident, the plaintiff's only symptom was a headache. The next day, she woke up with a stiff neck and back, which became more painful and stiff over the next few days, at which point she sought medical attention.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As a result of the first accident, the plaintiff was diagnosed with soft tissue injuries to her neck, and upper and low back. She had pain and discomfort in her left arm, left elbow and fingers, jaw pain, and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After the first accident, the plaintiff was prescribed muscle relaxants, painkillers, and anti-inflammatory medications. She attended physiotherapy, massage therapy, and exercise therapy. The plaintiff's injuries responded well initially.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 was on the way to recovery from the first accident when the second accident occurred. The second accident essentially exacerbated her injuries suffered in 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Following the second accident, the plaintiff was prescribed muscle relaxants, painkillers, anti-inflammatory medications, as well as medications for sleep, anxiety and depression. She continued with physiotherapy, participated in an exercise program with a kinesiologist, had acupuncture, saw a naturopath and received prolotherapy and trigger point injections.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An x-ray of the lumbar spine and sacroiliac joints, dated March 9, 2005, was normal, as was an x-ray of the cervical spine dated October 17,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Dr. Manchanda, the plaintiff's medical expert and treating physician in relation to chronic musculoskeletal pain, diagnosed the plaintiff with chronic regional myofascial pain stemming from musculo-ligamentous injuries around her low back/sacroiliac joints, upper back and neck. He also diagnosed her with cervicogenic headaches. Dr. Manchanda referred the plaintiff to Dr. Hrabar, a doctor who specializes in psychosocial health, for management and treatment of her mood and depression. Dr. Hrabar diagnosed the plaintiff with a mood disorder and sleep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Summary of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plaintiff testified that for about two months after the first accident the headaches were virtually constant, generally lasting several days and being of considerable severity. By the end of December 2003, they had improved, and the duration and severity had decreased. The plaintiff's headaches became worse after the second accident; almost as bad as after the first accident. The plaintiff currently gets headaches two to three times a week. The headaches affect her life by making it hard for her to work, and hard for her to focus at work and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plaintiff testified that she endured constant neck pain and stiffness for three or four months following the first accident, which left her only able to look straight ahead, with throbbing pain, as well as pins and needles down the front and back of her neck. By the end of December 2003, her neck had improved to the point where, if she found a comfortable position in which to hold her head, she would be okay unless she moved her head. After the second accident, the plaintiff testified that she was almost put back to where she was after the first accident. She has recently noticed improvement with prolotherapy, physiotherapy, acupuncture, and cortisone injections.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plaintiff began to notice pain in her upper back within two or three days after the first accident. By the end of December 2003, her upper back had improved and she no longer experienced pins and needles, but she noticed a pulling sensation if she reached her arms out. She now feels tightness in those muscles, accompanied by an ache. She underwent trigger point injections, but the pain still bothers her with moving and sleeping. It is sometimes constant and aggravated by moving.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plaintiff's mid-back pain was similar to her experience with her upper back. She felt stiffness, pins and needles, throbbing and aching. It improved and did not bother her all the time by the end of December 2003. Now, her mid-back does not hurt her constantly, but she still feels a pulling sensation.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plaintiff's low back pain started in the summer of 2003. She felt weakness in the bottom of her back and had trouble keeping her balance. Sitting and bending hurt. It would ache constantly for days. By the end of December 2003, her low back was still bothering her. Although she still gets pain, she can now sit for longer - about 20 to 30 minutes, compared to about 15 minutes before the prolotherapy. She has to continually cross and uncross her legs to sit this long without pain. Bending has become easier and she can now stand for 30 minutes without moving.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plaintiff testified that her left arm began to bother her shortly after the first accident. It ached in her upper arm into her elbow and caused a pulling sensation in her fingers. She had a constant ache in her elbow, but her fingers only tingled when using and extending her arm. By the end of December 2003 the problem had improved, but it was still there. The plaintiff testified that her left arm is now better; she rarely gets pain, but she still gets the pulling sensation and a bit of tingling in her fingers.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plaintiff testified that she had jaw pain within days of the first accident, that it was stiff and sore to chew, and that she noticed a popping sound, all of which would come and go. By the end of December 2003, she was aware of jaw pain when she was chewing or when she got upset. The jaw pain was made worse by the second accident and continues to bother her. Her doctor anticipates referring her to a dental specialist.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plaintiff testified that her sleep was disturbed as a result of the first accident due to pain. By the end of December 2003, her sleep had improved a bit. The plaintiff continues to have trouble sleeping, for which she uses a prescription for Trazodone a couple of times a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Impact on Academic Performance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addition to her physical and psychological condition, the plaintiff testified that her injuries had a detrimental affect on her schooling. She was unable to concentrate because of headaches; often she could not sit through classes; and she had difficulty with required readings because of her inability to sit and concentrate. She asked for extensions frequently; when these were not forthcoming she sometimes handed in incomplete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plaintiff testified that she failed one course, Marketing Management, in the fall of 2003 because of her injuries. Her instructor was not very accommodating; nor was her group for a group project. She did very poorly on the midterm exam because she could not concentrate. She left some classes early, or skipped the second hour after the break. The plaintiff asserts that as a result of failing Marketing Management her graduation from the Marketing Management program was delayed. She claims she could have graduated after the Winter 2004 session, when she passed the Business Statistics Course on her second attempt. However, because she had failed Marketing Management, and because she did not wish to take the course again with the same instructor, she did not retake it until the fall of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addition, the plaintiff claims she has not been able to do as well as she would have liked at Simon Fraser University because of her inability to sit through long classes, concentrate and complete reading assignments, all of which she says have affected her grades.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Dr. Semrau, the defendants' forensic psychiatry expert, considered the plaintiff's complaint that her injuries interfered with her academic performance. He stated that she was an average student before the accident and devoted considerable energy to her employment during studies. He took into account these factors and the general tendency for studies to become more demanding at more advanced levels, commenting on the difficulty in determining the extent to which her symptoms have impacted her academic performance. He did acknowledge that it was plausible that pain, difficulty sitting, and impaired concentration and memory would have significant negative effects on academic performance. Subsequently, Dr. Semrau had an opportunity to review Ms. Middleton's academic transcripts and concluded she had a decrease in academic performance for two semesters following the accident, but then recovered her academic ability as shown by her increased grades in the fall of 2004, her highest levels of achievement in her academic career.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 agree with the defendants that the educational transcripts placed into evidence in this case tell the whole story. The plaintiff was a marginal-to-average student from the earliest date for which there are records; and she continues to be a marginal-to-average student after the accidents. There is little appreciable difference in her pre-accident and post-accident performance, other than for two semesters following 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Further, Ms. Middleton has been a less than dedicated student for her entire post-secondary career, meandering from program to program, changing programs twice before settling on Marketing Management, and then switching to a Communications degree program at a different institution prior to completing her Marketing Management diploma. Both before and after the accidents, she has taken as little as one course per semester up to as many as four courses. She abandoned the pursuit of her diploma entirely for two and a half years in the middle of the program, because she preferred working over attending college. She ultimately took over seven years to complete a two year diploma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It has now been ten years since Ms. Middleton graduated high school, and she just recently obtained her Marketing Management diploma. She recently took off the entire Winter 2007 semester to focus on this trial, even though the semester and exams finished in April, prior to the commencement of the trial. She made her part-time jobs her priority in order to maintain her health benefits, and because she enjoyed her job in the family-like atmosphere at IKEA. Her parents required her to be in school to continue living in the family home where she was "financially taken care of" and received free room and board in a comfortable, loving, supportive environment.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It is impossible to conclude on the evidence that the accidents caused any significant delay in the plaintiff's education, as she has displayed no consistent educational path, nor a sense of urgency or commitment to her post-secondary education at any time since she graduated from high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General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The plaintiff relies on the decision of </w:t>
      </w:r>
      <w:r>
        <w:rPr>
          <w:rFonts w:ascii="arial" w:eastAsia="arial" w:hAnsi="arial" w:cs="arial"/>
          <w:b/>
          <w:i/>
          <w:color w:val="000000"/>
          <w:sz w:val="20"/>
          <w:lang w:val="en-US" w:eastAsia="en-US" w:bidi="ar-SA"/>
        </w:rPr>
        <w:t>Foran</w:t>
      </w:r>
      <w:r>
        <w:rPr>
          <w:rFonts w:ascii="arial" w:eastAsia="arial" w:hAnsi="arial" w:cs="arial"/>
          <w:b/>
          <w:color w:val="000000"/>
          <w:sz w:val="20"/>
          <w:lang w:val="en-US" w:eastAsia="en-US" w:bidi="ar-SA"/>
        </w:rPr>
        <w:t xml:space="preserve"> v. </w:t>
      </w:r>
      <w:r>
        <w:rPr>
          <w:rFonts w:ascii="arial" w:eastAsia="arial" w:hAnsi="arial" w:cs="arial"/>
          <w:b/>
          <w:i/>
          <w:color w:val="000000"/>
          <w:sz w:val="20"/>
          <w:lang w:val="en-US" w:eastAsia="en-US" w:bidi="ar-SA"/>
        </w:rPr>
        <w:t>Nguyen</w:t>
      </w:r>
      <w:r>
        <w:rPr>
          <w:rFonts w:ascii="arial" w:eastAsia="arial" w:hAnsi="arial" w:cs="arial"/>
          <w:color w:val="000000"/>
          <w:sz w:val="20"/>
          <w:lang w:val="en-US" w:eastAsia="en-US" w:bidi="ar-SA"/>
        </w:rPr>
        <w:t xml:space="preserve">, </w:t>
      </w:r>
      <w:hyperlink r:id="rId300" w:history="1">
        <w:r>
          <w:rPr>
            <w:rFonts w:ascii="arial" w:eastAsia="arial" w:hAnsi="arial" w:cs="arial"/>
            <w:i/>
            <w:color w:val="0077CC"/>
            <w:sz w:val="20"/>
            <w:u w:val="single"/>
            <w:shd w:val="clear" w:color="auto" w:fill="FFFFFF"/>
            <w:lang w:val="en-US" w:eastAsia="en-US" w:bidi="ar-SA"/>
          </w:rPr>
          <w:t>2006 BCSC 605</w:t>
        </w:r>
      </w:hyperlink>
      <w:r>
        <w:rPr>
          <w:rFonts w:ascii="arial" w:eastAsia="arial" w:hAnsi="arial" w:cs="arial"/>
          <w:color w:val="000000"/>
          <w:sz w:val="20"/>
          <w:lang w:val="en-US" w:eastAsia="en-US" w:bidi="ar-SA"/>
        </w:rPr>
        <w:t xml:space="preserve">, where $90,000.00 was awarded for general damages, and </w:t>
      </w:r>
      <w:r>
        <w:rPr>
          <w:rFonts w:ascii="arial" w:eastAsia="arial" w:hAnsi="arial" w:cs="arial"/>
          <w:b/>
          <w:i/>
          <w:color w:val="000000"/>
          <w:sz w:val="20"/>
          <w:lang w:val="en-US" w:eastAsia="en-US" w:bidi="ar-SA"/>
        </w:rPr>
        <w:t>Heartt</w:t>
      </w:r>
      <w:r>
        <w:rPr>
          <w:rFonts w:ascii="arial" w:eastAsia="arial" w:hAnsi="arial" w:cs="arial"/>
          <w:b/>
          <w:color w:val="000000"/>
          <w:sz w:val="20"/>
          <w:lang w:val="en-US" w:eastAsia="en-US" w:bidi="ar-SA"/>
        </w:rPr>
        <w:t xml:space="preserve"> v. </w:t>
      </w:r>
      <w:r>
        <w:rPr>
          <w:rFonts w:ascii="arial" w:eastAsia="arial" w:hAnsi="arial" w:cs="arial"/>
          <w:b/>
          <w:i/>
          <w:color w:val="000000"/>
          <w:sz w:val="20"/>
          <w:lang w:val="en-US" w:eastAsia="en-US" w:bidi="ar-SA"/>
        </w:rPr>
        <w:t>Royal</w:t>
      </w:r>
      <w:r>
        <w:rPr>
          <w:rFonts w:ascii="arial" w:eastAsia="arial" w:hAnsi="arial" w:cs="arial"/>
          <w:color w:val="000000"/>
          <w:sz w:val="20"/>
          <w:lang w:val="en-US" w:eastAsia="en-US" w:bidi="ar-SA"/>
        </w:rPr>
        <w:t xml:space="preserve">, </w:t>
      </w:r>
      <w:hyperlink r:id="rId305" w:history="1">
        <w:r>
          <w:rPr>
            <w:rFonts w:ascii="arial" w:eastAsia="arial" w:hAnsi="arial" w:cs="arial"/>
            <w:i/>
            <w:color w:val="0077CC"/>
            <w:sz w:val="20"/>
            <w:u w:val="single"/>
            <w:shd w:val="clear" w:color="auto" w:fill="FFFFFF"/>
            <w:lang w:val="en-US" w:eastAsia="en-US" w:bidi="ar-SA"/>
          </w:rPr>
          <w:t>2000 BCSC 1122</w:t>
        </w:r>
      </w:hyperlink>
      <w:r>
        <w:rPr>
          <w:rFonts w:ascii="arial" w:eastAsia="arial" w:hAnsi="arial" w:cs="arial"/>
          <w:color w:val="000000"/>
          <w:sz w:val="20"/>
          <w:lang w:val="en-US" w:eastAsia="en-US" w:bidi="ar-SA"/>
        </w:rPr>
        <w:t>, where the plaintiff was awarded $60,000.00 for general damages. The defendants seek to distinguish these cases on the basis that here the plaintiff's condition is improving, not worsening, and here there is a failure to mitigate on the part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The defendants rely on the following authorities: </w:t>
      </w:r>
      <w:r>
        <w:rPr>
          <w:rFonts w:ascii="arial" w:eastAsia="arial" w:hAnsi="arial" w:cs="arial"/>
          <w:b/>
          <w:i/>
          <w:color w:val="000000"/>
          <w:sz w:val="20"/>
          <w:lang w:val="en-US" w:eastAsia="en-US" w:bidi="ar-SA"/>
        </w:rPr>
        <w:t>Littlewood v. Prendergast</w:t>
      </w:r>
      <w:r>
        <w:rPr>
          <w:rFonts w:ascii="arial" w:eastAsia="arial" w:hAnsi="arial" w:cs="arial"/>
          <w:color w:val="000000"/>
          <w:sz w:val="20"/>
          <w:lang w:val="en-US" w:eastAsia="en-US" w:bidi="ar-SA"/>
        </w:rPr>
        <w:t xml:space="preserve">, </w:t>
      </w:r>
      <w:hyperlink r:id="rId324" w:history="1">
        <w:r>
          <w:rPr>
            <w:rFonts w:ascii="arial" w:eastAsia="arial" w:hAnsi="arial" w:cs="arial"/>
            <w:i/>
            <w:color w:val="0077CC"/>
            <w:sz w:val="20"/>
            <w:u w:val="single"/>
            <w:shd w:val="clear" w:color="auto" w:fill="FFFFFF"/>
            <w:lang w:val="en-US" w:eastAsia="en-US" w:bidi="ar-SA"/>
          </w:rPr>
          <w:t>2004 BCSC 1321</w:t>
        </w:r>
      </w:hyperlink>
      <w:r>
        <w:rPr>
          <w:rFonts w:ascii="arial" w:eastAsia="arial" w:hAnsi="arial" w:cs="arial"/>
          <w:color w:val="000000"/>
          <w:sz w:val="20"/>
          <w:lang w:val="en-US" w:eastAsia="en-US" w:bidi="ar-SA"/>
        </w:rPr>
        <w:t xml:space="preserve"> ($28,000 for general damages); </w:t>
      </w:r>
      <w:r>
        <w:rPr>
          <w:rFonts w:ascii="arial" w:eastAsia="arial" w:hAnsi="arial" w:cs="arial"/>
          <w:b/>
          <w:i/>
          <w:color w:val="000000"/>
          <w:sz w:val="20"/>
          <w:lang w:val="en-US" w:eastAsia="en-US" w:bidi="ar-SA"/>
        </w:rPr>
        <w:t>Krogh v. Swann</w:t>
      </w:r>
      <w:r>
        <w:rPr>
          <w:rFonts w:ascii="arial" w:eastAsia="arial" w:hAnsi="arial" w:cs="arial"/>
          <w:color w:val="000000"/>
          <w:sz w:val="20"/>
          <w:lang w:val="en-US" w:eastAsia="en-US" w:bidi="ar-SA"/>
        </w:rPr>
        <w:t xml:space="preserve">, </w:t>
      </w:r>
      <w:hyperlink r:id="rId325" w:history="1">
        <w:r>
          <w:rPr>
            <w:rFonts w:ascii="arial" w:eastAsia="arial" w:hAnsi="arial" w:cs="arial"/>
            <w:i/>
            <w:color w:val="0077CC"/>
            <w:sz w:val="20"/>
            <w:u w:val="single"/>
            <w:shd w:val="clear" w:color="auto" w:fill="FFFFFF"/>
            <w:lang w:val="en-US" w:eastAsia="en-US" w:bidi="ar-SA"/>
          </w:rPr>
          <w:t>2005 BCSC 761</w:t>
        </w:r>
      </w:hyperlink>
      <w:r>
        <w:rPr>
          <w:rFonts w:ascii="arial" w:eastAsia="arial" w:hAnsi="arial" w:cs="arial"/>
          <w:color w:val="000000"/>
          <w:sz w:val="20"/>
          <w:lang w:val="en-US" w:eastAsia="en-US" w:bidi="ar-SA"/>
        </w:rPr>
        <w:t xml:space="preserve"> ($30,000 for general damages); </w:t>
      </w:r>
      <w:r>
        <w:rPr>
          <w:rFonts w:ascii="arial" w:eastAsia="arial" w:hAnsi="arial" w:cs="arial"/>
          <w:b/>
          <w:i/>
          <w:color w:val="000000"/>
          <w:sz w:val="20"/>
          <w:lang w:val="en-US" w:eastAsia="en-US" w:bidi="ar-SA"/>
        </w:rPr>
        <w:t>Masoodi v. Dennis et al</w:t>
      </w:r>
      <w:r>
        <w:rPr>
          <w:rFonts w:ascii="arial" w:eastAsia="arial" w:hAnsi="arial" w:cs="arial"/>
          <w:color w:val="000000"/>
          <w:sz w:val="20"/>
          <w:lang w:val="en-US" w:eastAsia="en-US" w:bidi="ar-SA"/>
        </w:rPr>
        <w:t xml:space="preserve">, </w:t>
      </w:r>
      <w:hyperlink r:id="rId326" w:history="1">
        <w:r>
          <w:rPr>
            <w:rFonts w:ascii="arial" w:eastAsia="arial" w:hAnsi="arial" w:cs="arial"/>
            <w:i/>
            <w:color w:val="0077CC"/>
            <w:sz w:val="20"/>
            <w:u w:val="single"/>
            <w:shd w:val="clear" w:color="auto" w:fill="FFFFFF"/>
            <w:lang w:val="en-US" w:eastAsia="en-US" w:bidi="ar-SA"/>
          </w:rPr>
          <w:t>2000 BCSC 825</w:t>
        </w:r>
      </w:hyperlink>
      <w:r>
        <w:rPr>
          <w:rFonts w:ascii="arial" w:eastAsia="arial" w:hAnsi="arial" w:cs="arial"/>
          <w:color w:val="000000"/>
          <w:sz w:val="20"/>
          <w:lang w:val="en-US" w:eastAsia="en-US" w:bidi="ar-SA"/>
        </w:rPr>
        <w:t xml:space="preserve"> ($30,000 for general damages); </w:t>
      </w:r>
      <w:r>
        <w:rPr>
          <w:rFonts w:ascii="arial" w:eastAsia="arial" w:hAnsi="arial" w:cs="arial"/>
          <w:b/>
          <w:i/>
          <w:color w:val="000000"/>
          <w:sz w:val="20"/>
          <w:lang w:val="en-US" w:eastAsia="en-US" w:bidi="ar-SA"/>
        </w:rPr>
        <w:t>Eaton v. Regan</w:t>
      </w:r>
      <w:r>
        <w:rPr>
          <w:rFonts w:ascii="arial" w:eastAsia="arial" w:hAnsi="arial" w:cs="arial"/>
          <w:color w:val="000000"/>
          <w:sz w:val="20"/>
          <w:lang w:val="en-US" w:eastAsia="en-US" w:bidi="ar-SA"/>
        </w:rPr>
        <w:t xml:space="preserve">, </w:t>
      </w:r>
      <w:hyperlink r:id="rId327" w:history="1">
        <w:r>
          <w:rPr>
            <w:rFonts w:ascii="arial" w:eastAsia="arial" w:hAnsi="arial" w:cs="arial"/>
            <w:i/>
            <w:color w:val="0077CC"/>
            <w:sz w:val="20"/>
            <w:u w:val="single"/>
            <w:shd w:val="clear" w:color="auto" w:fill="FFFFFF"/>
            <w:lang w:val="en-US" w:eastAsia="en-US" w:bidi="ar-SA"/>
          </w:rPr>
          <w:t>2005 BCSC 3</w:t>
        </w:r>
      </w:hyperlink>
      <w:r>
        <w:rPr>
          <w:rFonts w:ascii="arial" w:eastAsia="arial" w:hAnsi="arial" w:cs="arial"/>
          <w:color w:val="000000"/>
          <w:sz w:val="20"/>
          <w:lang w:val="en-US" w:eastAsia="en-US" w:bidi="ar-SA"/>
        </w:rPr>
        <w:t xml:space="preserve"> ($37,500 for general damages); and </w:t>
      </w:r>
      <w:r>
        <w:rPr>
          <w:rFonts w:ascii="arial" w:eastAsia="arial" w:hAnsi="arial" w:cs="arial"/>
          <w:b/>
          <w:i/>
          <w:color w:val="000000"/>
          <w:sz w:val="20"/>
          <w:lang w:val="en-US" w:eastAsia="en-US" w:bidi="ar-SA"/>
        </w:rPr>
        <w:t>Hicks v. GMAC Leasco Limited et al</w:t>
      </w:r>
      <w:r>
        <w:rPr>
          <w:rFonts w:ascii="arial" w:eastAsia="arial" w:hAnsi="arial" w:cs="arial"/>
          <w:color w:val="000000"/>
          <w:sz w:val="20"/>
          <w:lang w:val="en-US" w:eastAsia="en-US" w:bidi="ar-SA"/>
        </w:rPr>
        <w:t xml:space="preserve">, </w:t>
      </w:r>
      <w:hyperlink r:id="rId328" w:history="1">
        <w:r>
          <w:rPr>
            <w:rFonts w:ascii="arial" w:eastAsia="arial" w:hAnsi="arial" w:cs="arial"/>
            <w:i/>
            <w:color w:val="0077CC"/>
            <w:sz w:val="20"/>
            <w:u w:val="single"/>
            <w:shd w:val="clear" w:color="auto" w:fill="FFFFFF"/>
            <w:lang w:val="en-US" w:eastAsia="en-US" w:bidi="ar-SA"/>
          </w:rPr>
          <w:t>2001 BCSC 1091</w:t>
        </w:r>
      </w:hyperlink>
      <w:r>
        <w:rPr>
          <w:rFonts w:ascii="arial" w:eastAsia="arial" w:hAnsi="arial" w:cs="arial"/>
          <w:color w:val="000000"/>
          <w:sz w:val="20"/>
          <w:lang w:val="en-US" w:eastAsia="en-US" w:bidi="ar-SA"/>
        </w:rPr>
        <w:t xml:space="preserve"> ($35,000 for general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Ms. Middleton suffered soft tissue injuries to her neck and back, jaw, and left arm. She has suffered headaches from the time of the accident to the present. She has been diagnosed with chronic myofacial pain. She has developed depression and has been diagnosed with Major Depressive Episode. She is restricted in all her daily activities at home, at school, and at work. In addition, she has curtailed her recreational activities. The accidents have impacted her sleep, mood, motivation, energy level, memory and concentration. The accidents also impacted on her relationships with her family and friends, and on her employment and education. She received many forms of treatment including medications, physiotherapy, kinesiology, massage therapy, acupuncture, naturopathy, prolotherapy, and trigger point injections.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It is the opinion of her doctors that she will continue to experience some degree of pain indefinitely and it is unlikely she will ever return to the health she enjoyed prior to the accidents. Dr. Manchanda described the prognosis as uncertain. He did not expect a 100% recovery. He allowed that she would be able to work full-time in light physical employment, like her job at IKEA. He felt she would not be able to participate in employment that required her to do heavy physical activity due to the risk of re-injury. He anticipated ongoing pain to a significant degree in the future, and probably for a long time, but not permanently. He said the plaintiff would be at a higher risk of re-injury. It is the opinion of both Dr. Manchanda and Dr. Semrau that the plaintiff continues to be depressed.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It is the plaintiff's position that she has made a reasonable and credible effort at rehabilitation, which has included 106 physiotherapy treatments, 15 painful, intrusive prolotherapy treatments, two sessions of cortisone injections and regular bi-weekly home exercise with an exercise ball and therabands. She submits there is no credible evidence that she should have done more exercise or more treatment for depression, or that doing anything more would have helped her in any significant way. The plaintiff says her primary problem was pain due to her injuries and it was appropriate to focus on her pain, not her depressive reaction to her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defendants argue the plaintiff did not take reasonable steps to mitigate or reduce the loss she suffered as a consequence of the accidents in that she failed to take prescribed medical treatment for depression and did not exercise as she should have.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plaintiff is required to act reasonably to mitigate or lessen her loss and whether she did act reasonably is a question of fact. If the plaintiff did not act reasonably, no damages are recoverable for any loss the plaintiff could have avoided through reasonable action. On this issue, the burden of proof rests upon the defendants to demonstrate on a balance of probabilities that the plaintiff did not act reasonably. The plaintiff is not held to a high standard of conduct in mitigation; the law is satisfied if the plaintiff takes steps that a reasonable person would take in the circumstances to reduce the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Mitigation of Psychological Injuries: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plaintiff acknowledges that she has suffered from depression since the accidents. The defendants acknowledge that her depression was caused by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plaintiff's injuries have had a serious impact on her mood. She has been diagnosed with a mild form of Major Depressive Episode. Both Dr. Manchanda and Dr. Semrau are of the opinion that the plaintiff's depression was caused by her pain and disability since the accidents. Dr. Semrau was of the view that a diagnosis of pain disorder does not appear to be warranted for Ms. Middleton. However, it was likely that the experience of pain substantially aggravated Ms. Middleton's depression, as well as contributed to other difficulties, including sleep problems, fatigue, memory and cognitive difficulties.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On December 30, 2005, Dr. Manchanda referred the plaintiff to Dr. Hrabar. The plaintiff saw Dr. Hrabar only four times: January 3 and 10, February 21, and March 7, 2006. The treatment plan was to first improve the plaintiff's sleep cycle by putting her on Trazodone, and then putting her on the anti-depressant Celexa. Dr. Hrabar also recommended that the plaintiff take biofeedback as a means of treating her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plaintiff did not return in one to two weeks as directed by Dr. Hrabar on January 10, 2006. There is no explanation for the plaintiff not returning for almost six weeks. There is no record of any complaints by the plaintiff with respect to taking Celexa, and the dosage was increased to 20mg.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plaintiff's last visit to Dr. Hrabar was on March 7, 2006. Dr. Hrabar's notes indicate that the plaintiff complained of feeling restless and "still" having difficulty concentrating. The plaintiff reported having quit Celexa three days prior to the appointment. Dr. Hrabar advised the plaintiff to restart Celexa, and to take biofeedback and group 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plaintiff testified that she discontinued Celexa because it "made everything worse", and that she communicated these complaints to Dr. Hrabar, but Dr. Hrabar did not take her seriously.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Dr. Semrau testified that there are over twenty anti-depressants available, and if the plaintiff had complained of significant problems with the drug, Dr. Hrabar would undoubtedly have tried a different anti-depressant, which is the standard treatment protocol for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Rather than restarting Celexa or requesting a different anti-depressant, the plaintiff simply disregarded the recommendation to resume Celexa and never returned to Dr. Hrabar.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Dr. Manchanda testified that had the plaintiff told him that she was not comfortable seeing Dr. Hrabar, he himself would have dealt with her depression. The plaintiff never told Dr. Manchanda that she was unhappy with Dr. Hrabar, and there is no indication in Dr. Manchanda's notes or reports that he was even aware the plaintiff had discontinued treatment for her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plaintiff denies the defendants' suggestion that she has failed to mitigate her loss by not following through with the treatments for depression recommended by Dr. Hrabar, maintaining that her actions were perfectly reasonable in focussing her time and energy on healing her physical complaints, which had the effect of reducing her depression. It is the position of the plaintiff that treating her depression would not have solved the underlying problem of the injuries she suffered in the accidents, whereas treating her injuries would help in solving the problem of her depression. She relies on Dr. Semrau's evidence that the prescribed anti-depressant likely provided no help; that she was right to pursue treatment for her injuries to lessen her pain and hence her depression; and that both group therapy and biofeedback are less likely to work if they are not supported by the patient.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plaintiff chose to disregard Dr. Hrabar's advice to undertake biofeedback and group therapy; she testified that neither was explained to her, so she "really didn't understand what they were". The plaintiff testified at trial that her reason for not pursuing group therapy was that she did not want to be around other depressed people. Further, the plaintiff told Dr. Semrau that she did not follow the recommendations of Dr. Hrabar as she felt she did not need group therapy or biofeedback, which seemed "too drastic a way to deal with not being happy all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 agree with the defendants' comment that this is a case of a patient thinking that she knows better than her health practitioners. In cross-examination when asked why she did not pursue group therapy and biofeedback, the plaintiff stated "I didn't have time to do all that". This response indicates that the plaintiff's priority was not her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Dr. Manchanda agreed that a person who has a mood disorder will experience more pain and fatigue than a person who does not have a mood disorder, because pain is moderated by the brain.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Dr. Semrau's opinion is that the plaintiff needs to resume psychological and prescription anti-depressant therapies, with a likelihood of significant symptomatic and functional improvement to be expected. He concluded that the plaintiff's decision to abandon anti-depressant treatment and to not undertake psychological therapy for her depression has likely negatively impacted her symptomatic and functional recovery in the following ways:</w:t>
      </w:r>
      <w:r>
        <w:rPr>
          <w:rFonts w:ascii="arial" w:eastAsia="arial" w:hAnsi="arial" w:cs="arial"/>
          <w:sz w:val="20"/>
          <w:lang w:val="en-US" w:eastAsia="en-US" w:bidi="ar-SA"/>
        </w:rPr>
        <w:cr/>
      </w:r>
    </w:p>
    <w:p>
      <w:pPr>
        <w:numPr>
          <w:numId w:val="1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intensification of depressive symptoms;</w:t>
      </w:r>
    </w:p>
    <w:p>
      <w:pPr>
        <w:numPr>
          <w:numId w:val="1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prolongation of depressive symptoms;</w:t>
      </w:r>
    </w:p>
    <w:p>
      <w:pPr>
        <w:numPr>
          <w:numId w:val="1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likely increase the difficulty and duration of subsequent anti-depressant treatment;</w:t>
      </w:r>
    </w:p>
    <w:p>
      <w:pPr>
        <w:numPr>
          <w:numId w:val="1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likely increase the risk of future depressive episodes;</w:t>
      </w:r>
    </w:p>
    <w:p>
      <w:pPr>
        <w:numPr>
          <w:numId w:val="1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likely reduce general, educational and occupational motivation and performance; and</w:t>
      </w:r>
    </w:p>
    <w:p>
      <w:pPr>
        <w:numPr>
          <w:numId w:val="1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likely aggravate pain experience and interfere with physical symptoms and functional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Dr. Semrau testified that none of the medications the plaintiff has taken, with the exception of Celexa, were prescribed in dosages designed to treat depression. He endorses Dr. Hrabar's recommendations that the plaintiff pursue group therapy and biofeedback. In his opinion, the plaintiff's condition requires both physical and psychological treatment. In his opinion, while it is good that she is benefiting from prolotherapy, she would get more rapid and more complete benefit by using group therapy and biofeedback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defendants have established a failure to mitigate on the part of the plaintiff with respect to treatment for depression. The evidence supports the conclusion that the plaintiff's depression would be significantly improved by this time, if not resolved, had the plaintiff pursued recommended treatment for depression. This is a case where the plaintiff has unreasonably failed to adopt any of Dr. Hrabar's recommendations with respect to treating her depression. Of note, this trial commenced about sixteen months after treatment for depression should reasonably have been pursued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Mitigation of Physical Injuries: Exercise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defendants submit that the plaintiff has failed to pursue an adequate, active exercise program. Instead, she has unreasonably relied almost exclusively on passive therapy modalities, such as prolotherapy, acupuncture and physiotherapy. The evidence adduced demonstrates the value of exercise to aid quick recovery for the plaintiff's type of injuries. In addition, exercise has a positive effect in alleviating the symptoms of depression. The medical evidence establishes there is an overlap between pain and depression; there is a connection between a person's mood and their perception of physical pain. For someone like the plaintiff, an exercise program is a key part of her recovery, not a recreational activity that she may discontinue if she does not find it enjoyable. The evidence establishes that the plaintiff put minimal effort, at best, into an exercise regime.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plaintiff has failed to follow the advice of her treating health professionals with respect to maintaining a regular exercise program. The defendants are entitled to a deduction in her damages to account for the fact that her recovery from her injuries would have been faster and more complete had she maintained a regular exercise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Assessment of General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In my view, general damages are appropriately assessed at $60,000 and apportioned at 60% to the first accident, 40% to the second. However, the plaintiff has failed to mitigate her damages by not treating her depression and not engaging in an exercise regime. In the circumstances, an appropriate reduction for such failure to mitigate is 40%; therefore, damages are awarded at $36,000.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Loss of Opportunity and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plaintiff has continued to work since the accidents, missing only three days of work due to the second accident. The plaintiff has been very successful in her IKEA career, both before and since the accidents. Her performance reviews show that she likes IKEA and IKEA likes her. She has no intention of changing jobs. To date, the plaintiff's actual earnings at IKEA have not been impacted by her injuries. Accommodations have been made by her co-workers to allow her to continue working without performing all the physical tasks required and by giving her breaks. She did not apply for a position as Small Business Coordinator when that position became vacant because it was a full-time position and she did not feel that she would have the flexibility to take time off, either when she was having a bad day or to attend school. Her manager, Graham Pascal, testified that despite any physical or psychological limitations the plaintiff may currently exhibit, he would be happy to hire her as a co-ordinator or manager if she applied for such a position, and he encouraged her to apply for a full-time co-ordinator position in the past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Full-time work is available to the plaintiff at IKEA and in the past she has worked full-time in the summer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Richard Carlin, a vocational consultant, suggests the plaintiff's position at IKEA may be more precarious than she realizes. While she has received performance reviews that range from the merely positive to the positively glowing, his opinion is that her ability to work at that level has only been made possible by the fact that she has had very understanding and sympathetic supervisors who knew her before she was injured and who are willing to make allowances for her injuries. Should those people leave the store location where she works, she may find herself with a supervisor who does not know her and is less willing to accommodate her disabilities.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In fact, the plaintiff has worked at IKEA for four years since the motor vehicle accidents with stellar results.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Mr. Carlin suggested an assessment of the long-term consequences on the plaintiff's earning capacity was best left to a labour economist. No such assessment was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In the plaintiff's submission, the case of </w:t>
      </w:r>
      <w:r>
        <w:rPr>
          <w:rFonts w:ascii="arial" w:eastAsia="arial" w:hAnsi="arial" w:cs="arial"/>
          <w:b/>
          <w:i/>
          <w:color w:val="000000"/>
          <w:sz w:val="20"/>
          <w:lang w:val="en-US" w:eastAsia="en-US" w:bidi="ar-SA"/>
        </w:rPr>
        <w:t>Andres v</w:t>
      </w:r>
      <w:r>
        <w:rPr>
          <w:rFonts w:ascii="arial" w:eastAsia="arial" w:hAnsi="arial" w:cs="arial"/>
          <w:b/>
          <w:color w:val="000000"/>
          <w:sz w:val="20"/>
          <w:lang w:val="en-US" w:eastAsia="en-US" w:bidi="ar-SA"/>
        </w:rPr>
        <w:t xml:space="preserve">. </w:t>
      </w:r>
      <w:r>
        <w:rPr>
          <w:rFonts w:ascii="arial" w:eastAsia="arial" w:hAnsi="arial" w:cs="arial"/>
          <w:b/>
          <w:i/>
          <w:color w:val="000000"/>
          <w:sz w:val="20"/>
          <w:lang w:val="en-US" w:eastAsia="en-US" w:bidi="ar-SA"/>
        </w:rPr>
        <w:t>Leslie &amp; Swackhamer</w:t>
      </w:r>
      <w:r>
        <w:rPr>
          <w:rFonts w:ascii="arial" w:eastAsia="arial" w:hAnsi="arial" w:cs="arial"/>
          <w:color w:val="000000"/>
          <w:sz w:val="20"/>
          <w:lang w:val="en-US" w:eastAsia="en-US" w:bidi="ar-SA"/>
        </w:rPr>
        <w:t xml:space="preserve">, </w:t>
      </w:r>
      <w:hyperlink r:id="rId329" w:history="1">
        <w:r>
          <w:rPr>
            <w:rFonts w:ascii="arial" w:eastAsia="arial" w:hAnsi="arial" w:cs="arial"/>
            <w:i/>
            <w:color w:val="0077CC"/>
            <w:sz w:val="20"/>
            <w:u w:val="single"/>
            <w:shd w:val="clear" w:color="auto" w:fill="FFFFFF"/>
            <w:lang w:val="en-US" w:eastAsia="en-US" w:bidi="ar-SA"/>
          </w:rPr>
          <w:t>2005 BCSC 1096</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Andres</w:t>
      </w:r>
      <w:r>
        <w:rPr>
          <w:rFonts w:ascii="arial" w:eastAsia="arial" w:hAnsi="arial" w:cs="arial"/>
          <w:color w:val="000000"/>
          <w:sz w:val="20"/>
          <w:lang w:val="en-US" w:eastAsia="en-US" w:bidi="ar-SA"/>
        </w:rPr>
        <w:t xml:space="preserve">"), best mirrors the plaintiff's facts. In </w:t>
      </w:r>
      <w:r>
        <w:rPr>
          <w:rFonts w:ascii="arial" w:eastAsia="arial" w:hAnsi="arial" w:cs="arial"/>
          <w:b/>
          <w:i/>
          <w:color w:val="000000"/>
          <w:sz w:val="20"/>
          <w:lang w:val="en-US" w:eastAsia="en-US" w:bidi="ar-SA"/>
        </w:rPr>
        <w:t>Andres,</w:t>
      </w:r>
      <w:r>
        <w:rPr>
          <w:rFonts w:ascii="arial" w:eastAsia="arial" w:hAnsi="arial" w:cs="arial"/>
          <w:color w:val="000000"/>
          <w:sz w:val="20"/>
          <w:lang w:val="en-US" w:eastAsia="en-US" w:bidi="ar-SA"/>
        </w:rPr>
        <w:t xml:space="preserve"> Lander J. referred to </w:t>
      </w:r>
      <w:r>
        <w:rPr>
          <w:rFonts w:ascii="arial" w:eastAsia="arial" w:hAnsi="arial" w:cs="arial"/>
          <w:b/>
          <w:i/>
          <w:color w:val="000000"/>
          <w:sz w:val="20"/>
          <w:lang w:val="en-US" w:eastAsia="en-US" w:bidi="ar-SA"/>
        </w:rPr>
        <w:t>Pallos v. Insurance Corp. of British Columbia</w:t>
      </w:r>
      <w:r>
        <w:rPr>
          <w:rFonts w:ascii="arial" w:eastAsia="arial" w:hAnsi="arial" w:cs="arial"/>
          <w:color w:val="000000"/>
          <w:sz w:val="20"/>
          <w:lang w:val="en-US" w:eastAsia="en-US" w:bidi="ar-SA"/>
        </w:rPr>
        <w:t xml:space="preserve"> </w:t>
      </w:r>
      <w:hyperlink r:id="rId21" w:history="1">
        <w:r>
          <w:rPr>
            <w:rFonts w:ascii="arial" w:eastAsia="arial" w:hAnsi="arial" w:cs="arial"/>
            <w:i/>
            <w:color w:val="0077CC"/>
            <w:sz w:val="20"/>
            <w:u w:val="single"/>
            <w:shd w:val="clear" w:color="auto" w:fill="FFFFFF"/>
            <w:lang w:val="en-US" w:eastAsia="en-US" w:bidi="ar-SA"/>
          </w:rPr>
          <w:t>(1995), 100 B.C.L.R. (2d) 260</w:t>
        </w:r>
      </w:hyperlink>
      <w:r>
        <w:rPr>
          <w:rFonts w:ascii="arial" w:eastAsia="arial" w:hAnsi="arial" w:cs="arial"/>
          <w:color w:val="000000"/>
          <w:sz w:val="20"/>
          <w:lang w:val="en-US" w:eastAsia="en-US" w:bidi="ar-SA"/>
        </w:rPr>
        <w:t xml:space="preserve">, </w:t>
      </w:r>
      <w:hyperlink r:id="rId21" w:history="1">
        <w:r>
          <w:rPr>
            <w:rFonts w:ascii="arial" w:eastAsia="arial" w:hAnsi="arial" w:cs="arial"/>
            <w:i/>
            <w:color w:val="0077CC"/>
            <w:sz w:val="20"/>
            <w:u w:val="single"/>
            <w:shd w:val="clear" w:color="auto" w:fill="FFFFFF"/>
            <w:lang w:val="en-US" w:eastAsia="en-US" w:bidi="ar-SA"/>
          </w:rPr>
          <w:t>[1995] 3 W.W.R. 728</w:t>
        </w:r>
      </w:hyperlink>
      <w:r>
        <w:rPr>
          <w:rFonts w:ascii="arial" w:eastAsia="arial" w:hAnsi="arial" w:cs="arial"/>
          <w:color w:val="000000"/>
          <w:sz w:val="20"/>
          <w:lang w:val="en-US" w:eastAsia="en-US" w:bidi="ar-SA"/>
        </w:rPr>
        <w:t xml:space="preserve"> (C.A.), in which the following passage from </w:t>
      </w:r>
      <w:r>
        <w:rPr>
          <w:rFonts w:ascii="arial" w:eastAsia="arial" w:hAnsi="arial" w:cs="arial"/>
          <w:b/>
          <w:i/>
          <w:color w:val="000000"/>
          <w:sz w:val="20"/>
          <w:lang w:val="en-US" w:eastAsia="en-US" w:bidi="ar-SA"/>
        </w:rPr>
        <w:t>Brown v. Golaiy</w:t>
      </w:r>
      <w:r>
        <w:rPr>
          <w:rFonts w:ascii="arial" w:eastAsia="arial" w:hAnsi="arial" w:cs="arial"/>
          <w:color w:val="000000"/>
          <w:sz w:val="20"/>
          <w:lang w:val="en-US" w:eastAsia="en-US" w:bidi="ar-SA"/>
        </w:rPr>
        <w:t xml:space="preserve"> </w:t>
      </w:r>
      <w:hyperlink r:id="rId15"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at 356 (S.C.) is relied upon: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means by which the value of the lost, or impaired, asset is to be assessed varies of course from case to case. Some of the considerations to take into account in making that assessment include whether:</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been rendered less capable overall from earning income from all types of employment;</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marketable or attractive as an employee to potential employers;</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lost the ability to take advantage of all job opportunities which might otherwise have been open to him, had he not been injured; and</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valuable to himself as a person capable of earning income in a competitive labour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plaintiff argues she is less marketable due to her injuries. She says she is unable to do physical work and may not be able to work full-time, and as a result she suggests job opportunities may be lost to her. She is less valuable to herself as she does not have the confidence to apply for full-time work. On behalf of the plaintiff it is submitted that she faces the real and substantial risk that she will end up, at IKEA or elsewhere, among managers and co-workers who will not be so accommodating, with negative employment implications. The plaintiff seeks an award for damages for lost future earning capacity in the amount of $150,000.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The defendants argue the fact that a plaintiff may suffer pain in the course of her employment (as opposed to experiencing disability), can be accounted for in the award of general damages, rather than by making an award for loss of earning capacity: </w:t>
      </w:r>
      <w:r>
        <w:rPr>
          <w:rFonts w:ascii="arial" w:eastAsia="arial" w:hAnsi="arial" w:cs="arial"/>
          <w:b/>
          <w:i/>
          <w:color w:val="000000"/>
          <w:sz w:val="20"/>
          <w:lang w:val="en-US" w:eastAsia="en-US" w:bidi="ar-SA"/>
        </w:rPr>
        <w:t>Radford v. Drobot</w:t>
      </w:r>
      <w:r>
        <w:rPr>
          <w:rFonts w:ascii="arial" w:eastAsia="arial" w:hAnsi="arial" w:cs="arial"/>
          <w:color w:val="000000"/>
          <w:sz w:val="20"/>
          <w:lang w:val="en-US" w:eastAsia="en-US" w:bidi="ar-SA"/>
        </w:rPr>
        <w:t xml:space="preserve">, </w:t>
      </w:r>
      <w:hyperlink r:id="rId330" w:history="1">
        <w:r>
          <w:rPr>
            <w:rFonts w:ascii="arial" w:eastAsia="arial" w:hAnsi="arial" w:cs="arial"/>
            <w:i/>
            <w:color w:val="0077CC"/>
            <w:sz w:val="20"/>
            <w:u w:val="single"/>
            <w:shd w:val="clear" w:color="auto" w:fill="FFFFFF"/>
            <w:lang w:val="en-US" w:eastAsia="en-US" w:bidi="ar-SA"/>
          </w:rPr>
          <w:t>2005 BCSC 293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The fact that a plaintiff did not lose any income prior to trial as a result of the accident is a significant factor that must be considered in assessing a loss of income earning capacity: </w:t>
      </w:r>
      <w:r>
        <w:rPr>
          <w:rFonts w:ascii="arial" w:eastAsia="arial" w:hAnsi="arial" w:cs="arial"/>
          <w:b/>
          <w:i/>
          <w:color w:val="000000"/>
          <w:sz w:val="20"/>
          <w:lang w:val="en-US" w:eastAsia="en-US" w:bidi="ar-SA"/>
        </w:rPr>
        <w:t>Yount v. Prospect Electric Ltd.</w:t>
      </w:r>
      <w:r>
        <w:rPr>
          <w:rFonts w:ascii="arial" w:eastAsia="arial" w:hAnsi="arial" w:cs="arial"/>
          <w:color w:val="000000"/>
          <w:sz w:val="20"/>
          <w:lang w:val="en-US" w:eastAsia="en-US" w:bidi="ar-SA"/>
        </w:rPr>
        <w:t xml:space="preserve">, </w:t>
      </w:r>
      <w:hyperlink r:id="rId331" w:history="1">
        <w:r>
          <w:rPr>
            <w:rFonts w:ascii="arial" w:eastAsia="arial" w:hAnsi="arial" w:cs="arial"/>
            <w:i/>
            <w:color w:val="0077CC"/>
            <w:sz w:val="20"/>
            <w:u w:val="single"/>
            <w:shd w:val="clear" w:color="auto" w:fill="FFFFFF"/>
            <w:lang w:val="en-US" w:eastAsia="en-US" w:bidi="ar-SA"/>
          </w:rPr>
          <w:t>2005 BCSC 322</w:t>
        </w:r>
      </w:hyperlink>
      <w:r>
        <w:rPr>
          <w:rFonts w:ascii="arial" w:eastAsia="arial" w:hAnsi="arial" w:cs="arial"/>
          <w:color w:val="000000"/>
          <w:sz w:val="20"/>
          <w:lang w:val="en-US" w:eastAsia="en-US" w:bidi="ar-SA"/>
        </w:rPr>
        <w:t xml:space="preserve"> at para. 26, citing </w:t>
      </w:r>
      <w:r>
        <w:rPr>
          <w:rFonts w:ascii="arial" w:eastAsia="arial" w:hAnsi="arial" w:cs="arial"/>
          <w:b/>
          <w:i/>
          <w:color w:val="000000"/>
          <w:sz w:val="20"/>
          <w:lang w:val="en-US" w:eastAsia="en-US" w:bidi="ar-SA"/>
        </w:rPr>
        <w:t>Vaillancourt v. Molnar</w:t>
      </w:r>
      <w:r>
        <w:rPr>
          <w:rFonts w:ascii="arial" w:eastAsia="arial" w:hAnsi="arial" w:cs="arial"/>
          <w:color w:val="000000"/>
          <w:sz w:val="20"/>
          <w:lang w:val="en-US" w:eastAsia="en-US" w:bidi="ar-SA"/>
        </w:rPr>
        <w:t xml:space="preserve">, </w:t>
      </w:r>
      <w:hyperlink r:id="rId332" w:history="1">
        <w:r>
          <w:rPr>
            <w:rFonts w:ascii="arial" w:eastAsia="arial" w:hAnsi="arial" w:cs="arial"/>
            <w:i/>
            <w:color w:val="0077CC"/>
            <w:sz w:val="20"/>
            <w:u w:val="single"/>
            <w:shd w:val="clear" w:color="auto" w:fill="FFFFFF"/>
            <w:lang w:val="en-US" w:eastAsia="en-US" w:bidi="ar-SA"/>
          </w:rPr>
          <w:t>2002 BCCA 685</w:t>
        </w:r>
      </w:hyperlink>
      <w:r>
        <w:rPr>
          <w:rFonts w:ascii="arial" w:eastAsia="arial" w:hAnsi="arial" w:cs="arial"/>
          <w:color w:val="000000"/>
          <w:sz w:val="20"/>
          <w:lang w:val="en-US" w:eastAsia="en-US" w:bidi="ar-SA"/>
        </w:rPr>
        <w:t xml:space="preserve"> at para. 72.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defendants submit there is inadequate evidence in this case to support an award for loss of future income or loss of earning capacity. There is no functional capacity evaluation before the court to establish that the plaintiff is not capable of undertaking any particular type of employment, or performing certain employment tasks. Dr. Manchanda suggests that she should avoid employment that requires certain types of physical requirements, but Dr. Manchanda did not test her capacity to perform these types of physical duties. Dr. Manchanda felt the plaintiff will likely be able to work full-time in light physical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vocational report from Richard Carlin opines on the range of opportunities available to a person with a Marketing diploma, but the plaintiff informed Mr. Carlin and testified at trial that her intention is to complete a degree in Communications. Despite giving the opinion that completing her degree will "provide her with a better opportunity for obtaining employment within her physical tolerance levels", Mr. Carlin offers no evidence regarding the range of job opportunities available to a person with a degree in Communications. The plaintiff called no evidence to establish what positions she intends to seek with a degree in Communications. There is no evidence of the physical requirements or remuneration of those positions. It may well be the case that the physical requirements and remuneration are no greater (and may be less than) her current position at IKEA, or management positions she could pursue at IKEA.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Given her work experience before and after the accident, her educational path, and her aptitudes and interests as tested by Mr. Carlin, it is clear that the plaintiff's career path, absent the accidents, would have led her to light employment throughout her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There is no medical evidence that the plaintiff's condition is permanent. Her lower back pain improved with the aid of prolotherapy. She has already realized significant improvement at just short of the halfway point of a course of prolotherapy to her neck. Physiotherapist Lisa Price testified that the plaintiff has continued to make slow improvement. This improvement has been achieved without maintenance of a regular and consistent exercise program, and without a proper course of treatment for her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claim for loss of opportunity to operate an event planning business with Rachel Salloomi is too speculative to warrant compensation. There is no reliable evidence to support or quantify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An award for loss of earning capacity, or impairment of the plaintiff's capital asset, should be very modest in the circumstances of this case where the plaintiff has successfully worked both full and part-time since the accidents and has only missed three days of work due to her injuries. There is no evidence the plaintiff's injuries will appreciably affect her ability to work in any field which she might reasonably be expected to pursue.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The following cases, relied on by the defendants, indicate that the appropriate range is $2,000 to $10,000: </w:t>
      </w:r>
      <w:r>
        <w:rPr>
          <w:rFonts w:ascii="arial" w:eastAsia="arial" w:hAnsi="arial" w:cs="arial"/>
          <w:b/>
          <w:i/>
          <w:color w:val="000000"/>
          <w:sz w:val="20"/>
          <w:lang w:val="en-US" w:eastAsia="en-US" w:bidi="ar-SA"/>
        </w:rPr>
        <w:t>Littlewood v. Prendergast</w:t>
      </w:r>
      <w:r>
        <w:rPr>
          <w:rFonts w:ascii="arial" w:eastAsia="arial" w:hAnsi="arial" w:cs="arial"/>
          <w:color w:val="000000"/>
          <w:sz w:val="20"/>
          <w:lang w:val="en-US" w:eastAsia="en-US" w:bidi="ar-SA"/>
        </w:rPr>
        <w:t xml:space="preserve">, ($2,000); </w:t>
      </w:r>
      <w:r>
        <w:rPr>
          <w:rFonts w:ascii="arial" w:eastAsia="arial" w:hAnsi="arial" w:cs="arial"/>
          <w:b/>
          <w:i/>
          <w:color w:val="000000"/>
          <w:sz w:val="20"/>
          <w:lang w:val="en-US" w:eastAsia="en-US" w:bidi="ar-SA"/>
        </w:rPr>
        <w:t>Cannone v. Tang</w:t>
      </w:r>
      <w:r>
        <w:rPr>
          <w:rFonts w:ascii="arial" w:eastAsia="arial" w:hAnsi="arial" w:cs="arial"/>
          <w:color w:val="000000"/>
          <w:sz w:val="20"/>
          <w:lang w:val="en-US" w:eastAsia="en-US" w:bidi="ar-SA"/>
        </w:rPr>
        <w:t xml:space="preserve">, </w:t>
      </w:r>
      <w:hyperlink r:id="rId333" w:history="1">
        <w:r>
          <w:rPr>
            <w:rFonts w:ascii="arial" w:eastAsia="arial" w:hAnsi="arial" w:cs="arial"/>
            <w:i/>
            <w:color w:val="0077CC"/>
            <w:sz w:val="20"/>
            <w:u w:val="single"/>
            <w:shd w:val="clear" w:color="auto" w:fill="FFFFFF"/>
            <w:lang w:val="en-US" w:eastAsia="en-US" w:bidi="ar-SA"/>
          </w:rPr>
          <w:t>[1999] B.C.J. No. 811</w:t>
        </w:r>
      </w:hyperlink>
      <w:r>
        <w:rPr>
          <w:rFonts w:ascii="arial" w:eastAsia="arial" w:hAnsi="arial" w:cs="arial"/>
          <w:color w:val="000000"/>
          <w:sz w:val="20"/>
          <w:lang w:val="en-US" w:eastAsia="en-US" w:bidi="ar-SA"/>
        </w:rPr>
        <w:t xml:space="preserve"> (S.C.), ($7,500); </w:t>
      </w:r>
      <w:r>
        <w:rPr>
          <w:rFonts w:ascii="arial" w:eastAsia="arial" w:hAnsi="arial" w:cs="arial"/>
          <w:b/>
          <w:i/>
          <w:color w:val="000000"/>
          <w:sz w:val="20"/>
          <w:lang w:val="en-US" w:eastAsia="en-US" w:bidi="ar-SA"/>
        </w:rPr>
        <w:t>Krogh v. Swann</w:t>
      </w:r>
      <w:r>
        <w:rPr>
          <w:rFonts w:ascii="arial" w:eastAsia="arial" w:hAnsi="arial" w:cs="arial"/>
          <w:color w:val="000000"/>
          <w:sz w:val="20"/>
          <w:lang w:val="en-US" w:eastAsia="en-US" w:bidi="ar-SA"/>
        </w:rPr>
        <w:t xml:space="preserve">, ($10,000); and </w:t>
      </w:r>
      <w:r>
        <w:rPr>
          <w:rFonts w:ascii="arial" w:eastAsia="arial" w:hAnsi="arial" w:cs="arial"/>
          <w:b/>
          <w:i/>
          <w:color w:val="000000"/>
          <w:sz w:val="20"/>
          <w:lang w:val="en-US" w:eastAsia="en-US" w:bidi="ar-SA"/>
        </w:rPr>
        <w:t>Hicks v. GMAC Leasco Ltd.</w:t>
      </w:r>
      <w:r>
        <w:rPr>
          <w:rFonts w:ascii="arial" w:eastAsia="arial" w:hAnsi="arial" w:cs="arial"/>
          <w:color w:val="000000"/>
          <w:sz w:val="20"/>
          <w:lang w:val="en-US" w:eastAsia="en-US" w:bidi="ar-SA"/>
        </w:rPr>
        <w:t>,($10,000).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In my view, an appropriate award in the circumstances of this case is $10,000.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Future Cost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Dr. Manchanda recommends that the plaintiff continue to be as active as possible and continue working. He plans to continue with prolotherapy treatments. He expects the plaintiff will not heal completely even after these treatments and will likely have periodic flare-ups of pain. He expects she may need more prolotherapy treatments in one to two years and will need ongoing physiotherapy. He recommends regular aerobic exercise, preferably on a daily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No evidence has been led as to the extent of, or cost of, such future care. The plaintiff's symptoms have waxed and waned. According to Dr. Manchanda, it is unlikely the plaintiff will be symptom free for an indefinite period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plaintiff submits an award for cost of future care should be $15,000, based on what she has expended over the past four years ($10,000). The defendants submit there should be no award for cost of future care; alternatively, any award should be $1,000 for four anticipated prolotherapy treatments.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Having regard to a significant failure to mitigate, I agree with the position of the defendants that any award should be modest. In the circumstances, I award $1,500 for 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In summary, damages are awarded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614"/>
        <w:gridCol w:w="1568"/>
        <w:gridCol w:w="419"/>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General Damages:</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$36,000</w:t>
            </w:r>
          </w:p>
        </w:tc>
        <w:tc>
          <w:tcPr>
            <w:tcW w:w="4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Assessed 60%/40% to</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first and second</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accidents,</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respectively</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2510"/>
        <w:gridCol w:w="1673"/>
        <w:gridCol w:w="564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Lost Capacity:</w:t>
            </w:r>
          </w:p>
        </w:tc>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$10,000</w:t>
            </w:r>
          </w:p>
        </w:tc>
        <w:tc>
          <w:tcPr>
            <w:tcW w:w="553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614"/>
        <w:gridCol w:w="1568"/>
        <w:gridCol w:w="419"/>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Special Damages:</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$ 9,044</w:t>
            </w:r>
          </w:p>
        </w:tc>
        <w:tc>
          <w:tcPr>
            <w:tcW w:w="4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(agreed) plus Court</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Order Interest</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241"/>
        <w:gridCol w:w="836"/>
        <w:gridCol w:w="732"/>
        <w:gridCol w:w="1046"/>
        <w:gridCol w:w="355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Past Wage Loss:</w:t>
            </w:r>
          </w:p>
        </w:tc>
        <w:tc>
          <w:tcPr>
            <w:tcW w:w="81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717"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370</w:t>
            </w:r>
          </w:p>
        </w:tc>
        <w:tc>
          <w:tcPr>
            <w:tcW w:w="102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(agreed) plus</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Court</w:t>
            </w:r>
          </w:p>
        </w:tc>
        <w:tc>
          <w:tcPr>
            <w:tcW w:w="81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17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81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Order Interest</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927"/>
        <w:gridCol w:w="1255"/>
        <w:gridCol w:w="564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86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Cost of Future Care:</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$ 1,500</w:t>
            </w:r>
          </w:p>
        </w:tc>
        <w:tc>
          <w:tcPr>
            <w:tcW w:w="553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3033"/>
        <w:gridCol w:w="57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9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Total:</w:t>
            </w:r>
          </w:p>
        </w:tc>
        <w:tc>
          <w:tcPr>
            <w:tcW w:w="563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u w:val="single"/>
                <w:lang w:val="en-US" w:eastAsia="en-US" w:bidi="ar-SA"/>
              </w:rPr>
              <w:t>56,914</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If the parties cannot resolve the issue of costs, they may make written submissions within 30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STROMBERG-STEIN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06" style="position:absolute;z-index:2518272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34"/>
          <w:headerReference w:type="default" r:id="rId335"/>
          <w:footerReference w:type="even" r:id="rId336"/>
          <w:footerReference w:type="default" r:id="rId337"/>
          <w:headerReference w:type="first" r:id="rId338"/>
          <w:footerReference w:type="first" r:id="rId33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340" w:history="1">
        <w:r>
          <w:rPr>
            <w:rFonts w:ascii="arial" w:eastAsia="arial" w:hAnsi="arial" w:cs="arial"/>
            <w:b/>
            <w:bCs/>
            <w:i/>
            <w:color w:val="0077CC"/>
            <w:kern w:val="32"/>
            <w:sz w:val="28"/>
            <w:szCs w:val="32"/>
            <w:u w:val="single"/>
            <w:shd w:val="clear" w:color="auto" w:fill="FFFFFF"/>
            <w:lang w:val="en-US" w:eastAsia="en-US" w:bidi="ar-SA"/>
          </w:rPr>
          <w:t>Millichamp v. Manhas, [2006] B.C.J. No. 208</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Johnston J.</w:t>
      </w:r>
    </w:p>
    <w:p>
      <w:pPr>
        <w:spacing w:before="120" w:line="260" w:lineRule="atLeast"/>
        <w:jc w:val="center"/>
        <w:rPr>
          <w:lang w:val="en-US" w:eastAsia="en-US" w:bidi="ar-SA"/>
        </w:rPr>
      </w:pPr>
      <w:r>
        <w:rPr>
          <w:rFonts w:ascii="arial" w:eastAsia="arial" w:hAnsi="arial" w:cs="arial"/>
          <w:color w:val="000000"/>
          <w:sz w:val="20"/>
          <w:lang w:val="en-US" w:eastAsia="en-US" w:bidi="ar-SA"/>
        </w:rPr>
        <w:t>Heard: January 13, 2006.</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February 1, 2006.</w:t>
      </w:r>
    </w:p>
    <w:p>
      <w:pPr>
        <w:spacing w:before="120" w:line="260" w:lineRule="atLeast"/>
        <w:jc w:val="center"/>
        <w:rPr>
          <w:lang w:val="en-US" w:eastAsia="en-US" w:bidi="ar-SA"/>
        </w:rPr>
      </w:pPr>
      <w:r>
        <w:rPr>
          <w:rFonts w:ascii="arial" w:eastAsia="arial" w:hAnsi="arial" w:cs="arial"/>
          <w:color w:val="000000"/>
          <w:sz w:val="20"/>
          <w:lang w:val="en-US" w:eastAsia="en-US" w:bidi="ar-SA"/>
        </w:rPr>
        <w:t>Victoria Registry No. 02/3855</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[2006] B.C.J. No. 208</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2006 BCSC 164</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145 A.C.W.S. (3d) 1147</w:t>
      </w:r>
    </w:p>
    <w:p>
      <w:pPr>
        <w:spacing w:before="120" w:line="260" w:lineRule="atLeast"/>
        <w:rPr>
          <w:lang w:val="en-US" w:eastAsia="en-US" w:bidi="ar-SA"/>
        </w:rPr>
      </w:pPr>
      <w:r>
        <w:rPr>
          <w:rFonts w:ascii="arial" w:eastAsia="arial" w:hAnsi="arial" w:cs="arial"/>
          <w:color w:val="000000"/>
          <w:sz w:val="20"/>
          <w:lang w:val="en-US" w:eastAsia="en-US" w:bidi="ar-SA"/>
        </w:rPr>
        <w:t>Between Donald Millichamp, plaintiff, and Dr. P.S. Manhas, Dr. L.E. McLean, Dr. A.J.A. Turner, Dr. W.R. Nielsen, Dr. I.N. Rimmer, The Cowichan District Hospital, Dr. P. Hicken, Dr. N. Finn, Dr. B. Wolfe, Dr. Brent Wayne Chappell, Dr. D. Coupland, Nanaimo Regional General Hospital, Dr. B. Bass, Dr. Alan R. Matthews, Dr. Christopher Jones, Royal Jubilee Hospital, Dr. A. Polson, Dr. J. Piercey, Dr. W. Peter Klinke, John Doe 1, John Doe 2, Jane Doe 1 and Jane Doe 2,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(29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107" style="position:absolute;z-index:251675648"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113" w:name="Keywords_15"/>
      <w:bookmarkEnd w:id="113"/>
      <w:r>
        <w:rPr>
          <w:rFonts w:ascii="arial" w:eastAsia="arial" w:hAnsi="arial" w:cs="arial"/>
          <w:b/>
          <w:color w:val="000000"/>
          <w:sz w:val="20"/>
          <w:lang w:val="en-US" w:eastAsia="en-US" w:bidi="ar-SA"/>
        </w:rPr>
        <w:t>Civil procedure — Judgments and orders — Summary judgments — To dismiss action — Motion for summary judgment dismissing action against radiologist allowed — Patient administered Metformin by hospital within 48 hours after undergoing CT scan — Radiologist had no direct contact with patient — Standard of care of radiologist supervising CT procedure established that it was reasonable for radiologist to rely on hospital staff to screen patients prior to CT scan and to perform CT scan without involvement of radiologist unless technician became aware of matters during screening requiring radiologist's involvement.</w:t>
      </w:r>
    </w:p>
    <w:p>
      <w:pPr>
        <w:spacing w:before="12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 xml:space="preserve">Health law — Health care professionals — Liability (malpractice_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Standard of care — Particular professions — Doctors — Motion for summary judgment dismissing action against radiologist allowed — Patient administered Metformin by hospital within 48 hours after undergoing CT scan — Radiologist had no direct contact with patient — Standard of care of radiologist supervising CT procedure established that it was reasonable for radiologist to rely on hospital staff to screen patients prior to CT scan and to perform CT scan without involvement of radiologist unless technician became aware of matters during screening requiring radiologist's involvement.</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114" w:name="Case Summary_14"/>
            <w:bookmarkEnd w:id="114"/>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Application by defendant Coupland for summary dismissal of action against him -- Coupland was radiologist in attendance when CT was performed on plaintiff -- Plaintiff was diabetic and taking Metformin -- Plaintiff's condition and medication noted on plaintiff's hospital chart -- Contrary to warning that Metformin ought not to be administered for 48 hours after CT scan, plaintiff had Metformin administered over two days immediately following CT scan -- Hospital administering drug was not hospital where Coupland worked and where CT scan was performed -- As result of drug being administered, plaintiff suffered total renal failure -- Coupland only saw CT scan images, did not see plaintiff's chart and did not have direct involvement with patient -- HELD: Application allowed -- No evidence to show that Coupland fell below standard of reasonably competent radiologist -- Standard of care of radiologist supervising CT procedure established that it was reasonable for radiologist to rely on hospital staff to screen patients prior to CT scan and to perform CT scan without involvement of radiologist unless technician became aware of matters during screening requiring radiologist's involvement. </w:t>
            </w:r>
            <w:r>
              <w:rPr>
                <w:lang w:val="en-US" w:eastAsia="en-US" w:bidi="ar-SA"/>
              </w:rPr>
              <w:cr/>
            </w:r>
          </w:p>
          <w:p>
            <w:pPr>
              <w:rPr>
                <w:lang w:val="en-US" w:eastAsia="en-US" w:bidi="ar-SA"/>
              </w:rPr>
            </w:pPr>
          </w:p>
        </w:tc>
      </w:tr>
    </w:tbl>
    <w:p>
      <w:pPr>
        <w:jc w:val="both"/>
        <w:rPr>
          <w:lang w:val="en-US" w:eastAsia="en-US" w:bidi="ar-SA"/>
        </w:rPr>
      </w:pPr>
      <w:bookmarkStart w:id="115" w:name="Legislation Cited_12"/>
      <w:bookmarkEnd w:id="115"/>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lang w:val="en-US" w:eastAsia="en-US" w:bidi="ar-SA"/>
        </w:rPr>
      </w:pPr>
      <w:r>
        <w:pict>
          <v:line id="_x0000_s1108" style="position:absolute;z-index:251726848"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British Columbia Supreme Court Rules, Rule 18A</w:t>
      </w:r>
      <w:r>
        <w:rPr>
          <w:lang w:val="en-US" w:eastAsia="en-US" w:bidi="ar-SA"/>
        </w:rPr>
        <w:cr/>
      </w:r>
    </w:p>
    <w:p>
      <w:pPr>
        <w:keepNext/>
        <w:spacing w:before="240" w:line="340" w:lineRule="atLeast"/>
        <w:rPr>
          <w:lang w:val="en-US" w:eastAsia="en-US" w:bidi="ar-SA"/>
        </w:rPr>
      </w:pPr>
      <w:bookmarkStart w:id="116" w:name="Counsel_16"/>
      <w:bookmarkEnd w:id="116"/>
      <w:r>
        <w:rPr>
          <w:rFonts w:ascii="arial" w:eastAsia="arial" w:hAnsi="arial" w:cs="arial"/>
          <w:b/>
          <w:color w:val="000000"/>
          <w:sz w:val="28"/>
          <w:lang w:val="en-US" w:eastAsia="en-US" w:bidi="ar-SA"/>
        </w:rPr>
        <w:t>Counsel</w:t>
      </w:r>
    </w:p>
    <w:p>
      <w:pPr>
        <w:spacing w:line="60" w:lineRule="exact"/>
        <w:rPr>
          <w:lang w:val="en-US" w:eastAsia="en-US" w:bidi="ar-SA"/>
        </w:rPr>
      </w:pPr>
      <w:r>
        <w:pict>
          <v:line id="_x0000_s1109" style="position:absolute;z-index:251778048"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the Plaintiff: K. Millichamp appearing on behalf of the Plaintiff</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 Doctors: M.G. Thomas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 Hospitals: The Cowichan District Hospital and Nanaimo Regional General Hospital: L.A. Slater</w:t>
      </w:r>
      <w:r>
        <w:rPr>
          <w:lang w:val="en-US" w:eastAsia="en-US" w:bidi="ar-SA"/>
        </w:rPr>
        <w:cr/>
      </w:r>
    </w:p>
    <w:p>
      <w:pPr>
        <w:spacing w:after="240"/>
        <w:rPr>
          <w:lang w:val="en-US" w:eastAsia="en-US" w:bidi="ar-SA"/>
        </w:rPr>
      </w:pPr>
      <w:bookmarkStart w:id="117" w:name="Judgment_16"/>
      <w:bookmarkEnd w:id="117"/>
      <w:r>
        <w:pict>
          <v:line id="_x0000_s1110" style="position:absolute;z-index:251828224"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118" w:name="JOHNSTON J."/>
            <w:bookmarkEnd w:id="118"/>
            <w:r>
              <w:rPr>
                <w:rFonts w:ascii="arial" w:eastAsia="arial" w:hAnsi="arial" w:cs="arial"/>
                <w:b/>
                <w:color w:val="000000"/>
                <w:sz w:val="30"/>
                <w:lang w:val="en-US" w:eastAsia="en-US" w:bidi="ar-SA"/>
              </w:rPr>
              <w:t>JOHNSTON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application was brought by the defendant Dr. D. Coupland pursuant to Rule 18A. Dr. Coupland asks that the action be dismissed as against him.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Mr. Millichamp did not attend the hearing. I was satisfied, based on the submissions of his daughter, Ms. Millichamp, that Mr. Millichamp was too ill to attend this trial. I accepted Ms. Millichamp's representation that she was authorized by her father, the plaintiff Donald Millichamp, to appear on his behalf and make submissions on this matter.</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BACKGROUND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 Millichamp suffers from diabetes and requires a drug called Metformin to stabilize his diabetes.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August 2004 Mr. Millichamp went to the Chemainus Health Care Centre. The nature of his complaints led the Health Care Centre to refer him to Cowichan District Hospital for admission. The admission to Cowichan District Hospital was primarily because of complaints suggestive of a heart condition. Because Mr. Millichamp also complained of blood in his urine, he was examined by a urologist, and an ultrasound was conducted. The ultrasound showed a suspicious mass on Mr. Millichamp's kidney and bladder and he was referred by the urologist to Nanaimo Regional General Hospital for a CT scan.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Ms. Millichamp says that when her father was admitted to Cowichan District Hospital, his renal function was normal.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When the determination was made at the Cowichan District Hospital to seek a CT scan, a requisition for the CT scan was completed and forwarded to Nanaimo Regional General Hospital. That form eventually came to the attention of the defendant Dr. Coupland, as the radiologist on duty. A note on the form advised anyone reading it that Mr. Millichamp was diabetic and that he was taking the medication Metformin.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Dr. Coupland's role, at that stage, was to review the requisition and decide whether to approve the CT scan, which he did.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evidence is that when Mr. Millichamp arrived at Nanaimo Regional General Hospital he was assessed by a technologist employed by the hospital. The technologist is required to complete a form following that assessment, and did so. The technologist then conducted the CT scan, which involved the introduction of a contrast medium by means of an intravenous device and operation of the CT scanning equipment. The technician presumably noted from the hospital chart that Mr. Millichamp was taking Metformin, as he or she put into Mr. Millichamp's chart a standard form which instructed Mr. Millichamp to stop taking Metformin for 48 hours after the CT scan.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This last instruction is required because of a well known and, for the purpose of this trial, undisputed, risk of complications where Metformin is taken or administered after the contrast medium used in the CT scan procedure has been injected into a patient.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During the hearing Ms. Millichamp said that she had documents at home confirming the known risk of taking Metformin within 48 hours of administration of contrast medium. I permitted her to provide that material to me after the hearing, and she provided the same material to counsel for Dr. Coupland as well. Counsel has objected to the admissibility of some of the material so provided, on the basis that the information was not applicable or known to the medical profession at the material time. The information supplied by Ms. Millichamp, to which there was no objection, confirms evidence to that it was known at the time of Mr. Millichamp's CT scan that Metformin should be discontinued at the time of or before the administration of the CT contrast medium.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fact that Mr. Millichamp was taking Metformin was recorded in his patient chart. The patient chart does not always accompany a patient to a CT scan. In this case it did because Mr. Millichamp was transferred from Cowichan District Hospital to Nanaimo Regional General Hospital for the purpose of the CT scan. It is standard procedure for a patient chart to go with a patient whenever the patient is moved from one hospital to another, no matter what the reason for the movement, or the expected duration of the transfer.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evidence is that Dr. Coupland saw only the images produced by the CT scan itself, that he did not see Mr. Millichamp's chart, did not see, examine or have any contact with Mr. Millichamp, and did not see the check list or form filled out by the technician prior to or during the CT scan itself. There is no evidence to suggest that it was any failure on his part that he did not see the chart, the patient, the check list or the form. It appears that it was coincidence that Dr. Coupland was also the radiologist in attendance when Mr. Millichamp's CT scan was performed, as well as the radiologist approving the CT scan procedure itself.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Dr. Coupland, in an affidavit, has said that in ordinary circumstances he would not have any direct contact with a patient undergoing a CT scan and that he relies upon the technician to alert him of any possible complication, to ask him questions or otherwise involve him if there is any reason to do so.</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form filled out by the technician, which is exhibited to Dr. Coupland's affidavit, requires the technician to answer certain questions printed on it, and in this case the technician answered in the affirmative that Mr. Millichamp was diabetic, was taking medication, and that the medication was Metformin.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technician did not answer the question whether Metformin had been taken within the last 48 hours: instead the technician placed a question mark on that portion of the form.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Of principal concern to Ms. Millichamp is that the technician made no entry whatsoever in the portion of the form which calls for an answer to the question "Problems with renal function".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technician did note on the form that there was no discussion with the radiologist (Dr. Coupland), a fact confirmed by Dr. Coupland in his affidavit.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process described by Dr. Coupland is similar to a process described by an expert relied upon by Dr. Coupland. That evidence comes by way of a written opinion of Dr. Kindrachuk.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Dr. Kindrachuk is a radiologist working at Kelowna General Hospital. He describes the very similar procedure for administering a CT scan, although at Kelowna General Hospital there is, in addition to a technologist, a nurse involved at the staff level in administering CT scans. Of importance here is that Dr. Kindrachuk says that he, as a consulting radiologist, would not expect to have any direct dealings with a patient undergoing a CT scan unless the technical or nursing staff identified a problem, or had a question, that in the judgment of the nurse or technician required a consultation with the radiologist.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Millichamp was returned to Cowichan District Hospital following his CT scan. The evidence is that his hospital chart, with the warning concerning discontinuance of Metformin, accompanied him.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Contrary to the warning that Metformin ought not to be administered for 48 hours, Mr. Millichamp had Metformin administered, Ms. Millichamp says five doses in all, by Cowichan District Hospital, over the two days immediately following the CT scan. Mr. Millichamp suffered total renal failure and it is in issue whether that was caused or contributed to by the mistaken administration of the Metformin.</w:t>
      </w:r>
    </w:p>
    <w:p>
      <w:pPr>
        <w:spacing w:before="120" w:line="260" w:lineRule="atLeast"/>
        <w:ind w:firstLine="240"/>
        <w:rPr>
          <w:lang w:val="en-US" w:eastAsia="en-US" w:bidi="ar-SA"/>
        </w:rPr>
      </w:pP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Thomas, as counsel for Dr. Coupland, conceded that there was some evidence, not before the court on this application, from which an argument on causation might be made against Dr. Coupland. He asked that the application to dismiss the claim against Dr. Coupland be considered only on the question whether there was evidence that Dr. Coupland failed to meet the appropriate standard of care. Mr. Thomas admitted that Dr. Coupland owed a duty of care to Mr. Millichamp at all material times.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considering whether there is evidence that Dr. Coupland failed to meet the standard of care required of him, I have not accepted Dr. Kindrachuk's assertions, set out in his report, on that point. In my view, those assertions, for the purpose of this application only, go beyond what I am prepared to accept by way of opinion on a matter that is to be decided by the court. Here I refer specifically to Dr. Kindrachuk's conclusion:</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I ... find that Dr. Coupland acted appropriately and with expected standards in this patient care for the investigation of RCC.</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my view, whatever remains of the ultimate issue rule is offended by this approach to expert opinion.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 do not need that conclusion, however, to reach a result in this case.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Dr. Kindrachuk's description of the process surrounding the CT scan testing in Kelowna in my view is sufficient to establish a standard of care of a radiologist supervising such procedures in Nanaimo. That establishes that it is reasonable that a radiologist rely upon hospital staff, including technicians or technologists, to screen a patient prior to the CT scan, administer the contrast medium for the purposes of the CT scan, perform the CT scan itself, and only involve the radiologist if, in the course of screening or conducting the scan, the technician becomes aware of matters which require the involvement of a radiologist. I find on the evidence that those types of matters are well known to technologists and that in this case, while the technologist may not have performed his function to an appropriate standard (that question is not before me and I make no specific finding in that regard), there is nothing to suggest that that came to the attention of Dr. Coupland. There is nothing to suggest that, if the alleged failure or shortcoming of Nanaimo Regional General Hospital staff should have come to the attention of Dr. Coupland, it was by his breach of his duty of care to Mr. Millichamp that it did not come to his attention.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short, while Ms. Millichamp may have wished that Dr. Coupland might have been more actively involved, or, had he been more actively involved, that he might have been able to prevent what happened to her father when he returned to Cowichan District Hospital, there is no evidence upon which I can find that Mr. Millichamp has met the burden on him to show that Dr. Coupland fell below the standard of care of a reasonably competent radiologist, in the treatment of Mr. Millichamp on August 25, 2000, the day of his CT scan, or in the process in which Dr. Coupland was involved, leading up to that CT scan.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plaintiff's claim against Dr. Coupland is dismissed.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While in ordinary circumstances Dr. Coupland would be entitled to his costs, I am not in a position to say that the question of costs has been fully canvassed, at least by Ms. Millichamp on behalf of her father. Given what I understand to be Mr. Millichamp's current state of health, and the fact that the trial on the issues facing the remaining defendants is to be heard within months, I adjourn the question of costs until the results of that trial are known.</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JOHNSTON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1" style="position:absolute;z-index:25187430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41"/>
          <w:headerReference w:type="default" r:id="rId342"/>
          <w:footerReference w:type="even" r:id="rId343"/>
          <w:footerReference w:type="default" r:id="rId344"/>
          <w:headerReference w:type="first" r:id="rId345"/>
          <w:footerReference w:type="first" r:id="rId34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47" w:history="1">
        <w:r>
          <w:rPr>
            <w:rFonts w:ascii="arial" w:eastAsia="arial" w:hAnsi="arial" w:cs="arial"/>
            <w:b/>
            <w:bCs/>
            <w:i/>
            <w:color w:val="0077CC"/>
            <w:kern w:val="32"/>
            <w:sz w:val="28"/>
            <w:szCs w:val="32"/>
            <w:u w:val="single"/>
            <w:shd w:val="clear" w:color="auto" w:fill="FFFFFF"/>
            <w:lang w:val="en-US" w:eastAsia="en-US" w:bidi="ar-SA"/>
          </w:rPr>
          <w:t>Moses v. Kim, [2007] B.C.J. No. 2045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Gray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16-20 and 23-27.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Written submissions received: May 2,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September 19,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M031647</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[2007] B.C.J. No. 2045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348" w:history="1">
        <w:r>
          <w:rPr>
            <w:rFonts w:ascii="arial" w:eastAsia="arial" w:hAnsi="arial" w:cs="arial"/>
            <w:i/>
            <w:color w:val="0077CC"/>
            <w:sz w:val="20"/>
            <w:u w:val="single"/>
            <w:shd w:val="clear" w:color="auto" w:fill="FFFFFF"/>
            <w:lang w:val="en-US" w:eastAsia="en-US" w:bidi="ar-SA"/>
          </w:rPr>
          <w:t>2007 BCSC 1388</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348" w:history="1">
        <w:r>
          <w:rPr>
            <w:rFonts w:ascii="arial" w:eastAsia="arial" w:hAnsi="arial" w:cs="arial"/>
            <w:i/>
            <w:color w:val="0077CC"/>
            <w:sz w:val="20"/>
            <w:u w:val="single"/>
            <w:shd w:val="clear" w:color="auto" w:fill="FFFFFF"/>
            <w:lang w:val="en-US" w:eastAsia="en-US" w:bidi="ar-SA"/>
          </w:rPr>
          <w:t>162 A.C.W.S. (3d) 163</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Antoine James Moses, Plaintiff, and Taehun Kim and Aviscar Inc., Defendants, and Insurance Corporation of British Columbia, Third Party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(170 paras.)</w:t>
      </w:r>
    </w:p>
    <w:p>
      <w:pPr>
        <w:spacing w:line="24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[Editor's note: Supplementary reasons for judgment were released December 17, 2007. See </w:t>
      </w:r>
      <w:hyperlink r:id="rId349" w:history="1">
        <w:r>
          <w:rPr>
            <w:rFonts w:ascii="arial" w:eastAsia="arial" w:hAnsi="arial" w:cs="arial"/>
            <w:i/>
            <w:color w:val="0077CC"/>
            <w:sz w:val="18"/>
            <w:u w:val="single"/>
            <w:shd w:val="clear" w:color="auto" w:fill="FFFFFF"/>
            <w:lang w:val="en-US" w:eastAsia="en-US" w:bidi="ar-SA"/>
          </w:rPr>
          <w:t>[2007] B.C.J. No. 2693</w:t>
        </w:r>
      </w:hyperlink>
      <w:r>
        <w:rPr>
          <w:rFonts w:ascii="arial" w:eastAsia="arial" w:hAnsi="arial" w:cs="arial"/>
          <w:color w:val="000000"/>
          <w:sz w:val="18"/>
          <w:lang w:val="en-US" w:eastAsia="en-US" w:bidi="ar-SA"/>
        </w:rPr>
        <w:t>.]</w:t>
      </w:r>
      <w:r>
        <w:rPr>
          <w:rFonts w:ascii="arial" w:eastAsia="arial" w:hAnsi="arial" w:cs="arial"/>
          <w:sz w:val="20"/>
          <w:lang w:val="en-US" w:eastAsia="en-US" w:bidi="ar-SA"/>
        </w:rPr>
        <w:cr/>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12" style="position:absolute;z-index:2516766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19" w:name="Keywords_16"/>
      <w:bookmarkEnd w:id="119"/>
      <w:r>
        <w:rPr>
          <w:rFonts w:ascii="arial" w:eastAsia="arial" w:hAnsi="arial" w:cs="arial"/>
          <w:b/>
          <w:color w:val="000000"/>
          <w:sz w:val="20"/>
          <w:lang w:val="en-US" w:eastAsia="en-US" w:bidi="ar-SA"/>
        </w:rPr>
        <w:t>Damages — General damages — For personal injuries — Cost of future care — Loss of earning capacity — Non-pecuniary damages, including pain and suffering — The plaintiff was struck by a car driven by the defendant while he was walking across a highway — He was found to be 65% liable — He suffered severe knee injuries - The plaintiff's damages were assessed as $623,000, which consisted of the following: $165,000 for non-pecuniary damages, $123,000 for past lost earnings, $220,000 for lost future earning capacity, $55,000 for the cost of future care, $20,000 for special damages, and $40,000 for lost housekeeping capacity.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Damages — Physical injuries — Leg injuries — Knee — Age of claimant — 56 to 65 — Non-pecuniary award — $150,001 to $200,000 — Considerations impacting award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The plaintiff was struck by a car driven by the defendant while he was walking across the Trans Canada highway — He was found to be 65% liable — He suffered severe knee injuries — He was awarded $165,000 in non-pecuniary damages, for which the defendant was liable for $57.750.</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Special damages — Loss of income — The plaintiff was struck by a car driven by the defendant while he was walking across the Trans Canada highway — He was found to be 65% liable — He suffered severe knee injuries — He was awarded $220,000 for lost future earning capacity, of which the defendants were liable for $77,000.</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Apportionment of liability — Motor vehicles — Liability of driver — Pedestrians — Signals and warnings — The plaintiff was struck by a car driven by the defendant while he was walking across the Trans Canada highway — At issue was liability — Defendant found 35% liable — While both the plaintiff and the defendant were negligent, the plaintiff bore the greater responsibility because of the care that should have been taken when crossing a highway with a speed limit of 100 kph at a spot which was not designated for pedestrians.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20" w:name="Case Summary_15"/>
            <w:bookmarkEnd w:id="12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Moses, who was struck by a car driven by the defendant Kim and owned by the defendant Aviscar while he was walking across the Trans Canada highway near Lytton, B.C. on September 11, 2002 -- Moses suffered serious physical injuries that included a compound fracture below the knee of both legs -- His bones were slow to heal and his recovery was complicated by infections and other problems -- He was required to undergo 14 surgeries and spent weeks in hospital -- He had a serious setback in February 2006, when his right leg spontaneously re-fractured -- He had continuing pain and mobility problems -- Moses was a status Indian who was not required to pay taxes for income earned on reserve -- Partly as a result, there were few records available to determine his pre-accident earning history -- In addition, he was an active native fisher and hunter prior to the accident who provided fish and game for his own consumption and also for his extended family and friends -- He had lost the ability to provide food by fishing and hunting -- Moses's position was that Kim was solely responsible for the accident -- Moses sought an award of $870,000, plus an amount to be determined regarding tax gross-up and interest -- Kim and Aviscar maintained that Moses was solely responsible for the accident and should recover nothing -- In the event that they were at least partly liable for the accident, Kim and Aviscar maintained that the proper assessment of Moses's damages would be in the range of $300,000 -- HELD: The accident occurred because both Moses and Kim failed to keep an adequate look-out -- Kim had the right-of-way, but he was required to exercise due care to avoid colliding with a pedestrian who was on the highway -- If Kim had honked his horn when it was apparent that Moses was crossing the highway, Moses would likely have been able to run to safety -- The accident site was not a place a driver would expect pedestrians -- While both Moses and Kim were negligent, Moses bore the greater responsibility because of the care that should be taken when crossing a highway with a speed limit of 100 kph at a spot which was not designated for pedestrians -- In the circumstances, Moses was 65% responsible for the accident, and Kim was 35% responsible -- Moses's damages were assessed as $623,000, which consisted of the following: $165,000 for non-pecuniary damages, $123,000 for past lost earnings, $220,000 for lost future earning capacity, $55,000 for the cost of future care, $20,000 for special damages, and $40,000 for lost housekeeping capacity -- Because Moses was 65% responsible for the accident, he was entitled to recover $218,050 from Kim and Aviscar.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21" w:name="Legislation Cited_13"/>
      <w:bookmarkEnd w:id="12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13" style="position:absolute;z-index:2517278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Motor Vehicle Act, </w:t>
      </w:r>
      <w:hyperlink r:id="rId350" w:history="1">
        <w:r>
          <w:rPr>
            <w:rFonts w:ascii="arial" w:eastAsia="arial" w:hAnsi="arial" w:cs="arial"/>
            <w:i/>
            <w:color w:val="0077CC"/>
            <w:sz w:val="20"/>
            <w:u w:val="single"/>
            <w:shd w:val="clear" w:color="auto" w:fill="FFFFFF"/>
            <w:lang w:val="en-US" w:eastAsia="en-US" w:bidi="ar-SA"/>
          </w:rPr>
          <w:t>R.S.B.C. 1996, c. 318, s. 179</w:t>
        </w:r>
      </w:hyperlink>
      <w:r>
        <w:rPr>
          <w:rFonts w:ascii="arial" w:eastAsia="arial" w:hAnsi="arial" w:cs="arial"/>
          <w:color w:val="000000"/>
          <w:sz w:val="20"/>
          <w:lang w:val="en-US" w:eastAsia="en-US" w:bidi="ar-SA"/>
        </w:rPr>
        <w:t>(2), s. 180, s. 181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22" w:name="Counsel_17"/>
      <w:bookmarkEnd w:id="122"/>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14" style="position:absolute;z-index:2517790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G.J. Collette and R.F. Chouinard.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M.P. Ragona, Q.C. and D.L. Romanick.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No other appearances.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23" w:name="Judgment_17"/>
      <w:bookmarkEnd w:id="123"/>
      <w:r>
        <w:pict>
          <v:line id="_x0000_s1115" style="position:absolute;z-index:25182924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4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24" w:name="GRAY J._0"/>
            <w:bookmarkEnd w:id="124"/>
            <w:r>
              <w:rPr>
                <w:rFonts w:ascii="arial" w:eastAsia="arial" w:hAnsi="arial" w:cs="arial"/>
                <w:b/>
                <w:color w:val="000000"/>
                <w:sz w:val="30"/>
                <w:lang w:val="en-US" w:eastAsia="en-US" w:bidi="ar-SA"/>
              </w:rPr>
              <w:t>GRAY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Mr. Moses was walking across the Trans Canada highway near Lytton, B.C. on September 11, 2002 when he was struck by a car driven by the defendant Mr. Kim. The car was owned by the defendant Aviscar. Mr. Moses suffered serious physical injuries, including a compound fracture below the knee of both legs. His bones were slow to heal and his recovery was complicated by infections and other problems. He was required to undergo 13 or 14 surgeries and spent weeks in hospital. He had a serious setback in February 2006, when his right leg spontaneously refractured. He has continuing pain and mobility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Mr. Moses's claim for damages proceeded to a nine-day day trial heard over ten hearing days. Both liability and the quantum of damages were in issue. The defence did not call any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 Moses's position is that Mr. Kim was solely responsible for the accident. Mr. Moses seeks an award of about $870,000, plus an amount to be determined regarding tax gross-up and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defence position is that Mr. Moses was solely responsible for the accident and should recover nothing. In the event that the defendants were at least partly liable for the accident, the defence position is that the proper assessment of Mr. Moses's damages would be in the range of about $300,000.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An unusual feature of this case is the fact that Mr. Moses is a status Indian who is not required to pay taxes for income earned on reserve. Partly as a result, there were few records available to determine Mr. Moses's pre-accident earning history. In addition, Mr. Moses was an active native fisher and hunter prior to the accident who provided fish and game for his own consumption and also for his extended family and friends. He has lost the ability to provide food by fishing and hunting.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FACTS</w:t>
      </w:r>
      <w:r>
        <w:rPr>
          <w:rFonts w:ascii="arial" w:eastAsia="arial" w:hAnsi="arial" w:cs="arial"/>
          <w:sz w:val="20"/>
          <w:lang w:val="en-US" w:eastAsia="en-US" w:bidi="ar-SA"/>
        </w:rPr>
        <w:cr/>
      </w:r>
    </w:p>
    <w:p>
      <w:pPr>
        <w:numPr>
          <w:numId w:val="115"/>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Prior to the accident, Mr. Moses was a strong, independent, and physically active man. He was well-regarded in his community for his reliability, stamina and productivity. He was fun-loving and sociable.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Moses lives in a rented home in Rocky Pine, a part of the Lower Nicola Indian reserve (the "Reserve") about 25 km from Merritt, B.C. His home is about 20 km from the nearest grocery store. He is a member of the Lower Nicola Indian Band (the "Band").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Moses raised two children of his own, who are now in their late 20s, and three older stepchildren. One of those stepchildren was seriously injured in an accident in about 1995 and was generally confined to a wheelchair. In anticipation that the injured stepson would return to Mr. Moses's home, the home was modified to be wheelchair-accessible. An entrance ramp was installed, as were grip bars in the bathroom. As it happens, that stepson went to live on his own and did not live with Mr. Moses after the home was modified. Unfortunately, that stepson passed away in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1962, when Mr. Moses was about 14 and in Grade 6, his father passed away, leaving a widow and eleven young children. Mr. Moses was the oldest. He dropped out of school so that he could help support his family. He has not had any formal education since then.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From about age 14 to 17, Mr. Moses worked as a cowhand on local ranches. In exchange for his work, he received food and credit towards buying his own horse.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When he was about 17, Mr. Moses started working in the logging industry. He worked first as a buckerman. By the time he was in his early 20s, he was working as a hand faller. He enjoyed this job and being in the bush. Hand falling is heavy work. Mr. Moses would carry a 30 pound chainsaw and cut 700-800 trees a day. He was strong and fast and able to bid successfully for contracts as a hand faller. He would work ten months per year, not working during the muddy spring break-up season when logging was unsafe.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Moses suffered periodic back pain from the heavy work as a faller. He would take breaks from working as a hand faller to give his back a rest. After months away, he craved working in the bush and would return to hand falling.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Moses has done other work in his career. He worked in a sawmill as a labourer on the green chain. He did millwork. Mr. Moses did some work as a mechanic, building motors. This job can be heavy work, involving moving the engine or heavy parts. He also worked in silvaculture, which is physical and skilled work, involving walking over rough terrain, and pruning and planting trees. The device for pruning is a rod about 10 or 15 feet long with a small saw on the 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the late 1980s or early 1990s Mr. Moses was on social assistance for about three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the late 1980s, Mr. Moses acquired 25 acres of land on the Reserve. This land was apparently acquired free of charge, on the basis that it belonged to Mr. Moses's family and should be restored to it. Mr. Moses acquired a further 15 acres in the mid 1990s on the same basis. He holds a traditional land holding over this acreage. The Band considers this to be equivalent to having certified possession of land through the Department of Indian Affairs, which is generally equivalent to holding fee simple title. From the Band's perspective, Mr. Moses can do what he wants with his acreage, as long as he does not interfere with the rest of the community.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Before the accident, Mr. Moses planned to build a home and cattle ranch and grow hay on his acreage. He wanted to build a log home and eventually work full time as a rancher with 120 head of cattle. In the area he planned to clear, he marked the trees which he thought would provide logs suitable for constructing a log home. He cleared the area by pushing over the unmarked trees and selling them. He used most of the money to pay for the machines he 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Moses was very active in providing wild food for his extended family and friends. He frequently fished, hunted and collected wild vegetables.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Moses often fished using a dip net. This technique involves using a pole about 12 feet long with a net at the end, and flipping the fish from the river to the nearby rocks. This technique requires strength and agility. Mr. Moses provided salmon to his extended family and friends. He smoked his own fish.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Moses went hunting two to three times a year. He filled up his own freezer, and provided game to his siblings, friends, and elders who could not hunt for themselves. He enjoyed hunting. The hunting was heavy work, often requiring Mr. Moses to drag a deer weighing 80 to 150 pounds out of the forest.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Moses was a good amateur fastball player who often played the position of pitcher. By the time of the accident, he had won dozens of trophies, both as a player and as a coach. He was actively coaching both a men's and a women's team. He devoted a lot of time in the period from May through Labour Day of each year playing, coaching and watching fastball.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evidence at trial regarding Mr. Moses's earning history was scanty, partly because he did not pay income tax as a result of his Indian status. He estimated that he earned on average a range of $3,000 to $8,000 per month for ten months a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Around early 2001, Mr. Moses worked for about six months near Hazleton, B.C., doing hand falling for a brother-in-law. However, the operation suffered financial problems and Mr. Moses returned to Merritt without having been paid for his work. He was unable to find work and collected social assistance for several months in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From about 1997 to 2001, Mr. Moses worked for the Band as a silvaculture supervisor contractor overseeing up to eight men and earning about $300 per day for six months of the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early 2002, Mr. Moses and his brothers hand fell the trees he had marked on his acreage. He stacked the trees to dry and peeled them with help from friends. The logs would ordinarily need to dry for six to 18 months in order to be ready for use in construction. It would cost about $30,000 to purchase that amount of logs in that condition. Mr. Moses does not have any experience building log houses, but one of his brothers does, and he expected to be able to build a log house with help from his brother.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Moses periodically saw a chiropractor in 1998-2001, and a massage therapist in 2001, for treatments on his back. He had x-rays of his lumbar spine taken on April 9, 2001 and February 14, 2002. The reason for those x-rays was not explained in the evidence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Work in the logging industry was difficult to find. By 2002, the logging industry had been in a slump for a long time. Machines called "feller bunchers" were doing most of the work previously performed by hand fallers. Most of the bigger trees in the Merritt area had already been logged. Mr. Moses anticipated that he would have to go up north or to the coast to find work as a hand faller.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Moses worked from May 10, 2002 until July 14, 2002 as a security officer for the construction of the Band school. He worked regular overtime. He was paid $13 per hour and worked 426.5 hours in the nine-week period, being about 47 hours per week, or $611 per week. He was laid off when a security officer was no longer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Moses was the candidate expected to win the position of security/janitorial/maintenance worker and bus driver for the Band on opening of operations at the Band school in October 2002. The Band was prepared to upgrade Mr. Moses's drivers' licence and provide training for the other duties. In September 2002, Mr. Moses was also hoping to improve his land and use it for a cattle ranch.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September 2002, Mr. Moses was not in paid employment. He was 53 years old, had diabetes which was controlled by oral medication, was slightly overweight, and had a history of intermittent back pain. Otherwise, he was in excellent physical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accident occurred in a straight stretch of the Trans-Canada highway about seven miles north of Lytton, B.C. The accident occurred beside a fishing ground in the Thompson River which some witnesses referred to as the "Thompson Siding".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Trans-Canada highway runs generally east and west, but the stretch of highway beside the Thompson Siding is oriented roughly north to south. The west side of this stretch of highway is beside the Thompson River. The river is separated from the highway by a low concrete barrier sometimes called a "no-post" barrier. The west shoulder is narrow. The distance between the concrete barrier and the west fog line is only a few feet. The lane on the west side of the highway is southbound at that point but is generally westbound to Lytton and Vancouver, 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There is only one travelling lane for each direction of travel. At the accident site, the lanes are separated by one dotted and one straight yellow line. The dotted line is on the east side, indicating that vehicles travelling north in the generally eastbound lane can pass when safe.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lane on the east side of the highway is for traffic that is generally eastbound towards Spences Bridge and Kamloops, B.C. but is travelling north at this point. There is a wide shoulder on the east side of the highway. The east side of the highway is cut into a hill, with the hill rising after the shoulder. Parts of the east shoulder are about 1 1/2 car lengths wide. People fishing at Thompson Siding usually park their vehicles on the east shoulder, up against the hill.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straight stretch of road is 400 to 600 metres long. The distance from the accident site to the curve at the north is about 300-400 metres. The distance from the accident site to the curve at the south is about 100-200 metres.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 Moses had crossed the highway to access the Thompson Siding fishing grounds about 45 times in the 15 years prior to the accident. There is no cross-walk. The speed limit for traffic on the highway is 100 kph. Mr. Moses knew that crossing the highway must be done with utmost care.</w:t>
      </w:r>
      <w:r>
        <w:rPr>
          <w:rFonts w:ascii="arial" w:eastAsia="arial" w:hAnsi="arial" w:cs="arial"/>
          <w:sz w:val="20"/>
          <w:lang w:val="en-US" w:eastAsia="en-US" w:bidi="ar-SA"/>
        </w:rPr>
        <w:cr/>
      </w:r>
    </w:p>
    <w:p>
      <w:pPr>
        <w:numPr>
          <w:numId w:val="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September 11, 2002 was a hot and clear day in the vicinity of the accident. The road was dry and visibility was good.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At about 8:30 a.m., Mr. Moses's uncle David Oppenheim, and Mr. Oppenheim's daughter Joanne (whose last name was not in evidence), parked their two vehicles on the east shoulder at what became the accident site and went fishing at Thompson Siding. At around 10:00 a.m., Nellie Joe Anderson dropped off Mr. Moses and his dip net at the accident site, and Mr. Moses joined his uncle and cousin fishing. Mr. Moses used his dip net and was catching a lot of fish. His uncle and cousin, who had been using a gill net, stopped fishing and let Mr. Moses carry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A little after noon, Ms. Anderson returned to the Thompson Siding area and invited the fishers to eat lunch. They brought most of the fish from the fishing ground to the vehicles and put them in coolers with ice, but left some fish behind on the rocks. It was very hot, in the high 90s fahrenheit or higher, and Ms. Anderson moved her red 1991 GMC pick-up truck so that it was the northernmost vehicle and was near or in shade. Mr. Oppenheim's 1990 Pontiac was parked behind the truck, being south of it, and Joanne's red Ford Sprint was behind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four people, Mr. Moses, Ms. Anderson, Mr. Oppenheim, and Joanne, stood between Ms. Anderson's truck and Mr. Oppenheim's car and ate lunch for about half an hour. The fish that they had packed up from the fishing ground was enough to fill both Mr. Oppenheim's cooler and Joanne's. Ms. Anderson did not want any fish. Mr. Moses decided to get his dip-net and pack the fish that was left at the fishing ground into his cooler, and then the group planned to leave the fishing grounds.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 Moses was not in any particular hurry, although it was a hot day and fish should not stay too long on the rocks. At around 12:40 p.m., he stood on the east shoulder beside the truck and put on his bandana and backpack and gloves. He then turned to walk west across the highway. His cousin Joanne had already gone down to the fishing 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Moses testified that he looked both ways before walking across the highway and did not see any vehicles coming towards him from either direction. He saw a large truck far down the road, which was to his right travelling away from him, north in the lane which was generally eastbound. The truck was not yet around the curve. Mr. Moses was in particular watching to his left, to the south, because the road curves only about 100-200 metres south of where he was standing.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Mr. Moses walked across the highway at a regular walking pace. When he had walked a couple of steps past the centre line and into the lane on the west, he saw to his right the 2002 Buick Century car which Mr. Kim was driving south in the lane which was generally westbound. Mr. Moses quickly concluded that there was no safe direction to run. He jumped in the air and was struck by Mr. Kim's car and thrown.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Ms. Anderson heard the sound of screeching tires and looked toward the sound. She estimated that she heard the sound for 2 or 2 1/2 seconds. She saw Mr. Kim's car about half a car length from Mr. Moses and saw the front of the car angled down. She heard a thump and saw Mr. Moses's body fly high into the air and tumble. She did not see him land. She estimated the car's speed on impact, which would be after some braking, at about 80 kph.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Mr. Oppenheim did not see the accident happen. He heard a car go by quickly but did not hear tires squealing. His view to the accident site was blocked.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Mr. Kim did not honk his horn.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Following the collision, the defendant's car stopped on the east side of the highway, facing the oncoming traffic. The front windshield was shattered, but most of it remained in place. The rear windshield was shattered and most of the glass had fallen out. The front grill was bent and the trunk was dented. There were three passengers in the car Mr. Kim was driving. There was no evidence that any of them were injured. Neither Mr. Kim nor any of the passengers provided evidence at trial.</w:t>
      </w:r>
      <w:r>
        <w:rPr>
          <w:rFonts w:ascii="arial" w:eastAsia="arial" w:hAnsi="arial" w:cs="arial"/>
          <w:sz w:val="20"/>
          <w:lang w:val="en-US" w:eastAsia="en-US" w:bidi="ar-SA"/>
        </w:rPr>
        <w:cr/>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Following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Mr. Moses was taken to Lytton, B.C., and later to Royal Inland Hospital in Kamloops, B.C. He had bilateral fractures of the tibia quite low on both legs. The fracture of his right leg was a severely splintered comminuted fracture with a big separated fragment. The left side had a small puncture wound so it was technically a compound fracture. The right had a 2 cm. wound in the posteromedial aspect of the shin and was compound from within. The bone actually came through the skin on both sides. Originally, no other injuries were identified.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Shortly afterwards, Mr. Moses was observed to go into shock. He was examined by CT scan, which disclosed a compression fracture of C7, retroperitoneal haematoma and a laceration of his right kidney. There was an associated fracture of the vertebral body of T11 and the transverse process. He also had a cut lip and laceration to both elbows.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Mr. Moses was taken to surgery at around 10:00 p.m. on September 11, 2002, for wound excision, open reduction and internal fixation of both tibias using metal plates. A fragment of bone was missing from the right leg and probably remained at the accident site. The surgery took about four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Mr. Moses spent a few days in the intensive care unit. He was in significant pain in his neck, back, legs, and arms, and he suffered periodic severe headaches. He remained in hospital until October 11,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Following this first discharge from hospital, Mr. Moses used a wheelchair. He needed help transferring in and out of it and using it. A hospital bed was put in Mr. Moses's living room and he slept there. Various family members assisted him. His daughter stayed beside him at night to assist him and to stop him from trying to get up to walk. Nurses periodically changed Mr. Moses's dressings. The Band provided household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Mr. Moses was not physically capable of working as a security/janitorial/maintenance worker and bus driver at the Band school in the fall of 2002. Another Band member took the job and is still performing that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Mr. Moses has been on social assistance since the accident. A total of about $800 is paid to the Band, which applies a portion to Mr. Moses's rent, hydro and utilities. Mr. Moses receives the balance of $282 per month.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Mr. Moses was readmitted to hospital on November 13, 2002 for plastic surgery, and he stayed seven to ten days. A flap of muscle tissue was removed from his left calf and used together with a skin graft from his left upper thigh to cover the exposed bone on his shin.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Mr. Moses's recovery was slow. The fixation failed and the screws were backing out. The fracture was infected and so the hardware was removed. This was very painful. The bone did not heal as quickly as usual, perhaps because of Mr. Moses's diabetes.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fractures were treated in several ways, including external fixators with pins and insertion of antibiotic beads to try to eliminate infection. A bone graft was taken from Mr. Moses's hip, crushed, and packed into the defective area to stimulate bone growth. This was very painful.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Mr. Moses was nervous about being hit or knocked, because it was painful if the bars of the external fixators moved. He was also worried about further infection in his legs, because he had been told that if the infection could not be controlled, the leg might have to be amputated.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Once the infection was under control, the bones were still not healthy. The medical treatment required Mr. Moses to be readmitted to the hospital for a number of short stays over a period of about two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For a period, Mr. Moses needed bed baths, and family members assisted him with that. Later, Mr. Moses was assisted by family members to cover his legs with plastic and towels when he showered so that they would not get wet.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Once the external fixators were removed, Mr. Moses had a pole installed in his bedroom which he could grab when transferring in and out of bed. He then resumed sleeping in his bedroom.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By the spring of 2003, Mr. Moses had mostly been sitting in a wheelchair, and generally was not bearing weight on his right side. He received physiotherapy because his knees had contracted and he could not straighten them, and to help him walk. It appeared that Mr. Moses's left tibia had healed quite well and the right tibia appeared to have healed also. Dr. Clough, Mr. Moses's treating orthopaedic surgeon from the accident until the end of August 2004, encouraged Mr. Moses to bear weight more on both sides. Mr. Moses began to complain of right knee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An MRI examination on May 7, 2002 showed a horizontal cleavage in the cartilage at the back of the right knee. On August 3, 2002, Dr. Clough performed a surgical resection of the damaged cartilage arthriscopically.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logs that Mr. Moses had hoped to use to build a home on his acreage rotted. He sold usable parts of them for about $1,500. There are some trees still standing on his acreage that could be used for building a house, but there are not enough such trees to construct the house Mr. Moses had planned.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Band invested in feller buncher machinery in about 2005. The Band trains volunteers to use the machinery. If Mr. Moses had been physically able to do so, the Band would likely have trained him to use the machinery.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By July 2005, Mr. Moses was able to walk about 1 km. He would tire and his legs would flinch. He had a sore neck and back, and his legs hurt when he used them. His ankle would not hold its position. He still received assistance around his home with housework.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Mr. Moses was walking outside his home on February 25, 2006, when his right leg collapsed. An x-ray of February 25, 2006 showed that Mr. Moses's right tibia had broken across the healed area from the prior fracture. The fibula then broke higher up Mr. Moses's leg. Mr. Moses was put in a walking cast as an interim measure.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This re-break was a serious setback. Mr. Moses felt that he had to go back to the beginning of the healing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On April 7, 2006, Dr. Clough assisted Dr. Ackerman in the operation to insert a metal rod inside the bone of Mr. Moses right leg.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Mr. Moses has not been hunting since the accident. He has sat in a vehicle on a hunting trip, but he has not got out of the vehicle to hunt. The terrain is too difficult for him to walk on quickly enough to shoot game. Mr. Moses has not gone fishing because of the difficulty of going down a trail to a fishing ground. Mr. Moses has collected some wild vegetables, but not as much as before the accident, because the wild vegetables are in places that are hard to reach. He enjoys cooking and still cooks, although not as much as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Mr. Moses has not been able to play or coach fastball since the accident. The teams that he coached and organized have folded. He can watch fastball, but has to plan outings when his pain levels are low enough.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Mr. Moses has been walking without a cane for about five months. He still uses a wheelchair from time to time, especially in his house. He takes a cane to visit friends and go shopping. He sometimes avoids walking to avoid the pain. He worries about his right knee collapsing and about being bumped and falling. His balance is poor.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Mr. Moses has scarring from the surgeries. He has pain in his legs and at the scar areas. The top of his right forearm is painful if touched. He gets about three headaches every two months. His right leg is shorter than his left. He limps, and his hip and lower back get sore.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Mr. Moses sleeps more than before the accident, although he still only sleeps about five hours a day. He spends a lot of time indoors. He has been doing leatherwork, beadwork, antler work, and making jewellery. He is far less muscular than before the accident and weighs about 50 pounds less. He is more frustrated and prone to anger. He is less outgoing.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Community members help Mr. Moses by providing wild food such as salmon and deer, although he does not have as much wild food as he had prior to the accident when he could get it for himself. Friends and family help him load and unload groceries. He has trouble with stairs. Sometimes he goes down stairs on his buttocks, one stair at a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Mr. Moses's daughter is now 26 years old and she is living with him. Mr. Moses does most of the cooking and his daughter does most of the cleaning.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At the time of trial, Mr. Moses was 58 years old. The parties agreed that Mr. Moses's life expectancy was for sixteen years following the trial. This is a lower life expectancy than for most 58-year-old men, because of Mr. Moses's diabetes.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individual who filled the position of security/janitor/maintenance worker and bus driver for the Band school remains in that position. He presently earns $16.21 per hour for 70 hours bi-weekly, being about $570 per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Band chief estimated that there is about 80% unemployment in the Band. This figure is not the figure used by economists, because it considers people who are not actively seeking work, such as young and older people.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EXPERT EVIDENCE</w:t>
      </w:r>
      <w:r>
        <w:rPr>
          <w:rFonts w:ascii="arial" w:eastAsia="arial" w:hAnsi="arial" w:cs="arial"/>
          <w:sz w:val="20"/>
          <w:lang w:val="en-US" w:eastAsia="en-US" w:bidi="ar-SA"/>
        </w:rPr>
        <w:cr/>
      </w:r>
    </w:p>
    <w:p>
      <w:pPr>
        <w:numPr>
          <w:numId w:val="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Prognosis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Mr. Moses's counsel requested a medical-legal opinion from Dr. Ackerman, who has been Mr. Moses's treating orthopaedic surgeon since February 28, 2006. Dr. Ackerman did not provide an opinion, apparently because the surgeon was busy with other work. There was no evidence regarding Mr. Moses's medical prognosis.</w:t>
      </w:r>
      <w:r>
        <w:rPr>
          <w:rFonts w:ascii="arial" w:eastAsia="arial" w:hAnsi="arial" w:cs="arial"/>
          <w:sz w:val="20"/>
          <w:lang w:val="en-US" w:eastAsia="en-US" w:bidi="ar-SA"/>
        </w:rPr>
        <w:cr/>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Functional: Ms. Craig, Dr. Gouws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Mr. Moses was examined by Louise Craig, a physiotherapist, on July 29, 2005, which was prior to the re-fracturing of his right leg in February 2006. Ms. Craig prepared a functional capacity report which details her observations of Mr. Moses's performance during physical testing.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Dr. Gouws, a doctor with experience in occupational health, examined Mr. Moses on July 29, 2005 and January 10, 2007, and also considered the results of Ms. Craig's testing. His observations in January 2007 included that Mr. Moses had significant difficulty walking and balancing.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In his October 31, 2005 report, Dr. Gouws wrote that Mr. Moses has a permanent functional impairment due to the injuries that he sustained in the accident, which have led to a permanent partial disability. In Dr. Gouws's opinion, it was likely that Mr. Moses had reached the level of maximum medical improvement. However, in Dr. Gouws's opinion, Mr. Moses had not yet reached maximum physical rehabilitation.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Dr. Gouws's opinion was that prolonged sitting and maintaining body positioning will be detrimental to Mr. Moses's physical condition. In his opinion, Mr. Moses is permanently disabled from working as a rancher, logger, or horticulturist.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Dr. Gouws testified that more than 75% of people who work in logging have periodic back pain, but would not be impaired by it.</w:t>
      </w:r>
      <w:r>
        <w:rPr>
          <w:rFonts w:ascii="arial" w:eastAsia="arial" w:hAnsi="arial" w:cs="arial"/>
          <w:sz w:val="20"/>
          <w:lang w:val="en-US" w:eastAsia="en-US" w:bidi="ar-SA"/>
        </w:rPr>
        <w:cr/>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Vocational: Mr. Trainor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Mr. Trainor gave evidence as a vocational rehabilitation consultant. He assessed Mr. Moses on July 28, 2005, and considered new information in February 2007. In his opinion, Mr. Moses is not competitively employable.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Mr. Moses's reading comprehension as tested by Mr. Trainor was at about the Grade 6 level, which is the level Mr. Moses reached in formal education. In Mr. Trainor's field, functional literacy is considered as requiring comprehension at the Grade 8 level, a level beyond Mr. Moses's present abilities. Mr. Moses also demonstrated difficulty with math skills.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 work Mr. Moses performed prior to the accident relied on his physical capacity, and he developed manual skills as the mainstay of his employability. In Mr. Trainor's opinion, the reduction in Mr. Moses's physical capacity as a result of the accident has profound implications for his employability, and there are few occupations for which he remains suited. Before the accident, Mr. Moses was well-suited for unskilled labouring work and for work in the logging industry using the skills he learned on the job.</w:t>
      </w:r>
      <w:r>
        <w:rPr>
          <w:rFonts w:ascii="arial" w:eastAsia="arial" w:hAnsi="arial" w:cs="arial"/>
          <w:sz w:val="20"/>
          <w:lang w:val="en-US" w:eastAsia="en-US" w:bidi="ar-SA"/>
        </w:rPr>
        <w:cr/>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Future Care: Mr. Pakulak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Mr. Pakulak is an occupational therapist and work capacity evaluator. He provided a life care plan and cost of future care report. He did not determine the costs of services available on the Reserve.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Mr. Pakulak conducted an assessment of Mr. Moses's home on December 9, 2006, and also relied on the testing by Dr. Gouws and Ms. Craig in July 2005. He observed that Mr. Moses used, from time to time, a wheelchair, cane, stool, ramp, walker, transfer pole by his bed, raised toilet seat and handheld shower seat. He understood that Mr. Moses received about three to five hours of assistance weekly from his sisters with the more physically demanding household chores.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In Mr. Pakulak's opinion, Mr. Moses did not presently need assistance with personal care if he used the appropriate equipment. Mr. Moses's home was generally wheelchair accessible, but the ramp was too steep and needed a railing. Mr. Pakulak provided a list of recommended future care costs, although with many of them, he was unable to predict if or when Mr. Moses may require the services.</w:t>
      </w:r>
      <w:r>
        <w:rPr>
          <w:rFonts w:ascii="arial" w:eastAsia="arial" w:hAnsi="arial" w:cs="arial"/>
          <w:sz w:val="20"/>
          <w:lang w:val="en-US" w:eastAsia="en-US" w:bidi="ar-SA"/>
        </w:rPr>
        <w:cr/>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Economist: Mr. Carson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Mr. Carson, a labour economist, provided calculations intended to assist in evaluating loss of past and future employment earnings, and the cost of future care. He estimated the earnings of a man in B.C. with less than Grade 9 education, net of the usual B.C. participation and unemployment rates and of part time factors, as being about $190,000 for the period from the accident to the trial. He provided tables to permit calculation of the net present value of annual income. He calculated the present value of the future care costs referred to in Mr. Pakulak's report making several assumptions, including that Mr. Moses would need a personal care aide in five years, as being about $170,000.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1.</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Liability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Position of the parties and legislation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Mr. Moses's position is that Mr. Kim was solely at fault for the accident, while the defence position is that Mr. Moses was solely at fault. The applicable sections of the </w:t>
      </w:r>
      <w:r>
        <w:rPr>
          <w:rFonts w:ascii="arial" w:eastAsia="arial" w:hAnsi="arial" w:cs="arial"/>
          <w:b/>
          <w:i/>
          <w:color w:val="000000"/>
          <w:sz w:val="20"/>
          <w:lang w:val="en-US" w:eastAsia="en-US" w:bidi="ar-SA"/>
        </w:rPr>
        <w:t>Motor Vehicle Act ("MVA")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are as follows:</w:t>
      </w:r>
      <w:r>
        <w:rPr>
          <w:rFonts w:ascii="arial" w:eastAsia="arial" w:hAnsi="arial" w:cs="arial"/>
          <w:sz w:val="20"/>
          <w:lang w:val="en-US" w:eastAsia="en-US" w:bidi="ar-SA"/>
        </w:rPr>
        <w:cr/>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pedestrian must not leave a curb or other place of safety and walk or run into the path of a vehicle that is so close it is impracticable for the driver to yield the right of way.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a pedestrian is crossing a highway at a point not in a crosswalk, the pedestrian must yield the right of way to a vehicle.</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Despite sections 178, 179 and 180, a driver of a vehicle must</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exercise due care to avoid colliding with a pedestrian who is on the highway,</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give warning by sounding the horn of the vehicle when necessary, and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Mr. Colette argued on behalf of Mr. Moses that Mr. Moses had established entry onto the highway, and as a result was not required to surrender the right-of-way to Mr. Kim even when not crossing at a cross-walk. Mr. Colette relied on </w:t>
      </w:r>
      <w:r>
        <w:rPr>
          <w:rFonts w:ascii="arial" w:eastAsia="arial" w:hAnsi="arial" w:cs="arial"/>
          <w:b/>
          <w:i/>
          <w:color w:val="000000"/>
          <w:sz w:val="20"/>
          <w:lang w:val="en-US" w:eastAsia="en-US" w:bidi="ar-SA"/>
        </w:rPr>
        <w:t>Kuharski v. Inder</w:t>
      </w:r>
      <w:r>
        <w:rPr>
          <w:rFonts w:ascii="arial" w:eastAsia="arial" w:hAnsi="arial" w:cs="arial"/>
          <w:color w:val="000000"/>
          <w:sz w:val="20"/>
          <w:lang w:val="en-US" w:eastAsia="en-US" w:bidi="ar-SA"/>
        </w:rPr>
        <w:t xml:space="preserve">, </w:t>
      </w:r>
      <w:hyperlink r:id="rId351" w:history="1">
        <w:r>
          <w:rPr>
            <w:rFonts w:ascii="arial" w:eastAsia="arial" w:hAnsi="arial" w:cs="arial"/>
            <w:i/>
            <w:color w:val="0077CC"/>
            <w:sz w:val="20"/>
            <w:u w:val="single"/>
            <w:shd w:val="clear" w:color="auto" w:fill="FFFFFF"/>
            <w:lang w:val="en-US" w:eastAsia="en-US" w:bidi="ar-SA"/>
          </w:rPr>
          <w:t>[1986] B.C.J. No. 2762</w:t>
        </w:r>
      </w:hyperlink>
      <w:r>
        <w:rPr>
          <w:rFonts w:ascii="arial" w:eastAsia="arial" w:hAnsi="arial" w:cs="arial"/>
          <w:color w:val="000000"/>
          <w:sz w:val="20"/>
          <w:lang w:val="en-US" w:eastAsia="en-US" w:bidi="ar-SA"/>
        </w:rPr>
        <w:t xml:space="preserve"> (S.C.) and </w:t>
      </w:r>
      <w:r>
        <w:rPr>
          <w:rFonts w:ascii="arial" w:eastAsia="arial" w:hAnsi="arial" w:cs="arial"/>
          <w:b/>
          <w:i/>
          <w:color w:val="000000"/>
          <w:sz w:val="20"/>
          <w:lang w:val="en-US" w:eastAsia="en-US" w:bidi="ar-SA"/>
        </w:rPr>
        <w:t>Funk v. Carter</w:t>
      </w:r>
      <w:r>
        <w:rPr>
          <w:rFonts w:ascii="arial" w:eastAsia="arial" w:hAnsi="arial" w:cs="arial"/>
          <w:color w:val="000000"/>
          <w:sz w:val="20"/>
          <w:lang w:val="en-US" w:eastAsia="en-US" w:bidi="ar-SA"/>
        </w:rPr>
        <w:t xml:space="preserve"> </w:t>
      </w:r>
      <w:hyperlink r:id="rId352" w:history="1">
        <w:r>
          <w:rPr>
            <w:rFonts w:ascii="arial" w:eastAsia="arial" w:hAnsi="arial" w:cs="arial"/>
            <w:i/>
            <w:color w:val="0077CC"/>
            <w:sz w:val="20"/>
            <w:u w:val="single"/>
            <w:shd w:val="clear" w:color="auto" w:fill="FFFFFF"/>
            <w:lang w:val="en-US" w:eastAsia="en-US" w:bidi="ar-SA"/>
          </w:rPr>
          <w:t>(2004), 32 B.C.L.R. (4th) 158</w:t>
        </w:r>
      </w:hyperlink>
      <w:r>
        <w:rPr>
          <w:rFonts w:ascii="arial" w:eastAsia="arial" w:hAnsi="arial" w:cs="arial"/>
          <w:color w:val="000000"/>
          <w:sz w:val="20"/>
          <w:lang w:val="en-US" w:eastAsia="en-US" w:bidi="ar-SA"/>
        </w:rPr>
        <w:t xml:space="preserve">, </w:t>
      </w:r>
      <w:hyperlink r:id="rId352" w:history="1">
        <w:r>
          <w:rPr>
            <w:rFonts w:ascii="arial" w:eastAsia="arial" w:hAnsi="arial" w:cs="arial"/>
            <w:i/>
            <w:color w:val="0077CC"/>
            <w:sz w:val="20"/>
            <w:u w:val="single"/>
            <w:shd w:val="clear" w:color="auto" w:fill="FFFFFF"/>
            <w:lang w:val="en-US" w:eastAsia="en-US" w:bidi="ar-SA"/>
          </w:rPr>
          <w:t>2004 BCSC 866</w:t>
        </w:r>
      </w:hyperlink>
      <w:r>
        <w:rPr>
          <w:rFonts w:ascii="arial" w:eastAsia="arial" w:hAnsi="arial" w:cs="arial"/>
          <w:color w:val="000000"/>
          <w:sz w:val="20"/>
          <w:lang w:val="en-US" w:eastAsia="en-US" w:bidi="ar-SA"/>
        </w:rPr>
        <w:t xml:space="preserve">, as establishing that Mr. Moses was not required to surrender the right-of-way despite s. 180 of the </w:t>
      </w:r>
      <w:r>
        <w:rPr>
          <w:rFonts w:ascii="arial" w:eastAsia="arial" w:hAnsi="arial" w:cs="arial"/>
          <w:b/>
          <w:i/>
          <w:color w:val="000000"/>
          <w:sz w:val="20"/>
          <w:lang w:val="en-US" w:eastAsia="en-US" w:bidi="ar-SA"/>
        </w:rPr>
        <w:t>MVA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In the alternative that Mr. Moses had not made such a substantial prior entry onto the highway, it is his position that Mr. Kim had a duty to avoid him pursuant to s. 181 of the </w:t>
      </w:r>
      <w:r>
        <w:rPr>
          <w:rFonts w:ascii="arial" w:eastAsia="arial" w:hAnsi="arial" w:cs="arial"/>
          <w:b/>
          <w:i/>
          <w:color w:val="000000"/>
          <w:sz w:val="20"/>
          <w:lang w:val="en-US" w:eastAsia="en-US" w:bidi="ar-SA"/>
        </w:rPr>
        <w:t>MVA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The defence argued that Mr. Moses was entirely responsible for the accident for the following reasons:</w:t>
      </w:r>
      <w:r>
        <w:rPr>
          <w:rFonts w:ascii="arial" w:eastAsia="arial" w:hAnsi="arial" w:cs="arial"/>
          <w:sz w:val="20"/>
          <w:lang w:val="en-US" w:eastAsia="en-US" w:bidi="ar-SA"/>
        </w:rPr>
        <w:cr/>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Moses did not keep a proper lookout for vehicles approaching from the direction that Mr. Kim's motor vehicle came from;</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Moses failed to yield the right of way to Mr. Kim;</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Moses failed to exercise care for his own safety;</w:t>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Mr. Moses began to cross the highway when Mr. Kim's view was obscured by a passing truck;</w:t>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Mr. Moses failed to keep the lookout required by the fact that there was shade on the roadway and that there was a passing truck that obstructed Mr. Kim's view of him and his view of Mr. Kim.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The defence argued that there was no evidence that Mr. Kim was speeding. the defence also argued that Mr. Kim applied the vehicle's brakes but Mr. Moses was so close that collision was inevitable.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xml:space="preserve">  Counsel provided the reasons for judgment in a number of accident cases involving pedestrians, including </w:t>
      </w:r>
      <w:r>
        <w:rPr>
          <w:rFonts w:ascii="arial" w:eastAsia="arial" w:hAnsi="arial" w:cs="arial"/>
          <w:b/>
          <w:i/>
          <w:color w:val="000000"/>
          <w:sz w:val="20"/>
          <w:lang w:val="en-US" w:eastAsia="en-US" w:bidi="ar-SA"/>
        </w:rPr>
        <w:t>MacCulloch v. Francis</w:t>
      </w:r>
      <w:r>
        <w:rPr>
          <w:rFonts w:ascii="arial" w:eastAsia="arial" w:hAnsi="arial" w:cs="arial"/>
          <w:color w:val="000000"/>
          <w:sz w:val="20"/>
          <w:lang w:val="en-US" w:eastAsia="en-US" w:bidi="ar-SA"/>
        </w:rPr>
        <w:t xml:space="preserve">, </w:t>
      </w:r>
      <w:hyperlink r:id="rId353" w:history="1">
        <w:r>
          <w:rPr>
            <w:rFonts w:ascii="arial" w:eastAsia="arial" w:hAnsi="arial" w:cs="arial"/>
            <w:i/>
            <w:color w:val="0077CC"/>
            <w:sz w:val="20"/>
            <w:u w:val="single"/>
            <w:shd w:val="clear" w:color="auto" w:fill="FFFFFF"/>
            <w:lang w:val="en-US" w:eastAsia="en-US" w:bidi="ar-SA"/>
          </w:rPr>
          <w:t>[1997] B.C.J. No. 1276</w:t>
        </w:r>
      </w:hyperlink>
      <w:r>
        <w:rPr>
          <w:rFonts w:ascii="arial" w:eastAsia="arial" w:hAnsi="arial" w:cs="arial"/>
          <w:color w:val="000000"/>
          <w:sz w:val="20"/>
          <w:lang w:val="en-US" w:eastAsia="en-US" w:bidi="ar-SA"/>
        </w:rPr>
        <w:t xml:space="preserve"> (S.C.), </w:t>
      </w:r>
      <w:r>
        <w:rPr>
          <w:rFonts w:ascii="arial" w:eastAsia="arial" w:hAnsi="arial" w:cs="arial"/>
          <w:b/>
          <w:i/>
          <w:color w:val="000000"/>
          <w:sz w:val="20"/>
          <w:lang w:val="en-US" w:eastAsia="en-US" w:bidi="ar-SA"/>
        </w:rPr>
        <w:t>Embury v. Vanderryst</w:t>
      </w:r>
      <w:r>
        <w:rPr>
          <w:rFonts w:ascii="arial" w:eastAsia="arial" w:hAnsi="arial" w:cs="arial"/>
          <w:color w:val="000000"/>
          <w:sz w:val="20"/>
          <w:lang w:val="en-US" w:eastAsia="en-US" w:bidi="ar-SA"/>
        </w:rPr>
        <w:t xml:space="preserve">, </w:t>
      </w:r>
      <w:hyperlink r:id="rId354" w:history="1">
        <w:r>
          <w:rPr>
            <w:rFonts w:ascii="arial" w:eastAsia="arial" w:hAnsi="arial" w:cs="arial"/>
            <w:i/>
            <w:color w:val="0077CC"/>
            <w:sz w:val="20"/>
            <w:u w:val="single"/>
            <w:shd w:val="clear" w:color="auto" w:fill="FFFFFF"/>
            <w:lang w:val="en-US" w:eastAsia="en-US" w:bidi="ar-SA"/>
          </w:rPr>
          <w:t>[1997] B.C.J. No. 1427</w:t>
        </w:r>
      </w:hyperlink>
      <w:r>
        <w:rPr>
          <w:rFonts w:ascii="arial" w:eastAsia="arial" w:hAnsi="arial" w:cs="arial"/>
          <w:color w:val="000000"/>
          <w:sz w:val="20"/>
          <w:lang w:val="en-US" w:eastAsia="en-US" w:bidi="ar-SA"/>
        </w:rPr>
        <w:t xml:space="preserve"> (S.C.), </w:t>
      </w:r>
      <w:r>
        <w:rPr>
          <w:rFonts w:ascii="arial" w:eastAsia="arial" w:hAnsi="arial" w:cs="arial"/>
          <w:b/>
          <w:i/>
          <w:color w:val="000000"/>
          <w:sz w:val="20"/>
          <w:lang w:val="en-US" w:eastAsia="en-US" w:bidi="ar-SA"/>
        </w:rPr>
        <w:t>Funk v. Carter, supra</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Kuharski v. Inder, supra</w:t>
      </w:r>
      <w:r>
        <w:rPr>
          <w:rFonts w:ascii="arial" w:eastAsia="arial" w:hAnsi="arial" w:cs="arial"/>
          <w:color w:val="000000"/>
          <w:sz w:val="20"/>
          <w:lang w:val="en-US" w:eastAsia="en-US" w:bidi="ar-SA"/>
        </w:rPr>
        <w:t>. Liability in those cases naturally depended on the particular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xml:space="preserve">  In the case of an adult pedestrian, the driver's obligation to take evasive action arises only when the driver becomes aware or ought to have become aware that the pedestrian is not going to obey the law: </w:t>
      </w:r>
      <w:r>
        <w:rPr>
          <w:rFonts w:ascii="arial" w:eastAsia="arial" w:hAnsi="arial" w:cs="arial"/>
          <w:b/>
          <w:i/>
          <w:color w:val="000000"/>
          <w:sz w:val="20"/>
          <w:lang w:val="en-US" w:eastAsia="en-US" w:bidi="ar-SA"/>
        </w:rPr>
        <w:t>Cook v. Teh &amp; Township of Richmond</w:t>
      </w:r>
      <w:r>
        <w:rPr>
          <w:rFonts w:ascii="arial" w:eastAsia="arial" w:hAnsi="arial" w:cs="arial"/>
          <w:color w:val="000000"/>
          <w:sz w:val="20"/>
          <w:lang w:val="en-US" w:eastAsia="en-US" w:bidi="ar-SA"/>
        </w:rPr>
        <w:t xml:space="preserve"> </w:t>
      </w:r>
      <w:hyperlink r:id="rId355" w:history="1">
        <w:r>
          <w:rPr>
            <w:rFonts w:ascii="arial" w:eastAsia="arial" w:hAnsi="arial" w:cs="arial"/>
            <w:i/>
            <w:color w:val="0077CC"/>
            <w:sz w:val="20"/>
            <w:u w:val="single"/>
            <w:shd w:val="clear" w:color="auto" w:fill="FFFFFF"/>
            <w:lang w:val="en-US" w:eastAsia="en-US" w:bidi="ar-SA"/>
          </w:rPr>
          <w:t>(1990), 68 D.L.R. (4th) 602</w:t>
        </w:r>
      </w:hyperlink>
      <w:r>
        <w:rPr>
          <w:rFonts w:ascii="arial" w:eastAsia="arial" w:hAnsi="arial" w:cs="arial"/>
          <w:color w:val="000000"/>
          <w:sz w:val="20"/>
          <w:lang w:val="en-US" w:eastAsia="en-US" w:bidi="ar-SA"/>
        </w:rPr>
        <w:t xml:space="preserve">, </w:t>
      </w:r>
      <w:hyperlink r:id="rId355" w:history="1">
        <w:r>
          <w:rPr>
            <w:rFonts w:ascii="arial" w:eastAsia="arial" w:hAnsi="arial" w:cs="arial"/>
            <w:i/>
            <w:color w:val="0077CC"/>
            <w:sz w:val="20"/>
            <w:u w:val="single"/>
            <w:shd w:val="clear" w:color="auto" w:fill="FFFFFF"/>
            <w:lang w:val="en-US" w:eastAsia="en-US" w:bidi="ar-SA"/>
          </w:rPr>
          <w:t>45 B.C.L.R. (2d) 194</w:t>
        </w:r>
      </w:hyperlink>
      <w:r>
        <w:rPr>
          <w:rFonts w:ascii="arial" w:eastAsia="arial" w:hAnsi="arial" w:cs="arial"/>
          <w:color w:val="000000"/>
          <w:sz w:val="20"/>
          <w:lang w:val="en-US" w:eastAsia="en-US" w:bidi="ar-SA"/>
        </w:rPr>
        <w:t xml:space="preserve"> (C.A.), and </w:t>
      </w:r>
      <w:r>
        <w:rPr>
          <w:rFonts w:ascii="arial" w:eastAsia="arial" w:hAnsi="arial" w:cs="arial"/>
          <w:b/>
          <w:i/>
          <w:color w:val="000000"/>
          <w:sz w:val="20"/>
          <w:lang w:val="en-US" w:eastAsia="en-US" w:bidi="ar-SA"/>
        </w:rPr>
        <w:t>Ibaraki v. Bamford</w:t>
      </w:r>
      <w:r>
        <w:rPr>
          <w:rFonts w:ascii="arial" w:eastAsia="arial" w:hAnsi="arial" w:cs="arial"/>
          <w:color w:val="000000"/>
          <w:sz w:val="20"/>
          <w:lang w:val="en-US" w:eastAsia="en-US" w:bidi="ar-SA"/>
        </w:rPr>
        <w:t xml:space="preserve">, </w:t>
      </w:r>
      <w:hyperlink r:id="rId356" w:history="1">
        <w:r>
          <w:rPr>
            <w:rFonts w:ascii="arial" w:eastAsia="arial" w:hAnsi="arial" w:cs="arial"/>
            <w:i/>
            <w:color w:val="0077CC"/>
            <w:sz w:val="20"/>
            <w:u w:val="single"/>
            <w:shd w:val="clear" w:color="auto" w:fill="FFFFFF"/>
            <w:lang w:val="en-US" w:eastAsia="en-US" w:bidi="ar-SA"/>
          </w:rPr>
          <w:t>[1996] B.C.J. No. 724</w:t>
        </w:r>
      </w:hyperlink>
      <w:r>
        <w:rPr>
          <w:rFonts w:ascii="arial" w:eastAsia="arial" w:hAnsi="arial" w:cs="arial"/>
          <w:color w:val="000000"/>
          <w:sz w:val="20"/>
          <w:lang w:val="en-US" w:eastAsia="en-US" w:bidi="ar-SA"/>
        </w:rPr>
        <w:t xml:space="preserve"> (S.C.), (4 April 1996) Vancouver Registry No. B926206 (B.C.S.C.).</w:t>
      </w:r>
      <w:r>
        <w:rPr>
          <w:rFonts w:ascii="arial" w:eastAsia="arial" w:hAnsi="arial" w:cs="arial"/>
          <w:sz w:val="20"/>
          <w:lang w:val="en-US" w:eastAsia="en-US" w:bidi="ar-SA"/>
        </w:rPr>
        <w:cr/>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The accident occurred on a straight stretch of highway at mid-day when visibility and road conditions were good. Mr. Moses ought to have seen Mr. Kim's vehicle as it approached on Mr. Moses's right. It is possible that Mr. Moses looked to his right at the very moment that his view of Mr. Kim's vehicle was obstructed by the truck travelling north. If so, Mr. Moses ought to have continued looking long enough to be assured there were no vehicles travelling south, or looked again when the truck was not in the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Mr. Kim ought to have seen Mr. Moses. He had an unobstructed view of the accident site and should have been looking toward it for 300 to 400 metres. His vehicle struck Mr. Moses when Mr. Kim was driving south in the west-bound lane on the west side of the stretch of highway. While the vehicles parked on the east shoulder may have been partly or fully in shade during the entire time that Mr. Moses walked across the lane travelling north, Mr. Moses himself would not have been in shade. He should have been clearly visible to Mr. Kim. By the time Mr. Moses was in the middle of the lane travelling north, Mr. Kim ought to have realized Mr. Moses was crossing the highway and there was a risk of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Mr. Kim ought to have honked his horn and slowed. He may have been able to take evasive action by driving into the oncoming traffic lane. There was insufficient room on the western shoulder for him to take significant evasive action by turning in that direction. There was a solid yellow line on the east side of the highway indicating that it was not safe for Mr. Kim to drive into the oncoming lane of traffic, but there were no vehicles there. Mr. Kim in fact turned in that direction, but too late to avoid hitting Mr. Moses.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Mr. Moses's position was that Mr. Kim was speeding. The evidence of speed was Mr. Oppenheim's evidence that he heard the sound of a fast-moving vehicle, and Ms. Anderson's evidence that the speed at impact was about 80 kph. I am not able to conclude on this evidence that Mr. Kim was speeding.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xml:space="preserve">  This accident occurred because both Mr. Moses and Mr. Kim failed to keep an adequate look-out. Mr. Kim had the right-of-way pursuant to s. 180 of the </w:t>
      </w:r>
      <w:r>
        <w:rPr>
          <w:rFonts w:ascii="arial" w:eastAsia="arial" w:hAnsi="arial" w:cs="arial"/>
          <w:b/>
          <w:i/>
          <w:color w:val="000000"/>
          <w:sz w:val="20"/>
          <w:lang w:val="en-US" w:eastAsia="en-US" w:bidi="ar-SA"/>
        </w:rPr>
        <w:t>MVA</w:t>
      </w:r>
      <w:r>
        <w:rPr>
          <w:rFonts w:ascii="arial" w:eastAsia="arial" w:hAnsi="arial" w:cs="arial"/>
          <w:color w:val="000000"/>
          <w:sz w:val="20"/>
          <w:lang w:val="en-US" w:eastAsia="en-US" w:bidi="ar-SA"/>
        </w:rPr>
        <w:t>, but he was required to exercise due care to avoid colliding with a pedestrian who was on the highway. If Mr. Kim had honked his horn when it was apparent that Mr. Moses was crossing the highway, Mr. Moses would likely have been able to run to safety.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The accident site was not a place a driver would expect pedestrians. The presence of cars parked on the east side could have indicated that a pedestrian's presence was possible, but it was not likely that a pedestrian would be crossing the street when a vehicle was approaching.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While both Mr. Moses and Mr. Kim were negligent, Mr. Moses bears the greater responsibility because of the care that should be taken when crossing a highway with a speed limit of 100 kph at a spot which is not designated for pedestrians. In the circumstances, Mr. Moses is 65% responsible for the accident, and Mr. Kim is 35% responsible.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2.</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Quantum of Damages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I will address Mr. Moses's claim for damages under the following headings:</w:t>
      </w:r>
      <w:r>
        <w:rPr>
          <w:rFonts w:ascii="arial" w:eastAsia="arial" w:hAnsi="arial" w:cs="arial"/>
          <w:sz w:val="20"/>
          <w:lang w:val="en-US" w:eastAsia="en-US" w:bidi="ar-SA"/>
        </w:rPr>
        <w:cr/>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w:t>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Past income loss;</w:t>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earning capacity;</w:t>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Cost of future care;</w:t>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 and</w:t>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housekeeping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Mr. Moses's claim for tax gross-up and interest are to be determined later.</w:t>
      </w:r>
      <w:r>
        <w:rPr>
          <w:rFonts w:ascii="arial" w:eastAsia="arial" w:hAnsi="arial" w:cs="arial"/>
          <w:sz w:val="20"/>
          <w:lang w:val="en-US" w:eastAsia="en-US" w:bidi="ar-SA"/>
        </w:rPr>
        <w:cr/>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Mr. Moses seeks an award of $200,000 for non-pecuniary damages. The defence position is that the appropriate range of damages is $150,000 to $175,000.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Mr. Moses was an unusually fit and active man prior to the accident. He enjoyed spending time in the bush, not only working for money but also hunting and fishing for himself and his extended family and friends. He enjoyed playing and coaching fastball and spent a lot of time doing so. He planned to develop his acreage into a ranch and become a full-time rancher.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As a result of the accident, Mr. Moses was required to undergo 13 or 14 surgeries, spent weeks in hospital, and suffered a severe setback when his leg broke again in 2006. Mr. Moses suffered high levels of pain when his legs were operated on, in casts, and infected.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Mr. Moses continues to suffer pain, particularly in his legs. He also suffers back and hip pain which is associated with walking. He has difficulty walking on uneven terrain and walking any distance. The accident was about 4 1/2 years prior to the trial. Although there was no medical evidence providing a medical prognosis, the evidence as a whole suggests that Mr. Moses is not likely to improve significantly even with further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Mr. Moses is no longer competitively employable. It is not safe for him to spend time in the bush or doing the hunting and fishing which he enjoyed. He cannot play fastball and cannot do any coaching requiring demonstration. He will not be able to work fulltime as a rancher. He is reliant on family and friends for wild fish and game.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The aspect of Mr. Moses's ability to fish and hunt for himself and others which was a matter of his personal enjoyment is properly compensated in the award for non-pecuniary damages. The aspect which provided food to Mr. Moses is properly considered in his claims for past income loss and lost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xml:space="preserve">  Mr. Moses's counsel relied in particular on </w:t>
      </w:r>
      <w:r>
        <w:rPr>
          <w:rFonts w:ascii="arial" w:eastAsia="arial" w:hAnsi="arial" w:cs="arial"/>
          <w:b/>
          <w:i/>
          <w:color w:val="000000"/>
          <w:sz w:val="20"/>
          <w:lang w:val="en-US" w:eastAsia="en-US" w:bidi="ar-SA"/>
        </w:rPr>
        <w:t>Funk v. Carter, supra</w:t>
      </w:r>
      <w:r>
        <w:rPr>
          <w:rFonts w:ascii="arial" w:eastAsia="arial" w:hAnsi="arial" w:cs="arial"/>
          <w:color w:val="000000"/>
          <w:sz w:val="20"/>
          <w:lang w:val="en-US" w:eastAsia="en-US" w:bidi="ar-SA"/>
        </w:rPr>
        <w:t>. Like Mr. Funk, Mr. Moses suffered breaks to the tibia and fibula of both legs. Mr. Funk's recovery time was shorter than Mr. Moses, and did not involve a serious setback like Mr. Moses's re-break of his leg. Mr. Funk was able to do some work following his accident, although in a very limited and less active way. Mr. Funk was awarded $140,000 in 2004 dollars, being about $150,000 in 2007 dollars.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xml:space="preserve">  The defence relied in particular on </w:t>
      </w:r>
      <w:r>
        <w:rPr>
          <w:rFonts w:ascii="arial" w:eastAsia="arial" w:hAnsi="arial" w:cs="arial"/>
          <w:b/>
          <w:i/>
          <w:color w:val="000000"/>
          <w:sz w:val="20"/>
          <w:lang w:val="en-US" w:eastAsia="en-US" w:bidi="ar-SA"/>
        </w:rPr>
        <w:t>Zicari v. Young</w:t>
      </w:r>
      <w:r>
        <w:rPr>
          <w:rFonts w:ascii="arial" w:eastAsia="arial" w:hAnsi="arial" w:cs="arial"/>
          <w:color w:val="000000"/>
          <w:sz w:val="20"/>
          <w:lang w:val="en-US" w:eastAsia="en-US" w:bidi="ar-SA"/>
        </w:rPr>
        <w:t xml:space="preserve">, </w:t>
      </w:r>
      <w:hyperlink r:id="rId357" w:history="1">
        <w:r>
          <w:rPr>
            <w:rFonts w:ascii="arial" w:eastAsia="arial" w:hAnsi="arial" w:cs="arial"/>
            <w:i/>
            <w:color w:val="0077CC"/>
            <w:sz w:val="20"/>
            <w:u w:val="single"/>
            <w:shd w:val="clear" w:color="auto" w:fill="FFFFFF"/>
            <w:lang w:val="en-US" w:eastAsia="en-US" w:bidi="ar-SA"/>
          </w:rPr>
          <w:t>2001 BCSC 1549</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Just v. British Columbia</w:t>
      </w:r>
      <w:r>
        <w:rPr>
          <w:rFonts w:ascii="arial" w:eastAsia="arial" w:hAnsi="arial" w:cs="arial"/>
          <w:color w:val="000000"/>
          <w:sz w:val="20"/>
          <w:lang w:val="en-US" w:eastAsia="en-US" w:bidi="ar-SA"/>
        </w:rPr>
        <w:t xml:space="preserve"> </w:t>
      </w:r>
      <w:hyperlink r:id="rId358" w:history="1">
        <w:r>
          <w:rPr>
            <w:rFonts w:ascii="arial" w:eastAsia="arial" w:hAnsi="arial" w:cs="arial"/>
            <w:i/>
            <w:color w:val="0077CC"/>
            <w:sz w:val="20"/>
            <w:u w:val="single"/>
            <w:shd w:val="clear" w:color="auto" w:fill="FFFFFF"/>
            <w:lang w:val="en-US" w:eastAsia="en-US" w:bidi="ar-SA"/>
          </w:rPr>
          <w:t>(1991), 60 B.C.L.R. (2d) 209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These cases were of some assistance, although determining non-pecuniary damages depends on the particular facts of any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In this case, having regard to the pain and surgeries Mr. Moses has had to endure, the significant impact of the permanently disabling injuries on Mr. Moses's active lifestyle, both physically and emotionally, and the small likelihood of significant recovery, an appropriate award for non-pecuniary damages from the accident is $165,000.</w:t>
      </w:r>
      <w:r>
        <w:rPr>
          <w:rFonts w:ascii="arial" w:eastAsia="arial" w:hAnsi="arial" w:cs="arial"/>
          <w:sz w:val="20"/>
          <w:lang w:val="en-US" w:eastAsia="en-US" w:bidi="ar-SA"/>
        </w:rPr>
        <w:cr/>
      </w:r>
    </w:p>
    <w:p>
      <w:pPr>
        <w:numPr>
          <w:numId w:val="2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Past income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Mr. Moses claims $150,000 for pre-trial income loss. The defence position is that the appropriate award is $85,000 to $95,000.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Mr. Moses's position is that he would have earned slightly more than the average B.C. man who did not attend school beyond Grade 8. He relied on Mr. Carson's report that such a man would have earned about $190,000 net of all contingencies in the period between the accident and the trial. Mr. Moses's position is that the social assistance that he has received since the accident should be deducted. He calculates that as $800 per month for the 52 months since the accident for a total of $41,600. As a result, Mr. Moses claims $150,000 for past income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The defence position is that it is most likely that, but for the accident, Mr. Moses would have taken the job as security/janitorial/maintenance worker and bus driver for the Band school. Using the present income rate of $28,400 per year (calculated as $16.21 per hour for 35 hours per week for 50 weeks), the income over the 4 1/2 years before trial would be about $127,800. Deducting $41,600 for the social assistance he has received results in the sum of $86,200, which is in the range of $85,000 to $95,000 as suggested by the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There are two aspects to considering Mr. Moses's past income loss. The first is the usual one, considering what he would have earned but for the accident. The second is considering the value of what he has lost from being unable to fish for food, since he must have replaced at least some of the wild food by purchasing food.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The evidence of Mr. Moses's pre-accident earnings is not clear. The evidence as a whole suggests that, with only a few exceptions, Mr. Moses was able to find work when he wanted it. Sometimes that work was quite lucrative, such as contract work as a hand faller, and sometimes it was less lucrative, such as work as a security guard.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What Mr. Moses would have earned but for the accident involves considering a hypothetical event. If there is a real possibility of one or more alternatives, the court must consider the contingencies affecting the probability of each alternative occurring.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It is likely that Mr. Moses would have earned at least what the person who obtained the position working for the Band as a security person/janitor would have earned. It is likely that Mr. Moses would have chosen to work in the bush for part of the 4 1/2 years before trial, even though that may have required him to leave Merritt for work, because he enjoyed working in the bush and the work was lucrative. He would likely have worked at jobs that permitted him to develop a cattle ranch on his property by giving him time and money to do so. It is likely that he would have been trained to operate the feller buncher machine, and that he would have worked using that machine for part of the 4 1/2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There are several reasons why it is likely that Mr. Moses would have worked less than full time for pay. First, his pre-accident pattern included periods when he was not working for pay. Second, his paid work included working in the bush in employment which was seasonal, often unavailable, and subject to increasing use of machinery. Third, he would likely have chosen to spend some time developing his property for his own benefit rather than for pay. The development of his property may have ultimately enabled Mr. Moses to achieve a working cattle ranch.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Considering all these contingencies, a fair assessment of Mr. Moses's pre-trial earnings is $160,000. That is an annual average of about $35,500. After deducting about $40,000 for the social assistance he has received since the accident, a fair assessment of his loss is $120,000.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Mr. Moses personally lost the ability to gather his own wild food. That has been replaced to some extent by friends and family providing wild food to him. However, he has received less wild food than he would have obtained for himself. This must have resulted in additional expense to Mr. Moses in buying food to replace the wild food he would have obtained. The sum of $3,000 is a fair sum to compensate Mr. Moses for this past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xml:space="preserve">  Sections 95 and 98 of the </w:t>
      </w:r>
      <w:r>
        <w:rPr>
          <w:rFonts w:ascii="arial" w:eastAsia="arial" w:hAnsi="arial" w:cs="arial"/>
          <w:b/>
          <w:i/>
          <w:color w:val="000000"/>
          <w:sz w:val="20"/>
          <w:lang w:val="en-US" w:eastAsia="en-US" w:bidi="ar-SA"/>
        </w:rPr>
        <w:t>Insurance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 xml:space="preserve">, as amended, provide that Mr. Moses cannot receive more than the "net income loss" for this period. As interpreted by Pitfield J. in </w:t>
      </w:r>
      <w:r>
        <w:rPr>
          <w:rFonts w:ascii="arial" w:eastAsia="arial" w:hAnsi="arial" w:cs="arial"/>
          <w:b/>
          <w:i/>
          <w:color w:val="000000"/>
          <w:sz w:val="20"/>
          <w:lang w:val="en-US" w:eastAsia="en-US" w:bidi="ar-SA"/>
        </w:rPr>
        <w:t>Hudniuk v. Warkentin</w:t>
      </w:r>
      <w:r>
        <w:rPr>
          <w:rFonts w:ascii="arial" w:eastAsia="arial" w:hAnsi="arial" w:cs="arial"/>
          <w:color w:val="000000"/>
          <w:sz w:val="20"/>
          <w:lang w:val="en-US" w:eastAsia="en-US" w:bidi="ar-SA"/>
        </w:rPr>
        <w:t xml:space="preserve"> </w:t>
      </w:r>
      <w:hyperlink r:id="rId310" w:history="1">
        <w:r>
          <w:rPr>
            <w:rFonts w:ascii="arial" w:eastAsia="arial" w:hAnsi="arial" w:cs="arial"/>
            <w:i/>
            <w:color w:val="0077CC"/>
            <w:sz w:val="20"/>
            <w:u w:val="single"/>
            <w:shd w:val="clear" w:color="auto" w:fill="FFFFFF"/>
            <w:lang w:val="en-US" w:eastAsia="en-US" w:bidi="ar-SA"/>
          </w:rPr>
          <w:t>(2003), 9 B.C.L.R. (4th) 324</w:t>
        </w:r>
      </w:hyperlink>
      <w:r>
        <w:rPr>
          <w:rFonts w:ascii="arial" w:eastAsia="arial" w:hAnsi="arial" w:cs="arial"/>
          <w:color w:val="000000"/>
          <w:sz w:val="20"/>
          <w:lang w:val="en-US" w:eastAsia="en-US" w:bidi="ar-SA"/>
        </w:rPr>
        <w:t xml:space="preserve">, </w:t>
      </w:r>
      <w:hyperlink r:id="rId310" w:history="1">
        <w:r>
          <w:rPr>
            <w:rFonts w:ascii="arial" w:eastAsia="arial" w:hAnsi="arial" w:cs="arial"/>
            <w:i/>
            <w:color w:val="0077CC"/>
            <w:sz w:val="20"/>
            <w:u w:val="single"/>
            <w:shd w:val="clear" w:color="auto" w:fill="FFFFFF"/>
            <w:lang w:val="en-US" w:eastAsia="en-US" w:bidi="ar-SA"/>
          </w:rPr>
          <w:t>2003 BCSC 62</w:t>
        </w:r>
      </w:hyperlink>
      <w:r>
        <w:rPr>
          <w:rFonts w:ascii="arial" w:eastAsia="arial" w:hAnsi="arial" w:cs="arial"/>
          <w:color w:val="000000"/>
          <w:sz w:val="20"/>
          <w:lang w:val="en-US" w:eastAsia="en-US" w:bidi="ar-SA"/>
        </w:rPr>
        <w:t>, this requires the court to deduct from the lost gross income the amount of income tax determined as if it had been earned on April 16, 2007, computed in accordance with the federal and provincial income tax legislation and the employment insurance legislation applicable December 31,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It is likely that Mr. Moses would not have paid income tax on his earnings, because he would have earned them on reserve. As a result, the appropriate award for Mr. Moses's pre-trial loss of earnings is $123,000 without deduction.</w:t>
      </w:r>
      <w:r>
        <w:rPr>
          <w:rFonts w:ascii="arial" w:eastAsia="arial" w:hAnsi="arial" w:cs="arial"/>
          <w:sz w:val="20"/>
          <w:lang w:val="en-US" w:eastAsia="en-US" w:bidi="ar-SA"/>
        </w:rPr>
        <w:cr/>
      </w:r>
    </w:p>
    <w:p>
      <w:pPr>
        <w:numPr>
          <w:numId w:val="2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Mr. Moses argued that his lost future earning capacity should be assessed at $300,000. The defence position is that the appropriate assessment is $49,000 or less.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Reilly v. Lynn</w:t>
      </w:r>
      <w:r>
        <w:rPr>
          <w:rFonts w:ascii="arial" w:eastAsia="arial" w:hAnsi="arial" w:cs="arial"/>
          <w:color w:val="000000"/>
          <w:sz w:val="20"/>
          <w:lang w:val="en-US" w:eastAsia="en-US" w:bidi="ar-SA"/>
        </w:rPr>
        <w:t xml:space="preserve"> </w:t>
      </w:r>
      <w:hyperlink r:id="rId311" w:history="1">
        <w:r>
          <w:rPr>
            <w:rFonts w:ascii="arial" w:eastAsia="arial" w:hAnsi="arial" w:cs="arial"/>
            <w:i/>
            <w:color w:val="0077CC"/>
            <w:sz w:val="20"/>
            <w:u w:val="single"/>
            <w:shd w:val="clear" w:color="auto" w:fill="FFFFFF"/>
            <w:lang w:val="en-US" w:eastAsia="en-US" w:bidi="ar-SA"/>
          </w:rPr>
          <w:t>(2003), 10 B.C.L.R. (4th) 16</w:t>
        </w:r>
      </w:hyperlink>
      <w:r>
        <w:rPr>
          <w:rFonts w:ascii="arial" w:eastAsia="arial" w:hAnsi="arial" w:cs="arial"/>
          <w:color w:val="000000"/>
          <w:sz w:val="20"/>
          <w:lang w:val="en-US" w:eastAsia="en-US" w:bidi="ar-SA"/>
        </w:rPr>
        <w:t xml:space="preserve">, </w:t>
      </w:r>
      <w:hyperlink r:id="rId311" w:history="1">
        <w:r>
          <w:rPr>
            <w:rFonts w:ascii="arial" w:eastAsia="arial" w:hAnsi="arial" w:cs="arial"/>
            <w:i/>
            <w:color w:val="0077CC"/>
            <w:sz w:val="20"/>
            <w:u w:val="single"/>
            <w:shd w:val="clear" w:color="auto" w:fill="FFFFFF"/>
            <w:lang w:val="en-US" w:eastAsia="en-US" w:bidi="ar-SA"/>
          </w:rPr>
          <w:t>2003 BCCA 49</w:t>
        </w:r>
      </w:hyperlink>
      <w:r>
        <w:rPr>
          <w:rFonts w:ascii="arial" w:eastAsia="arial" w:hAnsi="arial" w:cs="arial"/>
          <w:color w:val="000000"/>
          <w:sz w:val="20"/>
          <w:lang w:val="en-US" w:eastAsia="en-US" w:bidi="ar-SA"/>
        </w:rPr>
        <w:t xml:space="preserve"> at paras. 100-101, a majority of the Court of Appeal summarized the approach to assessing lost earning capacity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[100] An award for loss of earning capacity presents particular difficulties. As Dickson J. (as he then was) said, in </w:t>
      </w:r>
      <w:r>
        <w:rPr>
          <w:rFonts w:ascii="arial" w:eastAsia="arial" w:hAnsi="arial" w:cs="arial"/>
          <w:i/>
          <w:color w:val="000000"/>
          <w:sz w:val="20"/>
          <w:lang w:val="en-US" w:eastAsia="en-US" w:bidi="ar-SA"/>
        </w:rPr>
        <w:t>Andrews v. Grand &amp; Toy Alberta Ltd.</w:t>
      </w:r>
      <w:r>
        <w:rPr>
          <w:rFonts w:ascii="arial" w:eastAsia="arial" w:hAnsi="arial" w:cs="arial"/>
          <w:color w:val="000000"/>
          <w:sz w:val="20"/>
          <w:lang w:val="en-US" w:eastAsia="en-US" w:bidi="ar-SA"/>
        </w:rPr>
        <w:t xml:space="preserve">, </w:t>
      </w:r>
      <w:hyperlink r:id="rId16"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xml:space="preserve"> at 251:</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We must now gaze more deeply into the crystal ball. What sort of a career would the accident victim have had? What were his prospects and potential prior to the accident? It is not loss of earnings but, rather, loss of earning capacity for which compensation must be made: </w:t>
      </w:r>
      <w:r>
        <w:rPr>
          <w:rFonts w:ascii="arial" w:eastAsia="arial" w:hAnsi="arial" w:cs="arial"/>
          <w:i/>
          <w:color w:val="000000"/>
          <w:sz w:val="20"/>
          <w:lang w:val="en-US" w:eastAsia="en-US" w:bidi="ar-SA"/>
        </w:rPr>
        <w:t xml:space="preserve">The Queen v. Jennings </w:t>
      </w:r>
      <w:r>
        <w:rPr>
          <w:rFonts w:ascii="arial" w:eastAsia="arial" w:hAnsi="arial" w:cs="arial"/>
          <w:color w:val="000000"/>
          <w:sz w:val="20"/>
          <w:lang w:val="en-US" w:eastAsia="en-US" w:bidi="ar-SA"/>
        </w:rPr>
        <w:t xml:space="preserve">, </w:t>
      </w:r>
      <w:hyperlink r:id="rId312" w:history="1">
        <w:r>
          <w:rPr>
            <w:rFonts w:ascii="arial" w:eastAsia="arial" w:hAnsi="arial" w:cs="arial"/>
            <w:i/>
            <w:color w:val="0077CC"/>
            <w:sz w:val="20"/>
            <w:u w:val="single"/>
            <w:shd w:val="clear" w:color="auto" w:fill="FFFFFF"/>
            <w:lang w:val="en-US" w:eastAsia="en-US" w:bidi="ar-SA"/>
          </w:rPr>
          <w:t>[1966] S.C.R. 532</w:t>
        </w:r>
      </w:hyperlink>
      <w:r>
        <w:rPr>
          <w:rFonts w:ascii="arial" w:eastAsia="arial" w:hAnsi="arial" w:cs="arial"/>
          <w:color w:val="000000"/>
          <w:sz w:val="20"/>
          <w:lang w:val="en-US" w:eastAsia="en-US" w:bidi="ar-SA"/>
        </w:rPr>
        <w:t>. A capital asset has been lost: what was its value?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[101] The relevant principles may be briefly summarized. The standard of proof in relation to future events is simple probability, not the balance of probabilities, and hypothetical events are to be given weight according to their relative likelihood: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12"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 27. A plaintiff is entitled to compensation for real and substantial possibilities of loss, which are to be quantified by estimating the chance of the loss occurring: </w:t>
      </w:r>
      <w:r>
        <w:rPr>
          <w:rFonts w:ascii="arial" w:eastAsia="arial" w:hAnsi="arial" w:cs="arial"/>
          <w:i/>
          <w:color w:val="000000"/>
          <w:sz w:val="20"/>
          <w:lang w:val="en-US" w:eastAsia="en-US" w:bidi="ar-SA"/>
        </w:rPr>
        <w:t>Athey v. Leonati, supra</w:t>
      </w:r>
      <w:r>
        <w:rPr>
          <w:rFonts w:ascii="arial" w:eastAsia="arial" w:hAnsi="arial" w:cs="arial"/>
          <w:color w:val="000000"/>
          <w:sz w:val="20"/>
          <w:lang w:val="en-US" w:eastAsia="en-US" w:bidi="ar-SA"/>
        </w:rPr>
        <w:t xml:space="preserve">, at para. 27, </w:t>
      </w:r>
      <w:r>
        <w:rPr>
          <w:rFonts w:ascii="arial" w:eastAsia="arial" w:hAnsi="arial" w:cs="arial"/>
          <w:i/>
          <w:color w:val="000000"/>
          <w:sz w:val="20"/>
          <w:lang w:val="en-US" w:eastAsia="en-US" w:bidi="ar-SA"/>
        </w:rPr>
        <w:t>Steenblok v. Funk</w:t>
      </w:r>
      <w:r>
        <w:rPr>
          <w:rFonts w:ascii="arial" w:eastAsia="arial" w:hAnsi="arial" w:cs="arial"/>
          <w:color w:val="000000"/>
          <w:sz w:val="20"/>
          <w:lang w:val="en-US" w:eastAsia="en-US" w:bidi="ar-SA"/>
        </w:rPr>
        <w:t xml:space="preserve"> </w:t>
      </w:r>
      <w:hyperlink r:id="rId14" w:history="1">
        <w:r>
          <w:rPr>
            <w:rFonts w:ascii="arial" w:eastAsia="arial" w:hAnsi="arial" w:cs="arial"/>
            <w:i/>
            <w:color w:val="0077CC"/>
            <w:sz w:val="20"/>
            <w:u w:val="single"/>
            <w:shd w:val="clear" w:color="auto" w:fill="FFFFFF"/>
            <w:lang w:val="en-US" w:eastAsia="en-US" w:bidi="ar-SA"/>
          </w:rPr>
          <w:t>(1990), 46 B.C.L.R. (2d) 133</w:t>
        </w:r>
      </w:hyperlink>
      <w:r>
        <w:rPr>
          <w:rFonts w:ascii="arial" w:eastAsia="arial" w:hAnsi="arial" w:cs="arial"/>
          <w:color w:val="000000"/>
          <w:sz w:val="20"/>
          <w:lang w:val="en-US" w:eastAsia="en-US" w:bidi="ar-SA"/>
        </w:rPr>
        <w:t xml:space="preserve"> at 135 (C.A.). The valuation of the loss of earning capacity may involve a comparison of what the plaintiff would probably have earned but for the accident with what he will probably earn in his injured condition: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105"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at 93 (S.C.). However, that is not the end of the inquiry; the overall fairness and reasonableness of the award must be considered</w:t>
      </w:r>
      <w:r>
        <w:rPr>
          <w:rFonts w:ascii="arial" w:eastAsia="arial" w:hAnsi="arial" w:cs="arial"/>
          <w:i/>
          <w:color w:val="000000"/>
          <w:sz w:val="20"/>
          <w:lang w:val="en-US" w:eastAsia="en-US" w:bidi="ar-SA"/>
        </w:rPr>
        <w:t>: Rosvold v. Dunlop</w:t>
      </w:r>
      <w:r>
        <w:rPr>
          <w:rFonts w:ascii="arial" w:eastAsia="arial" w:hAnsi="arial" w:cs="arial"/>
          <w:color w:val="000000"/>
          <w:sz w:val="20"/>
          <w:lang w:val="en-US" w:eastAsia="en-US" w:bidi="ar-SA"/>
        </w:rPr>
        <w:t xml:space="preserve"> </w:t>
      </w:r>
      <w:hyperlink r:id="rId313" w:history="1">
        <w:r>
          <w:rPr>
            <w:rFonts w:ascii="arial" w:eastAsia="arial" w:hAnsi="arial" w:cs="arial"/>
            <w:i/>
            <w:color w:val="0077CC"/>
            <w:sz w:val="20"/>
            <w:u w:val="single"/>
            <w:shd w:val="clear" w:color="auto" w:fill="FFFFFF"/>
            <w:lang w:val="en-US" w:eastAsia="en-US" w:bidi="ar-SA"/>
          </w:rPr>
          <w:t>(2001), 84 B.C.L.R. (3d) 158</w:t>
        </w:r>
      </w:hyperlink>
      <w:r>
        <w:rPr>
          <w:rFonts w:ascii="arial" w:eastAsia="arial" w:hAnsi="arial" w:cs="arial"/>
          <w:color w:val="000000"/>
          <w:sz w:val="20"/>
          <w:lang w:val="en-US" w:eastAsia="en-US" w:bidi="ar-SA"/>
        </w:rPr>
        <w:t xml:space="preserve">, </w:t>
      </w:r>
      <w:hyperlink r:id="rId313"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at para. 11; </w:t>
      </w:r>
      <w:r>
        <w:rPr>
          <w:rFonts w:ascii="arial" w:eastAsia="arial" w:hAnsi="arial" w:cs="arial"/>
          <w:i/>
          <w:color w:val="000000"/>
          <w:sz w:val="20"/>
          <w:lang w:val="en-US" w:eastAsia="en-US" w:bidi="ar-SA"/>
        </w:rPr>
        <w:t>Ryder v. Paquette</w:t>
      </w:r>
      <w:r>
        <w:rPr>
          <w:rFonts w:ascii="arial" w:eastAsia="arial" w:hAnsi="arial" w:cs="arial"/>
          <w:color w:val="000000"/>
          <w:sz w:val="20"/>
          <w:lang w:val="en-US" w:eastAsia="en-US" w:bidi="ar-SA"/>
        </w:rPr>
        <w:t xml:space="preserve">, </w:t>
      </w:r>
      <w:hyperlink r:id="rId314" w:history="1">
        <w:r>
          <w:rPr>
            <w:rFonts w:ascii="arial" w:eastAsia="arial" w:hAnsi="arial" w:cs="arial"/>
            <w:i/>
            <w:color w:val="0077CC"/>
            <w:sz w:val="20"/>
            <w:u w:val="single"/>
            <w:shd w:val="clear" w:color="auto" w:fill="FFFFFF"/>
            <w:lang w:val="en-US" w:eastAsia="en-US" w:bidi="ar-SA"/>
          </w:rPr>
          <w:t>[1995] B.C.J. No. 644</w:t>
        </w:r>
      </w:hyperlink>
      <w:r>
        <w:rPr>
          <w:rFonts w:ascii="arial" w:eastAsia="arial" w:hAnsi="arial" w:cs="arial"/>
          <w:color w:val="000000"/>
          <w:sz w:val="20"/>
          <w:lang w:val="en-US" w:eastAsia="en-US" w:bidi="ar-SA"/>
        </w:rPr>
        <w:t xml:space="preserve"> (C.A.). Moreover, the task of the Court is to assess the losses, not to calculate them mathematically</w:t>
      </w:r>
      <w:r>
        <w:rPr>
          <w:rFonts w:ascii="arial" w:eastAsia="arial" w:hAnsi="arial" w:cs="arial"/>
          <w:i/>
          <w:color w:val="000000"/>
          <w:sz w:val="20"/>
          <w:lang w:val="en-US" w:eastAsia="en-US" w:bidi="ar-SA"/>
        </w:rPr>
        <w:t>: Mulholland (Guardian ad litem of) v. Riley Estate</w:t>
      </w:r>
      <w:r>
        <w:rPr>
          <w:rFonts w:ascii="arial" w:eastAsia="arial" w:hAnsi="arial" w:cs="arial"/>
          <w:color w:val="000000"/>
          <w:sz w:val="20"/>
          <w:lang w:val="en-US" w:eastAsia="en-US" w:bidi="ar-SA"/>
        </w:rPr>
        <w:t xml:space="preserve"> </w:t>
      </w:r>
      <w:hyperlink r:id="rId315" w:history="1">
        <w:r>
          <w:rPr>
            <w:rFonts w:ascii="arial" w:eastAsia="arial" w:hAnsi="arial" w:cs="arial"/>
            <w:i/>
            <w:color w:val="0077CC"/>
            <w:sz w:val="20"/>
            <w:u w:val="single"/>
            <w:shd w:val="clear" w:color="auto" w:fill="FFFFFF"/>
            <w:lang w:val="en-US" w:eastAsia="en-US" w:bidi="ar-SA"/>
          </w:rPr>
          <w:t>(1995), 12 B.C.L.R. (3d) 248</w:t>
        </w:r>
      </w:hyperlink>
      <w:r>
        <w:rPr>
          <w:rFonts w:ascii="arial" w:eastAsia="arial" w:hAnsi="arial" w:cs="arial"/>
          <w:color w:val="000000"/>
          <w:sz w:val="20"/>
          <w:lang w:val="en-US" w:eastAsia="en-US" w:bidi="ar-SA"/>
        </w:rPr>
        <w:t xml:space="preserve"> (C.A.). Finally, since the course of future events is unknown, allowance must be made for the contingency that the assumptions upon which the award is based may prove to be wrong: </w:t>
      </w:r>
      <w:r>
        <w:rPr>
          <w:rFonts w:ascii="arial" w:eastAsia="arial" w:hAnsi="arial" w:cs="arial"/>
          <w:i/>
          <w:color w:val="000000"/>
          <w:sz w:val="20"/>
          <w:lang w:val="en-US" w:eastAsia="en-US" w:bidi="ar-SA"/>
        </w:rPr>
        <w:t>Milina v. Bartsch, supra</w:t>
      </w:r>
      <w:r>
        <w:rPr>
          <w:rFonts w:ascii="arial" w:eastAsia="arial" w:hAnsi="arial" w:cs="arial"/>
          <w:color w:val="000000"/>
          <w:sz w:val="20"/>
          <w:lang w:val="en-US" w:eastAsia="en-US" w:bidi="ar-SA"/>
        </w:rPr>
        <w:t xml:space="preserve">, at 79. In adjusting for contingencies, the remarks of Dickson J. in </w:t>
      </w:r>
      <w:r>
        <w:rPr>
          <w:rFonts w:ascii="arial" w:eastAsia="arial" w:hAnsi="arial" w:cs="arial"/>
          <w:i/>
          <w:color w:val="000000"/>
          <w:sz w:val="20"/>
          <w:lang w:val="en-US" w:eastAsia="en-US" w:bidi="ar-SA"/>
        </w:rPr>
        <w:t>Andrews v. Grand &amp; Toy Alberta Ltd., supra,</w:t>
      </w:r>
      <w:r>
        <w:rPr>
          <w:rFonts w:ascii="arial" w:eastAsia="arial" w:hAnsi="arial" w:cs="arial"/>
          <w:color w:val="000000"/>
          <w:sz w:val="20"/>
          <w:lang w:val="en-US" w:eastAsia="en-US" w:bidi="ar-SA"/>
        </w:rPr>
        <w:t xml:space="preserve"> at 253, are a useful guide: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First, in many respects, these contingencies implicitly are already contained in an assessment of the projected average level of earnings of the injured person, for one must assume that this figure is a projection with respect to the real world of work, vicissitudes and all. Second, not all contingencies are adverse ... Finally, in modern society there are many public and private schemes which cushion the individual against adverse contingencies. </w:t>
      </w:r>
      <w:r>
        <w:rPr>
          <w:rFonts w:ascii="arial" w:eastAsia="arial" w:hAnsi="arial" w:cs="arial"/>
          <w:color w:val="000000"/>
          <w:sz w:val="20"/>
          <w:u w:val="single"/>
          <w:lang w:val="en-US" w:eastAsia="en-US" w:bidi="ar-SA"/>
        </w:rPr>
        <w:t>Clearly, the percentage deduction which is proper will depend on the facts of the individual case, particularly the nature of the plaintiff's occupation, but generally it will be small</w:t>
      </w:r>
      <w:r>
        <w:rPr>
          <w:rFonts w:ascii="arial" w:eastAsia="arial" w:hAnsi="arial" w:cs="arial"/>
          <w:color w:val="000000"/>
          <w:sz w:val="20"/>
          <w:lang w:val="en-US" w:eastAsia="en-US" w:bidi="ar-SA"/>
        </w:rPr>
        <w:t xml:space="preserve">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All the paid work that Mr. Moses did prior to the accident had a significant physical aspect. As a result of his injuries in the accident, Mr. Moses is not realistically employable in such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The defence relied on Mr. Trainor's evidence that the appropriate vocation options for Mr. Moses include working as a truck driver, school bus driver, delivery driver or heavy equipment operator. The defence position is that Mr. Moses may be able to find work in those areas.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Mr. Moses is sufficiently motivated and active that it is likely that he will engage himself in some way, for example, by selling the leather products that he is making. However, he is unlikely to find work in a competitive labour market. He may find a way to use his acreage for a cattle ranch, although that will require significant assistance from other people. It is not likely that Mr. Moses will earn much in these activities after considering the related expenses. For the purposes of assessing his lost future earning capacity, it is not appropriate to make any significant deduction for the contingency that Mr. Moses will earn income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If the accident had not occurred, it is most likely that Mr. Moses would have worked until retirement age at a variety of jobs. He would likely have spent some time working as a security person/janitor/maintenance worker and bus driver for the Band school, some time working in the bush as a hand faller or operating a feller buncher, and some time when he was not working for pay but instead was working on his cattle ranch. At some point he may have been able to devote himself full time to working on his cattle ranch.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Mr. Moses would likely have had increasing difficulty obtaining physical work as he aged. While Mr. Moses was an unusually strong and vigorous man prior to the accident, the work would have become increasingly difficult for him, and he already suffered some back problems following exertion.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Mr. Moses's position is that his future earning loss should be calculated by adjusting the expected income of the average B.C. man who has not attended school past Grade 8. That amount is about $200,000 net of all labour market contingencies. Mr. Moses's position is that after considering his capacity to earn greater income through operating feller buncher machinery, and his lost ability to hunt, fish and gather, $300,000 is an appropriate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The defence position is that Mr. Moses would most likely have worked at the Band school and perhaps moved on to develop his ranch either part-time or full-time. The defence relied on Mr. Trainor's evidence that the average farmer earns $22,498 on a yearly basis and that the average full-time and full-year income for individuals providing janitorial services is $29,398.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The defence argued that it is appropriate to assess Mr. Moses's future income loss by considering an unemployment rate of 80%. On that basis, the defence argued that Mr. Moses's loss of future earnings would be $49,000, less what he may be able to earn.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I have taken into account the contingencies discussed with respect to the past income loss. The overall Band unemployment of 80% demonstrates that there is scarcity of work, but Mr. Moses's work history shows that he would likely have continued to find work most of the time when he wanted it. I have also considered that, but for the accident, Mr. Moses would likely have had more difficulty doing highly physical work as he aged.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For the purposes of this assessment, it is fair to consider that over the seven years from trial until Mr. Moses reaches age 65, he would likely continue working and he likely would have earned an average of $30,000 per year. On my calculations, the net present value of that sum, using the figures in the table provided by Mr. Carson, is about $210,000.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In addition, Mr. Moses would likely have continued to obtain wild food for himself for most of the rest of his life, thereby reducing his need to purchase food. The figure of $10,000 is an appropriate reflection of his lost capacity to obtain wild food.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A fair assessment of Mr. Moses's lost future earning capacity, including his lost ability to hunt and fish for wild food and reduce his need to purchase food, is $220,000.</w:t>
      </w:r>
      <w:r>
        <w:rPr>
          <w:rFonts w:ascii="arial" w:eastAsia="arial" w:hAnsi="arial" w:cs="arial"/>
          <w:sz w:val="20"/>
          <w:lang w:val="en-US" w:eastAsia="en-US" w:bidi="ar-SA"/>
        </w:rPr>
        <w:cr/>
      </w:r>
    </w:p>
    <w:p>
      <w:pPr>
        <w:numPr>
          <w:numId w:val="2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Mr. Moses argued that the cost of his future care should be assessed at $150,000. The defence position is that a proper figure for Mr. Moses's future care costs is merely nominal, to reflect for example the cost of replacement canes. The defence position is that there was no medical evidence regarding Mr. Moses's prognosis, and the items claimed for cost of future care are unnecessary.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xml:space="preserve">  Future care costs must be justified as reasonable, both in the sense of being medically necessary to preserve the plaintiff's health, and in the sense of being expenses that, on the evidence, the plaintiff will be likely to incur: see </w:t>
      </w:r>
      <w:r>
        <w:rPr>
          <w:rFonts w:ascii="arial" w:eastAsia="arial" w:hAnsi="arial" w:cs="arial"/>
          <w:b/>
          <w:i/>
          <w:color w:val="000000"/>
          <w:sz w:val="20"/>
          <w:lang w:val="en-US" w:eastAsia="en-US" w:bidi="ar-SA"/>
        </w:rPr>
        <w:t>Krangle (Guardian ad litem of) v. Brisco</w:t>
      </w:r>
      <w:r>
        <w:rPr>
          <w:rFonts w:ascii="arial" w:eastAsia="arial" w:hAnsi="arial" w:cs="arial"/>
          <w:color w:val="000000"/>
          <w:sz w:val="20"/>
          <w:lang w:val="en-US" w:eastAsia="en-US" w:bidi="ar-SA"/>
        </w:rPr>
        <w:t xml:space="preserve">, </w:t>
      </w:r>
      <w:hyperlink r:id="rId359" w:history="1">
        <w:r>
          <w:rPr>
            <w:rFonts w:ascii="arial" w:eastAsia="arial" w:hAnsi="arial" w:cs="arial"/>
            <w:i/>
            <w:color w:val="0077CC"/>
            <w:sz w:val="20"/>
            <w:u w:val="single"/>
            <w:shd w:val="clear" w:color="auto" w:fill="FFFFFF"/>
            <w:lang w:val="en-US" w:eastAsia="en-US" w:bidi="ar-SA"/>
          </w:rPr>
          <w:t>[2002] 1 S.C.R. 205</w:t>
        </w:r>
      </w:hyperlink>
      <w:r>
        <w:rPr>
          <w:rFonts w:ascii="arial" w:eastAsia="arial" w:hAnsi="arial" w:cs="arial"/>
          <w:color w:val="000000"/>
          <w:sz w:val="20"/>
          <w:lang w:val="en-US" w:eastAsia="en-US" w:bidi="ar-SA"/>
        </w:rPr>
        <w:t xml:space="preserve">, </w:t>
      </w:r>
      <w:hyperlink r:id="rId359" w:history="1">
        <w:r>
          <w:rPr>
            <w:rFonts w:ascii="arial" w:eastAsia="arial" w:hAnsi="arial" w:cs="arial"/>
            <w:i/>
            <w:color w:val="0077CC"/>
            <w:sz w:val="20"/>
            <w:u w:val="single"/>
            <w:shd w:val="clear" w:color="auto" w:fill="FFFFFF"/>
            <w:lang w:val="en-US" w:eastAsia="en-US" w:bidi="ar-SA"/>
          </w:rPr>
          <w:t>2002 SCC 9</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Izony v. Weidlich</w:t>
      </w:r>
      <w:r>
        <w:rPr>
          <w:rFonts w:ascii="arial" w:eastAsia="arial" w:hAnsi="arial" w:cs="arial"/>
          <w:color w:val="000000"/>
          <w:sz w:val="20"/>
          <w:lang w:val="en-US" w:eastAsia="en-US" w:bidi="ar-SA"/>
        </w:rPr>
        <w:t xml:space="preserve">, </w:t>
      </w:r>
      <w:hyperlink r:id="rId360" w:history="1">
        <w:r>
          <w:rPr>
            <w:rFonts w:ascii="arial" w:eastAsia="arial" w:hAnsi="arial" w:cs="arial"/>
            <w:i/>
            <w:color w:val="0077CC"/>
            <w:sz w:val="20"/>
            <w:u w:val="single"/>
            <w:shd w:val="clear" w:color="auto" w:fill="FFFFFF"/>
            <w:lang w:val="en-US" w:eastAsia="en-US" w:bidi="ar-SA"/>
          </w:rPr>
          <w:t>2006 BCSC 1315</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105"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(S.C.). Costs that are medically justified are recoverable and must be distinguished from costs that would serve the sole function of making the plaintiff's life more bearable or enjoyable.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An injured plaintiff is entitled to full compensation for future care, subject to the rules of remoteness and mitigation: see H. McGregor</w:t>
      </w:r>
      <w:r>
        <w:rPr>
          <w:rFonts w:ascii="arial" w:eastAsia="arial" w:hAnsi="arial" w:cs="arial"/>
          <w:i/>
          <w:color w:val="000000"/>
          <w:sz w:val="20"/>
          <w:lang w:val="en-US" w:eastAsia="en-US" w:bidi="ar-SA"/>
        </w:rPr>
        <w:t>, McGregor on Damages</w:t>
      </w:r>
      <w:r>
        <w:rPr>
          <w:rFonts w:ascii="arial" w:eastAsia="arial" w:hAnsi="arial" w:cs="arial"/>
          <w:color w:val="000000"/>
          <w:sz w:val="20"/>
          <w:lang w:val="en-US" w:eastAsia="en-US" w:bidi="ar-SA"/>
        </w:rPr>
        <w:t>, 13th ed. (London: Sweet &amp; Maxwell, 1972), at pp. 238-39, para. 1097.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Mr. Moses relies on the future costs referred to in Mr. Pakulak's report and the present value calculation by Mr. Carson totalling about $170,000. In light of the uncertainty about when Mr. Moses would require a care aide and assistance with his ranch, Mr. Moses's position is that $150,000 is an appropriate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The costs claimed for replacement hand held shower head, shower stool, long handled reacher and bathing items, long handled shoe horn/dressing stick, sock aid, ice cane/crutch attachment, cane, replacement wheeled walkers, Tylenol 3 and Advil are reasonable. The present value for those items totals about $1,800.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Other items are more contentious. Mr. Moses claims that he may need 6 hours per week of assistance from a personal care aid starting in five years, an expense with a present value of about $47,000. The only at-home personal care that Mr. Moses has required since the accident, apart from nursing visits to change dressings, has been provided by family members. He does not require that assistance at present. Many people require personal care in their last years, and Mr. Moses may need it as well. The result of his accident, particularly his problems with balance, may be that Mr. Moses will need personal care earlier than he would have if the accident had not occurred. The sum of $10,000 would be a fair assessment of his likely future cost for a personal aid arising from his injuries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Mr. Moses also claims about $200 for installation of grab bars and a tub transfer rail should he move. These are reasonable. He may move, for example to his acreage.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Mr. Moses also claims about $1,600 for installation of a wheelchair/scooter ramp in his existing home and if he moves. This is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Mr. Moses claims about $13,000 for a power scooter, with replacement batteries and tote. A scooter would assist Mr. Moses to access his community and enhance his independence. It would be useful for accessing uneven terrain such as nature trails. This will increase Mr. Moses's safety in the terrain of the reserve. It is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Mr. Moses claims about $17,000 for physiotherapy, exercise therapy, and fitness and pool pass. In Dr. Gouws's opinion, Mr. Moses will need ongoing regular rehabilitation and therapy to ensure that he reaches and maintains maximum physical function. Dr. Gouws did not provide specifics of the recommended therapy. Mr. Moses does not appear to be receiving such therapy at present. The amount claimed is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Mr. Moses claims about $85,000 for household assistance. The biggest items are about $33,000 for household cleaning and about $40,000 for miscellaneous ranch work. By the time of trial, the only assistance Mr. Moses required had been provided either by the Band or by Mr. Moses's family and friends. Mr. Moses's own lost capacity to provide homemaking services is considered under a separate heading. As part of future care costs, a sum of $10,000 is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Mr. Moses also claimed about $4,700 for cephalexin. That is a drug that was apparently used when he had an infected leg. There was no medical evidence that Mr. Moses is likely to need that in the future. As a result, the future care award should not reflect anything for this item.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Future care costs should be assessed, not calculated. The court should award an amount that is reasonable in all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The sum of $55,000 is a fair assessment of the cost of Mr. Moses's future care arising from the accident.</w:t>
      </w:r>
      <w:r>
        <w:rPr>
          <w:rFonts w:ascii="arial" w:eastAsia="arial" w:hAnsi="arial" w:cs="arial"/>
          <w:sz w:val="20"/>
          <w:lang w:val="en-US" w:eastAsia="en-US" w:bidi="ar-SA"/>
        </w:rPr>
        <w:cr/>
      </w:r>
    </w:p>
    <w:p>
      <w:pPr>
        <w:numPr>
          <w:numId w:val="2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Mr. Moses argued that he should be awarded $20,000 for the house logs that he was unable to use for the construction of a home on his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The position of the defence is that a smaller amount should be awarded, to reflect the labour required for Mr. Moses to harvest further trees and prepare them for building a new home. The defence argued that Mr. Moses can obtain fresh logs from the trees remaining on his acreage, and so the logs themselves are essentially free for Mr. Moses. The defence argues that the cost of falling the trees and debarking them is all that should be compensated as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The evidence is that there are not enough suitable trees remaining on Mr. Moses's acreage to use for building his house. The evidence is that replacing the logs that spoiled would cost about $30,000. Mr. Moses achieved only about $1,500 on selling the spoiled logs. He may be able to replace some of them if he can get assistance in falling and peeling trees remaining on the uncleared parts of his acreage.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The evidence was not clear about how many replacement logs are available on Mr. Moses's property. Special costs of $20,000 are appropriate.</w:t>
      </w:r>
      <w:r>
        <w:rPr>
          <w:rFonts w:ascii="arial" w:eastAsia="arial" w:hAnsi="arial" w:cs="arial"/>
          <w:sz w:val="20"/>
          <w:lang w:val="en-US" w:eastAsia="en-US" w:bidi="ar-SA"/>
        </w:rPr>
        <w:cr/>
      </w:r>
    </w:p>
    <w:p>
      <w:pPr>
        <w:numPr>
          <w:numId w:val="2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Loss of Housekeeping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Mr. Moses claims $50,000 for lost housekeeping capacity. The defence position is that nothing should be awarded for this item. The defence position is that Mr. Moses's family did not provide any more services than would be expected from close family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xml:space="preserve">  The issue of damages for lost housekeeping capacity was considered by a five-member panel of the Court of Appeal in </w:t>
      </w:r>
      <w:r>
        <w:rPr>
          <w:rFonts w:ascii="arial" w:eastAsia="arial" w:hAnsi="arial" w:cs="arial"/>
          <w:b/>
          <w:i/>
          <w:color w:val="000000"/>
          <w:sz w:val="20"/>
          <w:lang w:val="en-US" w:eastAsia="en-US" w:bidi="ar-SA"/>
        </w:rPr>
        <w:t>Kroeker v. Jansen</w:t>
      </w:r>
      <w:r>
        <w:rPr>
          <w:rFonts w:ascii="arial" w:eastAsia="arial" w:hAnsi="arial" w:cs="arial"/>
          <w:color w:val="000000"/>
          <w:sz w:val="20"/>
          <w:lang w:val="en-US" w:eastAsia="en-US" w:bidi="ar-SA"/>
        </w:rPr>
        <w:t xml:space="preserve"> </w:t>
      </w:r>
      <w:hyperlink r:id="rId361" w:history="1">
        <w:r>
          <w:rPr>
            <w:rFonts w:ascii="arial" w:eastAsia="arial" w:hAnsi="arial" w:cs="arial"/>
            <w:i/>
            <w:color w:val="0077CC"/>
            <w:sz w:val="20"/>
            <w:u w:val="single"/>
            <w:shd w:val="clear" w:color="auto" w:fill="FFFFFF"/>
            <w:lang w:val="en-US" w:eastAsia="en-US" w:bidi="ar-SA"/>
          </w:rPr>
          <w:t>(1995), 123 D.L.R. (4th) 652</w:t>
        </w:r>
      </w:hyperlink>
      <w:r>
        <w:rPr>
          <w:rFonts w:ascii="arial" w:eastAsia="arial" w:hAnsi="arial" w:cs="arial"/>
          <w:color w:val="000000"/>
          <w:sz w:val="20"/>
          <w:lang w:val="en-US" w:eastAsia="en-US" w:bidi="ar-SA"/>
        </w:rPr>
        <w:t xml:space="preserve">; </w:t>
      </w:r>
      <w:hyperlink r:id="rId361" w:history="1">
        <w:r>
          <w:rPr>
            <w:rFonts w:ascii="arial" w:eastAsia="arial" w:hAnsi="arial" w:cs="arial"/>
            <w:i/>
            <w:color w:val="0077CC"/>
            <w:sz w:val="20"/>
            <w:u w:val="single"/>
            <w:shd w:val="clear" w:color="auto" w:fill="FFFFFF"/>
            <w:lang w:val="en-US" w:eastAsia="en-US" w:bidi="ar-SA"/>
          </w:rPr>
          <w:t>4 B.C.L.R. (3d) 178</w:t>
        </w:r>
      </w:hyperlink>
      <w:r>
        <w:rPr>
          <w:rFonts w:ascii="arial" w:eastAsia="arial" w:hAnsi="arial" w:cs="arial"/>
          <w:color w:val="000000"/>
          <w:sz w:val="20"/>
          <w:lang w:val="en-US" w:eastAsia="en-US" w:bidi="ar-SA"/>
        </w:rPr>
        <w:t xml:space="preserve"> (C.A.). The court recognized that damages for past and future loss of housekeeping capacity may be awarded by a trial judge, even though housekeeping services were gratuitously replaced by a family member. Further, it recognized that, depending on the facts, this compensation may be addressed by pecuniary or non-pecuniary damages, and if non-pecuniary, that there was no reason these damages could not be segregated.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McTavish v. MacGillivray</w:t>
      </w:r>
      <w:r>
        <w:rPr>
          <w:rFonts w:ascii="arial" w:eastAsia="arial" w:hAnsi="arial" w:cs="arial"/>
          <w:color w:val="000000"/>
          <w:sz w:val="20"/>
          <w:lang w:val="en-US" w:eastAsia="en-US" w:bidi="ar-SA"/>
        </w:rPr>
        <w:t xml:space="preserve"> </w:t>
      </w:r>
      <w:hyperlink r:id="rId362" w:history="1">
        <w:r>
          <w:rPr>
            <w:rFonts w:ascii="arial" w:eastAsia="arial" w:hAnsi="arial" w:cs="arial"/>
            <w:i/>
            <w:color w:val="0077CC"/>
            <w:sz w:val="20"/>
            <w:u w:val="single"/>
            <w:shd w:val="clear" w:color="auto" w:fill="FFFFFF"/>
            <w:lang w:val="en-US" w:eastAsia="en-US" w:bidi="ar-SA"/>
          </w:rPr>
          <w:t>(2000), 74 B.C.L.R. (3d) 281</w:t>
        </w:r>
      </w:hyperlink>
      <w:r>
        <w:rPr>
          <w:rFonts w:ascii="arial" w:eastAsia="arial" w:hAnsi="arial" w:cs="arial"/>
          <w:color w:val="000000"/>
          <w:sz w:val="20"/>
          <w:lang w:val="en-US" w:eastAsia="en-US" w:bidi="ar-SA"/>
        </w:rPr>
        <w:t xml:space="preserve">, </w:t>
      </w:r>
      <w:hyperlink r:id="rId362" w:history="1">
        <w:r>
          <w:rPr>
            <w:rFonts w:ascii="arial" w:eastAsia="arial" w:hAnsi="arial" w:cs="arial"/>
            <w:i/>
            <w:color w:val="0077CC"/>
            <w:sz w:val="20"/>
            <w:u w:val="single"/>
            <w:shd w:val="clear" w:color="auto" w:fill="FFFFFF"/>
            <w:lang w:val="en-US" w:eastAsia="en-US" w:bidi="ar-SA"/>
          </w:rPr>
          <w:t>2000 BCCA 164</w:t>
        </w:r>
      </w:hyperlink>
      <w:r>
        <w:rPr>
          <w:rFonts w:ascii="arial" w:eastAsia="arial" w:hAnsi="arial" w:cs="arial"/>
          <w:color w:val="000000"/>
          <w:sz w:val="20"/>
          <w:lang w:val="en-US" w:eastAsia="en-US" w:bidi="ar-SA"/>
        </w:rPr>
        <w:t>, the Court of Appeal again considered an award for lost housekeeping capacity. Huddart J.A. wrote at para. 68,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family members by their gratuitous labour replace costs that would otherwise be incurred or themselves incur costs, their work can be valued by a replacement cost or opportunity cost approach as the case may be. That value provides a measure of the plaintiff's loss. Like the trial judge I would prefer to characterize such compensation as general damages assessed in pecuniary terms, reserving special damages for those circumstances where the plaintiff actually spent money or incurred a monetary liability, although I do not wish to state a settled view on that question in the absence of full submissions as to the consequences of the distinction, if 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Mr. Moses argued that, on average, he has required three hours per day of housekeeping assistance from his family and friends over the last 5 1/2 years. At $12 per hour, that would amount to about $70,000. In light of that, Mr. Moses's position is that an award of $50,000 is a minimal appropriate figure.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Mr. Moses's need for housekeeping assistance was greater immediately after the accident and the re-fracture than at other times. The present value of household services estimated by Mr. Pakulak, consisting of four hours per week of heavier household cleaning and 16 hours per year of heavier seasonal cleaning, was about $37,000.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An appropriate award for Mr. Moses's lost housekeeping capacity is $40,000.</w:t>
      </w:r>
      <w:r>
        <w:rPr>
          <w:rFonts w:ascii="arial" w:eastAsia="arial" w:hAnsi="arial" w:cs="arial"/>
          <w:sz w:val="20"/>
          <w:lang w:val="en-US" w:eastAsia="en-US" w:bidi="ar-SA"/>
        </w:rPr>
        <w:cr/>
      </w:r>
    </w:p>
    <w:p>
      <w:pPr>
        <w:numPr>
          <w:numId w:val="2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Tax gross-up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Counsel agreed that the amount for tax gross-up could be addressed following determination of the award for other items. If counsel are unable to agree on those items, they should request a further hearing before me by writing to the Registry. I ask that they provide an estimate of how much court time the hearing will require, and propose a schedule for the exchange of materials relating to the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Mr. Moses's damages are assessed as $623,000, consisting of the following:</w:t>
      </w:r>
      <w:r>
        <w:rPr>
          <w:rFonts w:ascii="arial" w:eastAsia="arial" w:hAnsi="arial" w:cs="arial"/>
          <w:sz w:val="20"/>
          <w:lang w:val="en-US" w:eastAsia="en-US" w:bidi="ar-SA"/>
        </w:rPr>
        <w:cr/>
      </w:r>
    </w:p>
    <w:p>
      <w:pPr>
        <w:numPr>
          <w:numId w:val="3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$165,000 for non-pecuniary damages;</w:t>
      </w:r>
    </w:p>
    <w:p>
      <w:pPr>
        <w:numPr>
          <w:numId w:val="3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$123,000 for past lost earnings;</w:t>
      </w:r>
    </w:p>
    <w:p>
      <w:pPr>
        <w:numPr>
          <w:numId w:val="3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$220,000 for lost future earning capacity;</w:t>
      </w:r>
    </w:p>
    <w:p>
      <w:pPr>
        <w:numPr>
          <w:numId w:val="3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$55,000 for the cost of future care;</w:t>
      </w:r>
    </w:p>
    <w:p>
      <w:pPr>
        <w:numPr>
          <w:numId w:val="3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$20,000 for special damages; and</w:t>
      </w:r>
    </w:p>
    <w:p>
      <w:pPr>
        <w:numPr>
          <w:numId w:val="3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$40,000 for lost housekeeping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Because Mr. Moses was 65% responsible for the accident, he is entitled to recover $218,050 from the defendants, that amount being 35% of $623,000.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Mr. Moses's further claim for tax gross-up, pre-judgment interest, and costs, may be the subject of further submissions, as discussed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GRAY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16" style="position:absolute;z-index:25187532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63"/>
          <w:headerReference w:type="default" r:id="rId364"/>
          <w:footerReference w:type="even" r:id="rId365"/>
          <w:footerReference w:type="default" r:id="rId366"/>
          <w:headerReference w:type="first" r:id="rId367"/>
          <w:footerReference w:type="first" r:id="rId36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69" w:history="1">
        <w:r>
          <w:rPr>
            <w:rFonts w:ascii="arial" w:eastAsia="arial" w:hAnsi="arial" w:cs="arial"/>
            <w:b/>
            <w:bCs/>
            <w:i/>
            <w:color w:val="0077CC"/>
            <w:kern w:val="32"/>
            <w:sz w:val="28"/>
            <w:szCs w:val="32"/>
            <w:u w:val="single"/>
            <w:shd w:val="clear" w:color="auto" w:fill="FFFFFF"/>
            <w:lang w:val="en-US" w:eastAsia="en-US" w:bidi="ar-SA"/>
          </w:rPr>
          <w:t>Peters v. Co-operators Life Insurance Co., [2007] B.C.J. No. 1642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Frankel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28,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Written submissions received: April 11,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23,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S046434</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[2007] B.C.J. No. 1642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2007 BCSC 1103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51 C.C.L.I. (4th) 152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44 C.P.C. (6th) 73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74 B.C.L.R. (4th) 161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160 A.C.W.S. (3d) 265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2007 CarswellBC 1708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Janet Peters, Plaintiff, and Co-operators Life Insurance Company Co-operators Compagnie D'Assurance-Vie and H.Y. Louie Co. Limited,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17" style="position:absolute;z-index:2516776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25" w:name="Keywords_17"/>
      <w:bookmarkEnd w:id="125"/>
      <w:r>
        <w:rPr>
          <w:rFonts w:ascii="arial" w:eastAsia="arial" w:hAnsi="arial" w:cs="arial"/>
          <w:b/>
          <w:color w:val="000000"/>
          <w:sz w:val="20"/>
          <w:lang w:val="en-US" w:eastAsia="en-US" w:bidi="ar-SA"/>
        </w:rPr>
        <w:t>Civil procedure — Pre-trial procedures — Certificate of notice or notice of readiness for trial — Application by defendant to strike the plaintiff's notice to require trial on issues of contract and relief from forfeiture by judge with a jury — Application granted — Relief from forfeiture was an equitable remedy which could only be decided by a judge — There was no ground for bifurcating the trial, as the question of whether to grant relief from forfeiture was not a question of fact as required by Rule 39(30).</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Civil procedure — Trials — Severance of issues or parties — Application by defendant to strike the plaintiff's notice to require trial on issues of contract and relief from forfeiture by judge with a jury — Application granted — Relief from forfeiture was an equitable remedy which could only be decided by a judge — There was no ground for bifurcating the trial, as the question of whether to grant relief from forfeiture was not a question of fact as required by Rule 39(30).</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26" w:name="Case Summary_16"/>
            <w:bookmarkEnd w:id="12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Co-Operators to strike Peters' notice to require the trial to be heard by a judge with a jury -- She claimed that she was entitled to receive disability benefits pursuant to a group insurance policy between her employer, H.Y. Louie, and its disability insurer, Co-operators -- As well, she sought damages from both under various heads -- Co-operators claimed the case can only be heard by a judge without a jury because it involved the interpretation of a contract, and a request for equitable relief from forfeiture -- HELD: Application granted -- It was ordered that the trial be heard by a judge without a jury -- With respect to the claim in contract, the issues concerned the application of the policy, not its interpretation, and so could be heard by a jury -- However, relief from forfeiture was an equitable remedy which could only be decided by a judge -- There was no ground for bifurcating the trial, as the question of whether to grant relief from forfeiture was not a question of fact as required by Rule 39(30).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27" w:name="Legislation Cited_14"/>
      <w:bookmarkEnd w:id="12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18" style="position:absolute;z-index:2517288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10(1), Rule 39(25), Rule 39(25)(j), Rule 39(27), Rule 39(30)</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28" w:name="Counsel_18"/>
      <w:bookmarkEnd w:id="128"/>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19" style="position:absolute;z-index:2517800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Faith E. Hayman.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Co-operators Life Insurance Company: Bruce A. Laughton, Q.C..</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29" w:name="Judgment_18"/>
      <w:bookmarkEnd w:id="129"/>
      <w:r>
        <w:pict>
          <v:line id="_x0000_s1120" style="position:absolute;z-index:251830272"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0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30" w:name="FRANKEL J."/>
            <w:bookmarkEnd w:id="130"/>
            <w:r>
              <w:rPr>
                <w:rFonts w:ascii="arial" w:eastAsia="arial" w:hAnsi="arial" w:cs="arial"/>
                <w:b/>
                <w:color w:val="000000"/>
                <w:sz w:val="30"/>
                <w:lang w:val="en-US" w:eastAsia="en-US" w:bidi="ar-SA"/>
              </w:rPr>
              <w:t>FRANKEL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action involves a dispute between Janet Peters, her employer, H.Y. Louie Co. Limited, and its disability insurer, Co-operators Life Insurance Company. Ms. Peters claims she is entitled to receive disability benefits pursuant to a group insurance policy between H.Y. Louie and Co-operators. As well, she seeks damages from both under various heads.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Ms. Peters has delivered a notice requiring the trial to be heard with a jury. Co-operators seeks to strike this notice for two independent reasons. It says this case can only be heard by a judge without a jury because it involves the interpretation of a contract, and a request for equitable relief from forfeiture.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For the reasons that follow I find that this application fails on the first ground, but succeeds on the second.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Ms. Peters claims she is entitled to benefits from Co-operators because she was "Totally Disabled" as defined in the policy as of December 1, 2001. For reasons she attributes to the improper actions of H.Y. Louie, she says she was not aware of this entitlement until November,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Upon becoming aware of her entitlement Ms. Peters sent a proof of loss to Co-operators. Her claim was denied because this was not done within the time stipulated in the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Ms. Peters claims that H.Y. Louie is liable for failing to provide her with accurate information regarding her entitlement to benefits, and for failing to assist her in securing them. In addition, she alleges that H.Y. Louie acted as Co-operators' agent with respect to communications concerning her entitlement.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statement of claim seeks the following relief:</w:t>
      </w:r>
      <w:r>
        <w:rPr>
          <w:rFonts w:ascii="arial" w:eastAsia="arial" w:hAnsi="arial" w:cs="arial"/>
          <w:sz w:val="20"/>
          <w:lang w:val="en-US" w:eastAsia="en-US" w:bidi="ar-SA"/>
        </w:rPr>
        <w:cr/>
      </w:r>
    </w:p>
    <w:p>
      <w:pPr>
        <w:numPr>
          <w:numId w:val="1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declaration that the plaintiff is entitled to receive disability benefits from the Defendant Co-operators pursuant to the Policy and judgment for the monies owed;</w:t>
      </w:r>
    </w:p>
    <w:p>
      <w:pPr>
        <w:numPr>
          <w:numId w:val="1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relief against forfeiture pursuant to section 10 of the </w:t>
      </w:r>
      <w:r>
        <w:rPr>
          <w:rFonts w:ascii="arial" w:eastAsia="arial" w:hAnsi="arial" w:cs="arial"/>
          <w:i/>
          <w:color w:val="000000"/>
          <w:sz w:val="20"/>
          <w:lang w:val="en-US" w:eastAsia="en-US" w:bidi="ar-SA"/>
        </w:rPr>
        <w:t>Insurance Act</w:t>
      </w:r>
      <w:r>
        <w:rPr>
          <w:rFonts w:ascii="arial" w:eastAsia="arial" w:hAnsi="arial" w:cs="arial"/>
          <w:color w:val="000000"/>
          <w:sz w:val="20"/>
          <w:lang w:val="en-US" w:eastAsia="en-US" w:bidi="ar-SA"/>
        </w:rPr>
        <w:t xml:space="preserve">, </w:t>
      </w:r>
      <w:hyperlink r:id="rId370" w:history="1">
        <w:r>
          <w:rPr>
            <w:rFonts w:ascii="arial" w:eastAsia="arial" w:hAnsi="arial" w:cs="arial"/>
            <w:i/>
            <w:color w:val="0077CC"/>
            <w:sz w:val="20"/>
            <w:u w:val="single"/>
            <w:shd w:val="clear" w:color="auto" w:fill="FFFFFF"/>
            <w:lang w:val="en-US" w:eastAsia="en-US" w:bidi="ar-SA"/>
          </w:rPr>
          <w:t>R.S.B.C. 1996, chapter 226</w:t>
        </w:r>
      </w:hyperlink>
      <w:r>
        <w:rPr>
          <w:rFonts w:ascii="arial" w:eastAsia="arial" w:hAnsi="arial" w:cs="arial"/>
          <w:color w:val="000000"/>
          <w:sz w:val="20"/>
          <w:lang w:val="en-US" w:eastAsia="en-US" w:bidi="ar-SA"/>
        </w:rPr>
        <w:t xml:space="preserve"> and amendments thereto;</w:t>
      </w:r>
    </w:p>
    <w:p>
      <w:pPr>
        <w:numPr>
          <w:numId w:val="1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special and general damages against the defendants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against H.Y. Louie for negligent misstatement;</w:t>
      </w:r>
    </w:p>
    <w:p>
      <w:pPr>
        <w:numPr>
          <w:numId w:val="1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against the defendant Co-operators for breach of contract;</w:t>
      </w:r>
    </w:p>
    <w:p>
      <w:pPr>
        <w:numPr>
          <w:numId w:val="1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against the defendants, including punitive and/or exemplary damages, for breach of their duty of good faith toward the plaintiff;</w:t>
      </w:r>
    </w:p>
    <w:p>
      <w:pPr>
        <w:numPr>
          <w:numId w:val="1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for mental distress;</w:t>
      </w:r>
    </w:p>
    <w:p>
      <w:pPr>
        <w:numPr>
          <w:numId w:val="1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pre-judgment interest on all outstanding benefits;</w:t>
      </w:r>
    </w:p>
    <w:p>
      <w:pPr>
        <w:numPr>
          <w:numId w:val="1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costs; and</w:t>
      </w:r>
    </w:p>
    <w:p>
      <w:pPr>
        <w:numPr>
          <w:numId w:val="1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such further and other relief as this Honourable Court deems just.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its statement of defence Co-Operators relies on a number of the policy's provisions. It says that Ms. Peters is not entitled to benefits because she was neither "Actively At Work" (i.e., she was on a leave of absence), nor "Totally Disabled." It denies H.Y. Louie acted as its agent.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In addition, Co-operators pleads that Ms. Peters is not entitled to benefits because of the late filing of the proof of loss. It is in relation to this issue that she asks for relief from forfeiture under s. 10 of the </w:t>
      </w:r>
      <w:r>
        <w:rPr>
          <w:rFonts w:ascii="arial" w:eastAsia="arial" w:hAnsi="arial" w:cs="arial"/>
          <w:b/>
          <w:i/>
          <w:color w:val="000000"/>
          <w:sz w:val="20"/>
          <w:lang w:val="en-US" w:eastAsia="en-US" w:bidi="ar-SA"/>
        </w:rPr>
        <w:t>Insurance Act</w:t>
      </w:r>
      <w:r>
        <w:rPr>
          <w:rFonts w:ascii="arial" w:eastAsia="arial" w:hAnsi="arial" w:cs="arial"/>
          <w:color w:val="000000"/>
          <w:sz w:val="20"/>
          <w:lang w:val="en-US" w:eastAsia="en-US" w:bidi="ar-SA"/>
        </w:rPr>
        <w:t xml:space="preserve">, </w:t>
      </w:r>
      <w:hyperlink r:id="rId370" w:history="1">
        <w:r>
          <w:rPr>
            <w:rFonts w:ascii="arial" w:eastAsia="arial" w:hAnsi="arial" w:cs="arial"/>
            <w:i/>
            <w:color w:val="0077CC"/>
            <w:sz w:val="20"/>
            <w:u w:val="single"/>
            <w:shd w:val="clear" w:color="auto" w:fill="FFFFFF"/>
            <w:lang w:val="en-US" w:eastAsia="en-US" w:bidi="ar-SA"/>
          </w:rPr>
          <w:t>R.S.B.C. 1996, c. 226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H.Y. Louie pleads that this Court has no jurisdiction to deal with this matter as it falls under the collective agreement between itself and Ms. Peters' union. It denies it owed her any of the alleged duties of care but, if it did, then it did breach them. It takes issue with a number of the factual assertions she advances.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Rules of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 following </w:t>
      </w:r>
      <w:r>
        <w:rPr>
          <w:rFonts w:ascii="arial" w:eastAsia="arial" w:hAnsi="arial" w:cs="arial"/>
          <w:b/>
          <w:i/>
          <w:color w:val="000000"/>
          <w:sz w:val="20"/>
          <w:lang w:val="en-US" w:eastAsia="en-US" w:bidi="ar-SA"/>
        </w:rPr>
        <w:t>Rules</w:t>
      </w:r>
      <w:r>
        <w:rPr>
          <w:rFonts w:ascii="arial" w:eastAsia="arial" w:hAnsi="arial" w:cs="arial"/>
          <w:color w:val="000000"/>
          <w:sz w:val="20"/>
          <w:lang w:val="en-US" w:eastAsia="en-US" w:bidi="ar-SA"/>
        </w:rPr>
        <w:t xml:space="preserve"> are relevant: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10(1) An application, other than an interlocutory application or an application in the nature of an appeal, may be made by originating application where</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sole or principal question at issue is alleged to be one of construction of an enactment, will, deed, oral or written contract, or other document.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39(25) A trial shall be heard by a court without a jury where it relates to:</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matter referred to in Rule 10(1).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39(27) Except in cases of defamation, false imprisonment and malicious prosecution, a party to whom a notice under subrule (26) has been delivered may apply</w:t>
      </w:r>
    </w:p>
    <w:p>
      <w:pPr>
        <w:numPr>
          <w:numId w:val="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 any time for an order that the trial be heard by the court without a jury on the ground that it relates to one of the matters referred to in subrule (25)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39(30) The court may order that different questions of fact arising in an action be tried by different modes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Insurance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Section 10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there has been imperfect compliance with a statutory condition as to the proof of loss to be given by the insured or other matter or thing required to be done or omitted by the insured with respect to the loss, and a consequent forfeiture or avoidance of the insurance in whole or in part, or if there has been a termination of the policy by a notice that was not received by the insured owing to the insured's absence from the address to which the notice was addressed, and the court deems it inequitable that the insurance should be forfeited or avoided on that ground or terminated, the court may, on terms it deems just, relieve against the forfeiture or avoidance or, if the application for relief is made within 90 days of the date of the mailing of the notice of termination, against the termination.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Policy Provisions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following provisions of the policy are relevant: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DEFINITIONS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"Actively At Work", or "Active Work" shall mean being present at the normal place of business of the Employer or at any such other place to which the Employer requires the Employee to travel, and being able to perform and actually performing all the usual and customary duties of the Employee's own occupation on a full pay status and on a regular and continuing basis.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"Total Disability" or "Totally Disabled" shall mean disability as a result of Injury or Sickness, to the extent that the Employee:</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under the regular care and following the prescribed treatment of a Physician; and</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not engaged in any occupation or performing any work of any sort for wage, remuneration or profit; and</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prevented from engaging in any occupation or performing any work of any sort for wage, remuneration or profit for which the Employee is able or may reasonably become able, by means of education, training or experience.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Employee will not, however, be considered to be Totally Disabled if prevented from engaging in any occupation for wage or profit by virtue of the unavailability of such occupation(s) or work in the place in which the Employee resides.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TERMINATION OF EMPLOYEE'S INSURANCE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insurance of any Employee under this Policy shall automatically cease on the occurrence of any of the following events:</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cessation of Active Work, except:</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any Employee ceases to be Actively Employed due to Total Disability, then the Employee shall be considered as still employed until recovered from the Total Disability, or until the Employee has attained the age of 65, whichever first occurs, or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881"/>
        <w:gridCol w:w="752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Contract:</w:t>
            </w:r>
          </w:p>
        </w:tc>
        <w:tc>
          <w:tcPr>
            <w:tcW w:w="737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Interpretation v. Application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Laughton, Q.C., on behalf of Co-operators, submits that, as the principal issues involving his client relate to the interpretation of the policy, this action must be tried by a judge sitting without a jury. Ms. Hayman, on the other hand, submits there is no reason to deprive Ms. Peters of her right to a jury, as what is involved here is the application of the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w:t>
      </w:r>
      <w:r>
        <w:rPr>
          <w:rFonts w:ascii="arial" w:eastAsia="arial" w:hAnsi="arial" w:cs="arial"/>
          <w:b/>
          <w:i/>
          <w:color w:val="000000"/>
          <w:sz w:val="20"/>
          <w:lang w:val="en-US" w:eastAsia="en-US" w:bidi="ar-SA"/>
        </w:rPr>
        <w:t>Edwards v. Mutual Life Assurance Company of Canada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(1982), 41 B.C.L.R. 269</w:t>
      </w:r>
      <w:r>
        <w:rPr>
          <w:rFonts w:ascii="arial" w:eastAsia="arial" w:hAnsi="arial" w:cs="arial"/>
          <w:color w:val="000000"/>
          <w:sz w:val="20"/>
          <w:lang w:val="en-US" w:eastAsia="en-US" w:bidi="ar-SA"/>
        </w:rPr>
        <w:t xml:space="preserve"> (C.A.), is cited as authority for the proposition that the determination of whether a plaintiff is "disabled" as this term is defined in a policy is not a matter a jury can determine. In this case the Court upheld the striking of a jury notice on the basis that what was in issue was the construction of the policy. It has both been followed and distinguished: see </w:t>
      </w:r>
      <w:r>
        <w:rPr>
          <w:rFonts w:ascii="arial" w:eastAsia="arial" w:hAnsi="arial" w:cs="arial"/>
          <w:b/>
          <w:i/>
          <w:color w:val="000000"/>
          <w:sz w:val="20"/>
          <w:lang w:val="en-US" w:eastAsia="en-US" w:bidi="ar-SA"/>
        </w:rPr>
        <w:t>Sanders v. Clarica Life Insurance Company</w:t>
      </w:r>
      <w:r>
        <w:rPr>
          <w:rFonts w:ascii="arial" w:eastAsia="arial" w:hAnsi="arial" w:cs="arial"/>
          <w:color w:val="000000"/>
          <w:sz w:val="20"/>
          <w:lang w:val="en-US" w:eastAsia="en-US" w:bidi="ar-SA"/>
        </w:rPr>
        <w:t xml:space="preserve"> (2003), 30 C.P.C. (5th) 364, </w:t>
      </w:r>
      <w:hyperlink r:id="rId371" w:history="1">
        <w:r>
          <w:rPr>
            <w:rFonts w:ascii="arial" w:eastAsia="arial" w:hAnsi="arial" w:cs="arial"/>
            <w:i/>
            <w:color w:val="0077CC"/>
            <w:sz w:val="20"/>
            <w:u w:val="single"/>
            <w:shd w:val="clear" w:color="auto" w:fill="FFFFFF"/>
            <w:lang w:val="en-US" w:eastAsia="en-US" w:bidi="ar-SA"/>
          </w:rPr>
          <w:t>2003 BCSC 403</w:t>
        </w:r>
      </w:hyperlink>
      <w:r>
        <w:rPr>
          <w:rFonts w:ascii="arial" w:eastAsia="arial" w:hAnsi="arial" w:cs="arial"/>
          <w:color w:val="000000"/>
          <w:sz w:val="20"/>
          <w:lang w:val="en-US" w:eastAsia="en-US" w:bidi="ar-SA"/>
        </w:rPr>
        <w:t xml:space="preserve"> at paras. 11-16 (per Hutchison 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In my view </w:t>
      </w:r>
      <w:r>
        <w:rPr>
          <w:rFonts w:ascii="arial" w:eastAsia="arial" w:hAnsi="arial" w:cs="arial"/>
          <w:b/>
          <w:i/>
          <w:color w:val="000000"/>
          <w:sz w:val="20"/>
          <w:lang w:val="en-US" w:eastAsia="en-US" w:bidi="ar-SA"/>
        </w:rPr>
        <w:t>Edwards</w:t>
      </w:r>
      <w:r>
        <w:rPr>
          <w:rFonts w:ascii="arial" w:eastAsia="arial" w:hAnsi="arial" w:cs="arial"/>
          <w:color w:val="000000"/>
          <w:sz w:val="20"/>
          <w:lang w:val="en-US" w:eastAsia="en-US" w:bidi="ar-SA"/>
        </w:rPr>
        <w:t xml:space="preserve"> is distinguishable, and does not preclude a jury trial whenever there is an issue as to whether a plaintiff was "disabled." This case was decided based on the parties having accepted that the principal issue was whether the plaintiff "was disabled within the meaning of the disability clause [in the policy]." The Court was not asked to consider whether a distinction exists between the application of such a clause, and its interpretation: see p. 271 (per Nemetz C.J.B.C.).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 was referred to numerous decisions dealing with Rules 10(1)(b), and 39(25)(j). Suffice it to say that there is a divergence of opinion as to how they should be read together, specifically with respect to whether there is a need to determine in a given case whether the construction of a contract, enactment, etc. is the "sole or principal question at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The view which most closely accords with mine is found in </w:t>
      </w:r>
      <w:r>
        <w:rPr>
          <w:rFonts w:ascii="arial" w:eastAsia="arial" w:hAnsi="arial" w:cs="arial"/>
          <w:b/>
          <w:i/>
          <w:color w:val="000000"/>
          <w:sz w:val="20"/>
          <w:lang w:val="en-US" w:eastAsia="en-US" w:bidi="ar-SA"/>
        </w:rPr>
        <w:t>Nelson Marketing International Inc. v. Royal &amp; Sun Alliance Insurance Co. of Canada</w:t>
      </w:r>
      <w:r>
        <w:rPr>
          <w:rFonts w:ascii="arial" w:eastAsia="arial" w:hAnsi="arial" w:cs="arial"/>
          <w:color w:val="000000"/>
          <w:sz w:val="20"/>
          <w:lang w:val="en-US" w:eastAsia="en-US" w:bidi="ar-SA"/>
        </w:rPr>
        <w:t xml:space="preserve"> (2003), 31 C.P.C. (5th) 105, </w:t>
      </w:r>
      <w:hyperlink r:id="rId372" w:history="1">
        <w:r>
          <w:rPr>
            <w:rFonts w:ascii="arial" w:eastAsia="arial" w:hAnsi="arial" w:cs="arial"/>
            <w:i/>
            <w:color w:val="0077CC"/>
            <w:sz w:val="20"/>
            <w:u w:val="single"/>
            <w:shd w:val="clear" w:color="auto" w:fill="FFFFFF"/>
            <w:lang w:val="en-US" w:eastAsia="en-US" w:bidi="ar-SA"/>
          </w:rPr>
          <w:t>2003 BCSC 439</w:t>
        </w:r>
      </w:hyperlink>
      <w:r>
        <w:rPr>
          <w:rFonts w:ascii="arial" w:eastAsia="arial" w:hAnsi="arial" w:cs="arial"/>
          <w:color w:val="000000"/>
          <w:sz w:val="20"/>
          <w:lang w:val="en-US" w:eastAsia="en-US" w:bidi="ar-SA"/>
        </w:rPr>
        <w:t>. After discussing a number of the authorities, McEwan J.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17 It may be that some of the controversy generated in these cases is attributable to the manner in which the Rules are drafted. Rule 39(25) provides that "a trial shall be heard by the court without a jury where it </w:t>
      </w:r>
      <w:r>
        <w:rPr>
          <w:rFonts w:ascii="arial" w:eastAsia="arial" w:hAnsi="arial" w:cs="arial"/>
          <w:color w:val="000000"/>
          <w:sz w:val="20"/>
          <w:u w:val="single"/>
          <w:lang w:val="en-US" w:eastAsia="en-US" w:bidi="ar-SA"/>
        </w:rPr>
        <w:t>relates to</w:t>
      </w:r>
      <w:r>
        <w:rPr>
          <w:rFonts w:ascii="arial" w:eastAsia="arial" w:hAnsi="arial" w:cs="arial"/>
          <w:color w:val="000000"/>
          <w:sz w:val="20"/>
          <w:lang w:val="en-US" w:eastAsia="en-US" w:bidi="ar-SA"/>
        </w:rPr>
        <w:t xml:space="preserve"> (j) a matter </w:t>
      </w:r>
      <w:r>
        <w:rPr>
          <w:rFonts w:ascii="arial" w:eastAsia="arial" w:hAnsi="arial" w:cs="arial"/>
          <w:color w:val="000000"/>
          <w:sz w:val="20"/>
          <w:u w:val="single"/>
          <w:lang w:val="en-US" w:eastAsia="en-US" w:bidi="ar-SA"/>
        </w:rPr>
        <w:t>referred to</w:t>
      </w:r>
      <w:r>
        <w:rPr>
          <w:rFonts w:ascii="arial" w:eastAsia="arial" w:hAnsi="arial" w:cs="arial"/>
          <w:color w:val="000000"/>
          <w:sz w:val="20"/>
          <w:lang w:val="en-US" w:eastAsia="en-US" w:bidi="ar-SA"/>
        </w:rPr>
        <w:t xml:space="preserve"> in Rule 10(1) ...". The "matters" referred to in Rule 10(1)(b) are "construction of an enactment, will, deed and or written contract or other document". Of course, if, in fact, "the sole or principal question at issue" is one of those matters, the point of Rule 10, taken alone, is that there need not be a trial at all. It seems to me that the importation of this provision into Rule 39(25) as a means of describing certain matters, must be read in the context of that rule. There will obviously be issues of fact if the premise is that there is going to be a trial.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18 I think that to seize upon the phrase "the sole or principal question at issue" as if one must then weigh the issues of fact against the "questions at issue" referred to in Rule 10(1)(b) to determine which should be declared "principal" is to adopt a somewhat flawed analysis. In </w:t>
      </w:r>
      <w:r>
        <w:rPr>
          <w:rFonts w:ascii="arial" w:eastAsia="arial" w:hAnsi="arial" w:cs="arial"/>
          <w:i/>
          <w:color w:val="000000"/>
          <w:sz w:val="20"/>
          <w:lang w:val="en-US" w:eastAsia="en-US" w:bidi="ar-SA"/>
        </w:rPr>
        <w:t>Bell</w:t>
      </w:r>
      <w:r>
        <w:rPr>
          <w:rFonts w:ascii="arial" w:eastAsia="arial" w:hAnsi="arial" w:cs="arial"/>
          <w:color w:val="000000"/>
          <w:sz w:val="20"/>
          <w:lang w:val="en-US" w:eastAsia="en-US" w:bidi="ar-SA"/>
        </w:rPr>
        <w:t xml:space="preserve">, </w:t>
      </w:r>
      <w:hyperlink r:id="rId373" w:history="1">
        <w:r>
          <w:rPr>
            <w:rFonts w:ascii="arial" w:eastAsia="arial" w:hAnsi="arial" w:cs="arial"/>
            <w:i/>
            <w:color w:val="0077CC"/>
            <w:sz w:val="20"/>
            <w:u w:val="single"/>
            <w:shd w:val="clear" w:color="auto" w:fill="FFFFFF"/>
            <w:lang w:val="en-US" w:eastAsia="en-US" w:bidi="ar-SA"/>
          </w:rPr>
          <w:t>[1997] B.C.J. No. 2026</w:t>
        </w:r>
      </w:hyperlink>
      <w:r>
        <w:rPr>
          <w:rFonts w:ascii="arial" w:eastAsia="arial" w:hAnsi="arial" w:cs="arial"/>
          <w:color w:val="000000"/>
          <w:sz w:val="20"/>
          <w:lang w:val="en-US" w:eastAsia="en-US" w:bidi="ar-SA"/>
        </w:rPr>
        <w:t>, Master McCallum asked himself whether the resolution of the causation issue (ie, the issues of fact) would "necessarily resolve the litigation". I think that approximates the proper test, which really must be whether, once the facts are decided, there remain "questions at issue" as to the "construction of an enactment, will, deed, oral or written contract, or other document".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 These cases demonstrate that if the findings of fact substantially dispose of the issues to be tried then Rule 39(25) should not be applied. But if, after the facts have been found, a genuine question remains as to the significance of those facts within a Rule(10)(b) issue, it will be the "principle question in issue" within the meaning of the Rule, regardless of the relative length or complexity of the fact finding exercise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7946"/>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778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in original]</w:t>
            </w:r>
          </w:p>
        </w:tc>
        <w:tc>
          <w:tcPr>
            <w:tcW w:w="245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 agree that the "matters" referred to in Rule 10(1)(b) are "construction of an enactment, will, deed and or written contract or other document." If the litigation involved such a matter, then Rule 39(25)(j) operates to preclude a jury trial. Whether such a matter is the "sole or principal question at issue" is of no moment.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Determining the meaning of the words used in a statute, contract, etc. is a question of law for the trial judge. However, if having regard to the pleadings no issue as to interpretation is raised, then leaving aside other considerations, there is no reason to abrogate a party's right to a 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I am in agreement with those decisions recognizing that interpreting a contract is not the same as applying it. Apposite is </w:t>
      </w:r>
      <w:r>
        <w:rPr>
          <w:rFonts w:ascii="arial" w:eastAsia="arial" w:hAnsi="arial" w:cs="arial"/>
          <w:b/>
          <w:i/>
          <w:color w:val="000000"/>
          <w:sz w:val="20"/>
          <w:lang w:val="en-US" w:eastAsia="en-US" w:bidi="ar-SA"/>
        </w:rPr>
        <w:t>Manley v. Chilliwack General Hospital Society</w:t>
      </w:r>
      <w:r>
        <w:rPr>
          <w:rFonts w:ascii="arial" w:eastAsia="arial" w:hAnsi="arial" w:cs="arial"/>
          <w:color w:val="000000"/>
          <w:sz w:val="20"/>
          <w:lang w:val="en-US" w:eastAsia="en-US" w:bidi="ar-SA"/>
        </w:rPr>
        <w:t xml:space="preserve"> (2000), 43 C.P.C. (4th) 332, </w:t>
      </w:r>
      <w:hyperlink r:id="rId374" w:history="1">
        <w:r>
          <w:rPr>
            <w:rFonts w:ascii="arial" w:eastAsia="arial" w:hAnsi="arial" w:cs="arial"/>
            <w:i/>
            <w:color w:val="0077CC"/>
            <w:sz w:val="20"/>
            <w:u w:val="single"/>
            <w:shd w:val="clear" w:color="auto" w:fill="FFFFFF"/>
            <w:lang w:val="en-US" w:eastAsia="en-US" w:bidi="ar-SA"/>
          </w:rPr>
          <w:t>2000 BCSC 649</w:t>
        </w:r>
      </w:hyperlink>
      <w:r>
        <w:rPr>
          <w:rFonts w:ascii="arial" w:eastAsia="arial" w:hAnsi="arial" w:cs="arial"/>
          <w:color w:val="000000"/>
          <w:sz w:val="20"/>
          <w:lang w:val="en-US" w:eastAsia="en-US" w:bidi="ar-SA"/>
        </w:rPr>
        <w:t xml:space="preserve">. Manley, who was kicked by a horse, was treated in hospital, and released the same day. The following day she was re-admitted, and surgery was later performed. She sued both the hospital and the physician who initially treated her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in contract. The latter claim was based on an allegation that in consideration for the plaintiff's payment of Medical Service Plan premiums, the defendants had contracted to provide her with competent and prudent medical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physician moved to strike the plaintiff's jury notice on the basis that the case involved the interpretation of a contract. In the course of dismissing the application Bauman J.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32 The distinction drawn by Master Horn between construction of a contract, and its application or enforcement, is appealing and it is one that Clancy J. drew on a Rule 39(27)(j) application in </w:t>
      </w:r>
      <w:r>
        <w:rPr>
          <w:rFonts w:ascii="arial" w:eastAsia="arial" w:hAnsi="arial" w:cs="arial"/>
          <w:i/>
          <w:color w:val="000000"/>
          <w:sz w:val="20"/>
          <w:lang w:val="en-US" w:eastAsia="en-US" w:bidi="ar-SA"/>
        </w:rPr>
        <w:t>Genesis Industries Corp. v. Century Oils (Canada) Inc.</w:t>
      </w:r>
      <w:r>
        <w:rPr>
          <w:rFonts w:ascii="arial" w:eastAsia="arial" w:hAnsi="arial" w:cs="arial"/>
          <w:color w:val="000000"/>
          <w:sz w:val="20"/>
          <w:lang w:val="en-US" w:eastAsia="en-US" w:bidi="ar-SA"/>
        </w:rPr>
        <w:t xml:space="preserve">, </w:t>
      </w:r>
      <w:hyperlink r:id="rId375" w:history="1">
        <w:r>
          <w:rPr>
            <w:rFonts w:ascii="arial" w:eastAsia="arial" w:hAnsi="arial" w:cs="arial"/>
            <w:i/>
            <w:color w:val="0077CC"/>
            <w:sz w:val="20"/>
            <w:u w:val="single"/>
            <w:shd w:val="clear" w:color="auto" w:fill="FFFFFF"/>
            <w:lang w:val="en-US" w:eastAsia="en-US" w:bidi="ar-SA"/>
          </w:rPr>
          <w:t>[1993] B.C.J. No. 1030</w:t>
        </w:r>
      </w:hyperlink>
      <w:r>
        <w:rPr>
          <w:rFonts w:ascii="arial" w:eastAsia="arial" w:hAnsi="arial" w:cs="arial"/>
          <w:color w:val="000000"/>
          <w:sz w:val="20"/>
          <w:lang w:val="en-US" w:eastAsia="en-US" w:bidi="ar-SA"/>
        </w:rPr>
        <w:t xml:space="preserve"> (at para. 13):</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13 In my view, the issue "central to the dispute" is not the construction of the contract. While a consideration of alternatives will be required, there appears to be little dispute between the parties as to the construction of the agreement. The central issues are whether or not there has been a breach and repudiation and, if so, which of the termination provisions, if any, apply. I find on this issue that I am not required by the mandatory provisions contained within the Rules to order that the trial be heard by the Court without a 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This distinction is also recognized in </w:t>
      </w:r>
      <w:r>
        <w:rPr>
          <w:rFonts w:ascii="arial" w:eastAsia="arial" w:hAnsi="arial" w:cs="arial"/>
          <w:b/>
          <w:i/>
          <w:color w:val="000000"/>
          <w:sz w:val="20"/>
          <w:lang w:val="en-US" w:eastAsia="en-US" w:bidi="ar-SA"/>
        </w:rPr>
        <w:t>Penner v. Great-West Life Assurance Co.</w:t>
      </w:r>
      <w:r>
        <w:rPr>
          <w:rFonts w:ascii="arial" w:eastAsia="arial" w:hAnsi="arial" w:cs="arial"/>
          <w:color w:val="000000"/>
          <w:sz w:val="20"/>
          <w:lang w:val="en-US" w:eastAsia="en-US" w:bidi="ar-SA"/>
        </w:rPr>
        <w:t xml:space="preserve"> </w:t>
      </w:r>
      <w:hyperlink r:id="rId376" w:history="1">
        <w:r>
          <w:rPr>
            <w:rFonts w:ascii="arial" w:eastAsia="arial" w:hAnsi="arial" w:cs="arial"/>
            <w:i/>
            <w:color w:val="0077CC"/>
            <w:sz w:val="20"/>
            <w:u w:val="single"/>
            <w:shd w:val="clear" w:color="auto" w:fill="FFFFFF"/>
            <w:lang w:val="en-US" w:eastAsia="en-US" w:bidi="ar-SA"/>
          </w:rPr>
          <w:t>(2002), 41 C.C.L.I. (3d) 254</w:t>
        </w:r>
      </w:hyperlink>
      <w:r>
        <w:rPr>
          <w:rFonts w:ascii="arial" w:eastAsia="arial" w:hAnsi="arial" w:cs="arial"/>
          <w:color w:val="000000"/>
          <w:sz w:val="20"/>
          <w:lang w:val="en-US" w:eastAsia="en-US" w:bidi="ar-SA"/>
        </w:rPr>
        <w:t xml:space="preserve">, </w:t>
      </w:r>
      <w:hyperlink r:id="rId376" w:history="1">
        <w:r>
          <w:rPr>
            <w:rFonts w:ascii="arial" w:eastAsia="arial" w:hAnsi="arial" w:cs="arial"/>
            <w:i/>
            <w:color w:val="0077CC"/>
            <w:sz w:val="20"/>
            <w:u w:val="single"/>
            <w:shd w:val="clear" w:color="auto" w:fill="FFFFFF"/>
            <w:lang w:val="en-US" w:eastAsia="en-US" w:bidi="ar-SA"/>
          </w:rPr>
          <w:t>2002 BCSC 1131</w:t>
        </w:r>
      </w:hyperlink>
      <w:r>
        <w:rPr>
          <w:rFonts w:ascii="arial" w:eastAsia="arial" w:hAnsi="arial" w:cs="arial"/>
          <w:color w:val="000000"/>
          <w:sz w:val="20"/>
          <w:lang w:val="en-US" w:eastAsia="en-US" w:bidi="ar-SA"/>
        </w:rPr>
        <w:t>. There, as in the case at bar, the plaintiff claimed under a disability insurance policy. In holding that the matter could be tried by a jury, Koenigsberg J.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16 The Defendant says, in particular, the interpretation of the provisions set out above is difficult and clearly a matter of construction. I accept that this action will necessitate the interpretation of some, but not all of these provisions. In relation to most of the provisions, the issue will likely turn on whether the provision applies, not what, in the context of the contract, does the provision mean. This distinction was clearly drawn by Master Horn in </w:t>
      </w:r>
      <w:r>
        <w:rPr>
          <w:rFonts w:ascii="arial" w:eastAsia="arial" w:hAnsi="arial" w:cs="arial"/>
          <w:i/>
          <w:color w:val="000000"/>
          <w:sz w:val="20"/>
          <w:lang w:val="en-US" w:eastAsia="en-US" w:bidi="ar-SA"/>
        </w:rPr>
        <w:t>McQuade v. British Columbia Teachers' Federation</w:t>
      </w:r>
      <w:r>
        <w:rPr>
          <w:rFonts w:ascii="arial" w:eastAsia="arial" w:hAnsi="arial" w:cs="arial"/>
          <w:color w:val="000000"/>
          <w:sz w:val="20"/>
          <w:lang w:val="en-US" w:eastAsia="en-US" w:bidi="ar-SA"/>
        </w:rPr>
        <w:t xml:space="preserve">, </w:t>
      </w:r>
      <w:hyperlink r:id="rId377" w:history="1">
        <w:r>
          <w:rPr>
            <w:rFonts w:ascii="arial" w:eastAsia="arial" w:hAnsi="arial" w:cs="arial"/>
            <w:i/>
            <w:color w:val="0077CC"/>
            <w:sz w:val="20"/>
            <w:u w:val="single"/>
            <w:shd w:val="clear" w:color="auto" w:fill="FFFFFF"/>
            <w:lang w:val="en-US" w:eastAsia="en-US" w:bidi="ar-SA"/>
          </w:rPr>
          <w:t>[1995] B.C.J. No. 1578</w:t>
        </w:r>
      </w:hyperlink>
      <w:r>
        <w:rPr>
          <w:rFonts w:ascii="arial" w:eastAsia="arial" w:hAnsi="arial" w:cs="arial"/>
          <w:color w:val="000000"/>
          <w:sz w:val="20"/>
          <w:lang w:val="en-US" w:eastAsia="en-US" w:bidi="ar-SA"/>
        </w:rPr>
        <w:t xml:space="preserve"> (S.C.). That decision was overturned by Justice Lander. However, I prefer Master Horn's analysis and adopt the reasoning in </w:t>
      </w:r>
      <w:r>
        <w:rPr>
          <w:rFonts w:ascii="arial" w:eastAsia="arial" w:hAnsi="arial" w:cs="arial"/>
          <w:i/>
          <w:color w:val="000000"/>
          <w:sz w:val="20"/>
          <w:lang w:val="en-US" w:eastAsia="en-US" w:bidi="ar-SA"/>
        </w:rPr>
        <w:t>Manley v. Chilliwack General Hospital Society</w:t>
      </w:r>
      <w:r>
        <w:rPr>
          <w:rFonts w:ascii="arial" w:eastAsia="arial" w:hAnsi="arial" w:cs="arial"/>
          <w:color w:val="000000"/>
          <w:sz w:val="20"/>
          <w:lang w:val="en-US" w:eastAsia="en-US" w:bidi="ar-SA"/>
        </w:rPr>
        <w:t xml:space="preserve">, </w:t>
      </w:r>
      <w:hyperlink r:id="rId374" w:history="1">
        <w:r>
          <w:rPr>
            <w:rFonts w:ascii="arial" w:eastAsia="arial" w:hAnsi="arial" w:cs="arial"/>
            <w:i/>
            <w:color w:val="0077CC"/>
            <w:sz w:val="20"/>
            <w:u w:val="single"/>
            <w:shd w:val="clear" w:color="auto" w:fill="FFFFFF"/>
            <w:lang w:val="en-US" w:eastAsia="en-US" w:bidi="ar-SA"/>
          </w:rPr>
          <w:t>[2000] B.C.J. No. 779</w:t>
        </w:r>
      </w:hyperlink>
      <w:r>
        <w:rPr>
          <w:rFonts w:ascii="arial" w:eastAsia="arial" w:hAnsi="arial" w:cs="arial"/>
          <w:color w:val="000000"/>
          <w:sz w:val="20"/>
          <w:lang w:val="en-US" w:eastAsia="en-US" w:bidi="ar-SA"/>
        </w:rPr>
        <w:t xml:space="preserve"> (S.C.), a recent decision by Mr. Justice Bauman. I agree that such a distinction exists and should be considered when assessing the appropriateness of a case in contract before a jury. However, the principal issues in this case involve matters of fact, including, principally, whether the plaintiff in light of the medical evidence was "totally disabled" and did the insurer act in good faith in denying coverage in the circumstances. Thus, in my view, it cannot be said that </w:t>
      </w:r>
      <w:r>
        <w:rPr>
          <w:rFonts w:ascii="arial" w:eastAsia="arial" w:hAnsi="arial" w:cs="arial"/>
          <w:color w:val="000000"/>
          <w:sz w:val="20"/>
          <w:u w:val="single"/>
          <w:lang w:val="en-US" w:eastAsia="en-US" w:bidi="ar-SA"/>
        </w:rPr>
        <w:t>the</w:t>
      </w:r>
      <w:r>
        <w:rPr>
          <w:rFonts w:ascii="arial" w:eastAsia="arial" w:hAnsi="arial" w:cs="arial"/>
          <w:color w:val="000000"/>
          <w:sz w:val="20"/>
          <w:lang w:val="en-US" w:eastAsia="en-US" w:bidi="ar-SA"/>
        </w:rPr>
        <w:t xml:space="preserve"> principal question at issue concerns construction of an enactment or a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7946"/>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778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in original]</w:t>
            </w:r>
          </w:p>
        </w:tc>
        <w:tc>
          <w:tcPr>
            <w:tcW w:w="245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Where I differ from Mr. Justice Bauman and Madam Justice Koenigsberg is that I am of the view that if a case involves an issue of interpretation, then a jury trial is not available. It does not matter how central that question is to the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Here I find that the issues concern the application of the policy, not its interpretation. In this regard I note that it has not been suggested that the definitions of "Actively At Work", and "Total Disability", are ambiguous.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task of the jury will be to determine the facts having regard to the definitions. For example, with respect to "Total Disability" the jury will have to decide whether Ms. Peters is (a) under the care of a doctor, (b) not engaged in any work for which she is being paid, and (c) prevented from doing work she is otherwise capable of performing. In short, whether she suffers from a disability which precludes her from being gainfully employed. A jury is similarly capable of deciding as a fact, whether, and when, Ms. Peters was "Actively At Work" as this term is defined in the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Relief From Forfeiture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Co-operators' position is that relief from forfeiture is an equitable remedy which can only be decided by a judge. Ms. Peters agrees. She submits, however, that this issue can be held in abeyance until all other questions have been decided by a jury. Her proposal, as set out in her supplemental written submission, "is to proceed with a jury trial on all issues (liability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Co-operators and H.Y. Louie Co. Limited, whether the plaintiff was and remains disabled from working, damages for breach of contract, damages for mental distress and punitive damages) </w:t>
      </w:r>
      <w:r>
        <w:rPr>
          <w:rFonts w:ascii="arial" w:eastAsia="arial" w:hAnsi="arial" w:cs="arial"/>
          <w:i/>
          <w:color w:val="000000"/>
          <w:sz w:val="20"/>
          <w:lang w:val="en-US" w:eastAsia="en-US" w:bidi="ar-SA"/>
        </w:rPr>
        <w:t>except</w:t>
      </w:r>
      <w:r>
        <w:rPr>
          <w:rFonts w:ascii="arial" w:eastAsia="arial" w:hAnsi="arial" w:cs="arial"/>
          <w:color w:val="000000"/>
          <w:sz w:val="20"/>
          <w:lang w:val="en-US" w:eastAsia="en-US" w:bidi="ar-SA"/>
        </w:rPr>
        <w:t xml:space="preserve"> relief against forfeiture, which should be left entirely for the trial judge to determine." [Emphasis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Ms. Peters says that proceeding in this manner is authorized by Rule 39(30), which permits different questions of fact to be decided by different modes of trial. As an example, she cites </w:t>
      </w:r>
      <w:r>
        <w:rPr>
          <w:rFonts w:ascii="arial" w:eastAsia="arial" w:hAnsi="arial" w:cs="arial"/>
          <w:b/>
          <w:i/>
          <w:color w:val="000000"/>
          <w:sz w:val="20"/>
          <w:lang w:val="en-US" w:eastAsia="en-US" w:bidi="ar-SA"/>
        </w:rPr>
        <w:t>Lord v. Royal Columbian Hospital &amp; Smyth</w:t>
      </w:r>
      <w:r>
        <w:rPr>
          <w:rFonts w:ascii="arial" w:eastAsia="arial" w:hAnsi="arial" w:cs="arial"/>
          <w:color w:val="000000"/>
          <w:sz w:val="20"/>
          <w:lang w:val="en-US" w:eastAsia="en-US" w:bidi="ar-SA"/>
        </w:rPr>
        <w:t xml:space="preserve"> </w:t>
      </w:r>
      <w:hyperlink r:id="rId378" w:history="1">
        <w:r>
          <w:rPr>
            <w:rFonts w:ascii="arial" w:eastAsia="arial" w:hAnsi="arial" w:cs="arial"/>
            <w:i/>
            <w:color w:val="0077CC"/>
            <w:sz w:val="20"/>
            <w:u w:val="single"/>
            <w:shd w:val="clear" w:color="auto" w:fill="FFFFFF"/>
            <w:lang w:val="en-US" w:eastAsia="en-US" w:bidi="ar-SA"/>
          </w:rPr>
          <w:t>(1980), 27 B.C.L.R. 123</w:t>
        </w:r>
      </w:hyperlink>
      <w:r>
        <w:rPr>
          <w:rFonts w:ascii="arial" w:eastAsia="arial" w:hAnsi="arial" w:cs="arial"/>
          <w:color w:val="000000"/>
          <w:sz w:val="20"/>
          <w:lang w:val="en-US" w:eastAsia="en-US" w:bidi="ar-SA"/>
        </w:rPr>
        <w:t xml:space="preserve"> (C.A.), wherein Hutcheon J.A. held that liability could be decided by a jury with damages, if any, to be determined by a judge alone: pp. 127, 128.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The difficulty with this argument is that whether to grant relief from forfeiture is not a "question of fact". Although informed by the facts the decision ultimately is one of judicial discretion: </w:t>
      </w:r>
      <w:r>
        <w:rPr>
          <w:rFonts w:ascii="arial" w:eastAsia="arial" w:hAnsi="arial" w:cs="arial"/>
          <w:b/>
          <w:i/>
          <w:color w:val="000000"/>
          <w:sz w:val="20"/>
          <w:lang w:val="en-US" w:eastAsia="en-US" w:bidi="ar-SA"/>
        </w:rPr>
        <w:t>Saskatchewan River Bungalows Ltd. v. Maritime Life Assurance Co.</w:t>
      </w:r>
      <w:r>
        <w:rPr>
          <w:rFonts w:ascii="arial" w:eastAsia="arial" w:hAnsi="arial" w:cs="arial"/>
          <w:color w:val="000000"/>
          <w:sz w:val="20"/>
          <w:lang w:val="en-US" w:eastAsia="en-US" w:bidi="ar-SA"/>
        </w:rPr>
        <w:t xml:space="preserve">, </w:t>
      </w:r>
      <w:hyperlink r:id="rId379" w:history="1">
        <w:r>
          <w:rPr>
            <w:rFonts w:ascii="arial" w:eastAsia="arial" w:hAnsi="arial" w:cs="arial"/>
            <w:i/>
            <w:color w:val="0077CC"/>
            <w:sz w:val="20"/>
            <w:u w:val="single"/>
            <w:shd w:val="clear" w:color="auto" w:fill="FFFFFF"/>
            <w:lang w:val="en-US" w:eastAsia="en-US" w:bidi="ar-SA"/>
          </w:rPr>
          <w:t>[1994] 2 S.C.R. 490</w:t>
        </w:r>
      </w:hyperlink>
      <w:r>
        <w:rPr>
          <w:rFonts w:ascii="arial" w:eastAsia="arial" w:hAnsi="arial" w:cs="arial"/>
          <w:color w:val="000000"/>
          <w:sz w:val="20"/>
          <w:lang w:val="en-US" w:eastAsia="en-US" w:bidi="ar-SA"/>
        </w:rPr>
        <w:t xml:space="preserve"> at 504 (per Major J.). Rule 39(30) is, therefore, inapplicable.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As the basis Ms. Peters advances for bifurcating this trial is not available all issues must be decided by a judge sitting without a 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It is ordered that this trial be heard by the Court without a 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FRANKEL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21" style="position:absolute;z-index:25187635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80"/>
          <w:headerReference w:type="default" r:id="rId381"/>
          <w:footerReference w:type="even" r:id="rId382"/>
          <w:footerReference w:type="default" r:id="rId383"/>
          <w:headerReference w:type="first" r:id="rId384"/>
          <w:footerReference w:type="first" r:id="rId38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86" w:history="1">
        <w:r>
          <w:rPr>
            <w:rFonts w:ascii="arial" w:eastAsia="arial" w:hAnsi="arial" w:cs="arial"/>
            <w:b/>
            <w:bCs/>
            <w:i/>
            <w:color w:val="0077CC"/>
            <w:kern w:val="32"/>
            <w:sz w:val="28"/>
            <w:szCs w:val="32"/>
            <w:u w:val="single"/>
            <w:shd w:val="clear" w:color="auto" w:fill="FFFFFF"/>
            <w:lang w:val="en-US" w:eastAsia="en-US" w:bidi="ar-SA"/>
          </w:rPr>
          <w:t>Singh v. Nielsen, [2016] B.C.J. No. 2729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F.E. Verhoeven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22, 25,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28,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S164639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[2016] B.C.J. No. 2729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2016 BCSC 2420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Manoj Singh a.k.a. Mike Singh, Mohini Singh, Seattle Environmental Consulting Ltd., Shawn Singh, Plaintiffs, and Scott Nielsen, Chadwick Arthur Henry Born, Moses Kajoba,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22" style="position:absolute;z-index:2516787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31" w:name="Keywords_18"/>
      <w:bookmarkEnd w:id="131"/>
      <w:r>
        <w:rPr>
          <w:rFonts w:ascii="arial" w:eastAsia="arial" w:hAnsi="arial" w:cs="arial"/>
          <w:b/>
          <w:color w:val="000000"/>
          <w:sz w:val="20"/>
          <w:lang w:val="en-US" w:eastAsia="en-US" w:bidi="ar-SA"/>
        </w:rPr>
        <w:t>Civil litigation — Civil procedure — Parties — Vexatious litigants — Pleadings — Striking out pleadings or allegations — Grounds — Failure to disclose a cause of action or defence — False, frivolous, vexatious or abuse of process — Application by defendants Nielsen and Born to strike out plaintiffs' claim and for order prohibiting plaintiffs from instituting legal proceedings without leave allowed in part — Nielsen and Born were employed by Workers' Compensation Board, who had brought proceedings against plaintiffs and levied administrative penalties against them — Plain and obvious claims could not succeed — Claims were also abuse of process — Application for vexatious litigant relief adjourned until after court heard pending applications for dismissal of two remaining actions.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32" w:name="Case Summary_17"/>
            <w:bookmarkEnd w:id="13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defendants Nielsen and Born to strike out the plaintiffs' claim and for an order prohibiting the plaintiffs from instituting legal proceedings without leave of the court. The plaintiffs were in the business of asbestos abatement. Nielsen and Born were employees of the Workers' Compensation Board. In 2012, the Board, represented by Nielsen, brought proceedings against the plaintiffs seeking to restrain them from exposing people to asbestos and breaching provisions of the Workers Compensation Act. An interim injunction was granted on consent. The plaintiffs claimed professional misconduct,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malfeasance against Nielsen. They claimed damages against Born who had investigated their worksite, which resulted in the Board levying an administrative penalty against the plaintiffs. Since 2013, the plaintiffs, individually or in combination, had commenced 12 proceedings against the Board, its directors, officers and employees.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33" w:name="Holdings of Court_10"/>
            <w:bookmarkEnd w:id="133"/>
            <w:r>
              <w:rPr>
                <w:rFonts w:ascii="arial" w:eastAsia="arial" w:hAnsi="arial" w:cs="arial"/>
                <w:color w:val="000000"/>
                <w:sz w:val="20"/>
                <w:lang w:val="en-US" w:eastAsia="en-US" w:bidi="ar-SA"/>
              </w:rPr>
              <w:t>HELD: Application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It was plain and obvious the claims against Nielsen could not succeed. The factual allegations against him were patently without merit. The interim order as drafted was not inaccurate. The real causes of the losses the plaintiffs claimed of were the orders themselves, not the conduct of Nielson for the Board. The claims against Nielsen were not brought in good faith. They were also struck as an abuse of process. The claim against Born was an impermissible collateral attack on a decision of the Board and an abuse of process. The application for vexatious litigant relief was adjourned until after the court heard pending applications for dismissal of two remaining actions.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34" w:name="Legislation Cited_15"/>
      <w:bookmarkEnd w:id="13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23" style="position:absolute;z-index:2517299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Limitation Act, </w:t>
      </w:r>
      <w:hyperlink r:id="rId387" w:history="1">
        <w:r>
          <w:rPr>
            <w:rFonts w:ascii="arial" w:eastAsia="arial" w:hAnsi="arial" w:cs="arial"/>
            <w:i/>
            <w:color w:val="0077CC"/>
            <w:sz w:val="20"/>
            <w:u w:val="single"/>
            <w:shd w:val="clear" w:color="auto" w:fill="FFFFFF"/>
            <w:lang w:val="en-US" w:eastAsia="en-US" w:bidi="ar-SA"/>
          </w:rPr>
          <w:t>S.B.C. 2012, c. 13, s. 6</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Occupational Health and Safety Regulation, </w:t>
      </w:r>
      <w:hyperlink r:id="rId388" w:history="1">
        <w:r>
          <w:rPr>
            <w:rFonts w:ascii="arial" w:eastAsia="arial" w:hAnsi="arial" w:cs="arial"/>
            <w:i/>
            <w:color w:val="0077CC"/>
            <w:sz w:val="20"/>
            <w:u w:val="single"/>
            <w:shd w:val="clear" w:color="auto" w:fill="FFFFFF"/>
            <w:lang w:val="en-US" w:eastAsia="en-US" w:bidi="ar-SA"/>
          </w:rPr>
          <w:t>B.C. Reg. 296/97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Supreme Court Act, </w:t>
      </w:r>
      <w:hyperlink r:id="rId389" w:history="1">
        <w:r>
          <w:rPr>
            <w:rFonts w:ascii="arial" w:eastAsia="arial" w:hAnsi="arial" w:cs="arial"/>
            <w:i/>
            <w:color w:val="0077CC"/>
            <w:sz w:val="20"/>
            <w:u w:val="single"/>
            <w:shd w:val="clear" w:color="auto" w:fill="FFFFFF"/>
            <w:lang w:val="en-US" w:eastAsia="en-US" w:bidi="ar-SA"/>
          </w:rPr>
          <w:t>R.S.B.C. 1996, c. 443, s. 18</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Supreme Court Civil Rules, Rule 9-5(1), Rule 9-5(1)(a), Rule 9-5(1)(b), Rule 9-5(1)(d), Rule 9-5(2), Rule 16-1(16.1), Rule 16-1(17)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Workers Compensation Act, R.S.B.C. 1996, c. 492, s. 96(1), s. 113(4), s. 115(1)(b), s. 196</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35" w:name="Counsel_19"/>
      <w:bookmarkEnd w:id="135"/>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24" style="position:absolute;z-index:2517811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Plaintiffs Manoj Singh a.k.a. Mike Singh, Mohini Singh and Shawn Singh: S. Singh.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Appearing on behalf of Plaintiff Seattle Environmental Consulting Ltd.: G. Pyper.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 Scott Nielsen and Chadwick Arthur Henry Born: B. Parkin and N.J. Bower.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 Moses Kajoba: K. Murray.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36" w:name="Judgment_19"/>
      <w:bookmarkEnd w:id="136"/>
      <w:r>
        <w:pict>
          <v:line id="_x0000_s1125" style="position:absolute;z-index:25183129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121"/>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37" w:name="F.E. VERHOEVEN J."/>
            <w:bookmarkEnd w:id="137"/>
            <w:r>
              <w:rPr>
                <w:rFonts w:ascii="arial" w:eastAsia="arial" w:hAnsi="arial" w:cs="arial"/>
                <w:b/>
                <w:color w:val="000000"/>
                <w:sz w:val="30"/>
                <w:lang w:val="en-US" w:eastAsia="en-US" w:bidi="ar-SA"/>
              </w:rPr>
              <w:t>F.E. VERHOEVEN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defendants Scott Nielsen ("Nielsen") and Chadwick Born ("Born") apply to strike out and dismiss this action as against them. Nielsen and Born also apply for orders under s. 18 of the </w:t>
      </w:r>
      <w:r>
        <w:rPr>
          <w:rFonts w:ascii="arial" w:eastAsia="arial" w:hAnsi="arial" w:cs="arial"/>
          <w:i/>
          <w:color w:val="000000"/>
          <w:sz w:val="20"/>
          <w:lang w:val="en-US" w:eastAsia="en-US" w:bidi="ar-SA"/>
        </w:rPr>
        <w:t>Supreme Court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443</w:t>
      </w:r>
      <w:r>
        <w:rPr>
          <w:rFonts w:ascii="arial" w:eastAsia="arial" w:hAnsi="arial" w:cs="arial"/>
          <w:color w:val="000000"/>
          <w:sz w:val="20"/>
          <w:lang w:val="en-US" w:eastAsia="en-US" w:bidi="ar-SA"/>
        </w:rPr>
        <w:t>, prohibiting the plaintiffs Manoj Singh, also known as Mike Singh ("Mike Singh"), Shawn Singh, and Seattle Environmental Consulting Ltd. ("Seattle"), as well as ESS Environmental Ltd. ("ESS") and any companies controlled by Mike Singh or Shawn Singh from instituting legal proceedings without leave of the court, on the ground that they are vexatious litigants. They also apply for a number of ancillary orders, and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plaintiffs and ESS apply: (1) to add ESS as a plaintiff; (2) for a declaration that the order of Madam Justice Russell made September 14, 2012 in British Columbia Supreme Court proceeding number S-125392 "was valid and enforceable until October 13, 2013"; (3) for an order bifurcating the issues of liability and damages in this action, with the assessment of damages to be adjourned generally; and (4) under the summary trial rule, for various declarations amounting to determinations on the merits of fault and liability on the part of each defendant, and for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 summary of some of the undisputed material facts is as follows:</w:t>
      </w:r>
      <w:r>
        <w:rPr>
          <w:rFonts w:ascii="arial" w:eastAsia="arial" w:hAnsi="arial" w:cs="arial"/>
          <w:sz w:val="20"/>
          <w:lang w:val="en-US" w:eastAsia="en-US" w:bidi="ar-SA"/>
        </w:rPr>
        <w:cr/>
      </w:r>
    </w:p>
    <w:p>
      <w:pPr>
        <w:numPr>
          <w:numId w:val="1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Mike Singh is the principal of the plaintiff Seattle. As of June 21, 2016 he was the sole director of Seattle.</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Shawn Singh is the principal of ESS. He is the sole director of ESS.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Mohini Singh is the principal of Skylite Building Maintenance Ltd. ("SBM"). Mohini Singh is the sole director of SBM.</w:t>
      </w:r>
    </w:p>
    <w:p>
      <w:pPr>
        <w:numPr>
          <w:numId w:val="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Mohini Singh is the spouse of Mike Singh. Shawn Singh is the son of Mike Singh.</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Seattle and ESS are in the business of asbestos abatement, providing services such as hazardous material inspections and reports, environmental assessments, and asbestos removal. SBM was formerly in the business of asbestos abatement.</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all material times Nielsen and Born were employees of the Worker's Compensation Board of British Columbia (the "Board"). Nielsen was employed as a lawyer with the Board, and Born was employed as an Occupational Hygiene Officer.</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Board, which is also known as WorkSafe B.C., is a corporation established by and responsible for administering the </w:t>
      </w:r>
      <w:r>
        <w:rPr>
          <w:rFonts w:ascii="arial" w:eastAsia="arial" w:hAnsi="arial" w:cs="arial"/>
          <w:i/>
          <w:color w:val="000000"/>
          <w:sz w:val="20"/>
          <w:lang w:val="en-US" w:eastAsia="en-US" w:bidi="ar-SA"/>
        </w:rPr>
        <w:t>Workers Compensation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492</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and regulations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including the </w:t>
      </w:r>
      <w:r>
        <w:rPr>
          <w:rFonts w:ascii="arial" w:eastAsia="arial" w:hAnsi="arial" w:cs="arial"/>
          <w:i/>
          <w:color w:val="000000"/>
          <w:sz w:val="20"/>
          <w:lang w:val="en-US" w:eastAsia="en-US" w:bidi="ar-SA"/>
        </w:rPr>
        <w:t>Occupational Health and Safety Regulation</w:t>
      </w:r>
      <w:r>
        <w:rPr>
          <w:rFonts w:ascii="arial" w:eastAsia="arial" w:hAnsi="arial" w:cs="arial"/>
          <w:color w:val="000000"/>
          <w:sz w:val="20"/>
          <w:lang w:val="en-US" w:eastAsia="en-US" w:bidi="ar-SA"/>
        </w:rPr>
        <w:t xml:space="preserve">, </w:t>
      </w:r>
      <w:hyperlink r:id="rId388" w:history="1">
        <w:r>
          <w:rPr>
            <w:rFonts w:ascii="arial" w:eastAsia="arial" w:hAnsi="arial" w:cs="arial"/>
            <w:i/>
            <w:color w:val="0077CC"/>
            <w:sz w:val="20"/>
            <w:u w:val="single"/>
            <w:shd w:val="clear" w:color="auto" w:fill="FFFFFF"/>
            <w:lang w:val="en-US" w:eastAsia="en-US" w:bidi="ar-SA"/>
          </w:rPr>
          <w:t>B.C. Reg. 296/97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Regulation</w:t>
      </w:r>
      <w:r>
        <w:rPr>
          <w:rFonts w:ascii="arial" w:eastAsia="arial" w:hAnsi="arial" w:cs="arial"/>
          <w:color w:val="000000"/>
          <w:sz w:val="20"/>
          <w:lang w:val="en-US" w:eastAsia="en-US" w:bidi="ar-SA"/>
        </w:rPr>
        <w:t>].</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July 31, 2012 the Board brought proceedings by way of petition in the Supreme Court of British Columbia under proceeding number S-125392 seeking orders that Mike Singh, Shawn Singh, Mohini Singh, SBM, and Seattle be restrained from: (1) exposing persons to asbestos or putting persons at risk of exposure to asbestos; and (2) breaching the provisions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Regulation</w:t>
      </w:r>
      <w:r>
        <w:rPr>
          <w:rFonts w:ascii="arial" w:eastAsia="arial" w:hAnsi="arial" w:cs="arial"/>
          <w:color w:val="000000"/>
          <w:sz w:val="20"/>
          <w:lang w:val="en-US" w:eastAsia="en-US" w:bidi="ar-SA"/>
        </w:rPr>
        <w:t>.</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Nielsen acted on behalf of the Board in filing the petition.</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petition alleged that:</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SBM was the subject of 237 orders against it for breaches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Regulation</w:t>
      </w:r>
      <w:r>
        <w:rPr>
          <w:rFonts w:ascii="arial" w:eastAsia="arial" w:hAnsi="arial" w:cs="arial"/>
          <w:color w:val="000000"/>
          <w:sz w:val="20"/>
          <w:lang w:val="en-US" w:eastAsia="en-US" w:bidi="ar-SA"/>
        </w:rPr>
        <w:t xml:space="preserve">, and had been penalized on 19 occasions by the Board for breaches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Regulation</w:t>
      </w:r>
      <w:r>
        <w:rPr>
          <w:rFonts w:ascii="arial" w:eastAsia="arial" w:hAnsi="arial" w:cs="arial"/>
          <w:color w:val="000000"/>
          <w:sz w:val="20"/>
          <w:lang w:val="en-US" w:eastAsia="en-US" w:bidi="ar-SA"/>
        </w:rPr>
        <w:t xml:space="preserve"> in relation to exposure of persons to asbestos fibers or putting persons at risk of exposure to asbestos fibers;</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Seattle was a successor company to SBM, and had been the subject of seven Board orders for breaches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Regulation</w:t>
      </w:r>
      <w:r>
        <w:rPr>
          <w:rFonts w:ascii="arial" w:eastAsia="arial" w:hAnsi="arial" w:cs="arial"/>
          <w:color w:val="000000"/>
          <w:sz w:val="20"/>
          <w:lang w:val="en-US" w:eastAsia="en-US" w:bidi="ar-SA"/>
        </w:rPr>
        <w:t xml:space="preserve"> in relation to exposing persons to asbestos or putting persons at risk of asbestos exposure;</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Mike Singh and Shawn Singh were employed by SBM and Seattle;</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Asbestos is categorized as a carcinogen by the World Health Organization, and pursuant to the Board's records, exposure to asbestos was related to 512 deaths between 2002 and 2011;</w:t>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respondents were consistently in breach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Regulation</w:t>
      </w:r>
      <w:r>
        <w:rPr>
          <w:rFonts w:ascii="arial" w:eastAsia="arial" w:hAnsi="arial" w:cs="arial"/>
          <w:color w:val="000000"/>
          <w:sz w:val="20"/>
          <w:lang w:val="en-US" w:eastAsia="en-US" w:bidi="ar-SA"/>
        </w:rPr>
        <w:t xml:space="preserve"> and had repeatedly exposed persons to asbestos or put persons at risk of exposure to asbestos; and</w:t>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respondents had exposed persons to asbestos or put persons at risk of asbestos exposure at seventeen specific locations detailed in the petition, over various dates from 2009 to 2012.</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Moses Kajoba ("Kajoba") was counsel for the respondents to the petition.</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petition came on for hearing before Russell J. on September 14, 2012. The Board applied for the injunctive relief sought in the petition. The Board was represented by Nielsen. The respondents were represented by Kajoba. The respondents sought an adjournment of the hearing. The Board opposed the adjournment but was prepared to consent if the orders sought were granted on an interim basis. The hearing was adjourned. The parties consented to an order (the "Russell J. order") that Mike Singh, Shawn Singh, Mohini Singh, SBM, and Seattle be restrained from: (1) exposing persons to asbestos or putting persons at risk of exposure to asbestos; and (2) breaching the provisions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Regulation</w:t>
      </w:r>
      <w:r>
        <w:rPr>
          <w:rFonts w:ascii="arial" w:eastAsia="arial" w:hAnsi="arial" w:cs="arial"/>
          <w:color w:val="000000"/>
          <w:sz w:val="20"/>
          <w:lang w:val="en-US" w:eastAsia="en-US" w:bidi="ar-SA"/>
        </w:rPr>
        <w:t>. The order was granted "on an interim basis and without prejudice pending a further order of the court." The order does not expressly state on its face that it was made on the consent of the parties but there is no doubt that it was. The order also does not state that the hearing of the petition was adjourned but that is also clear.</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April 26, 2013 the Board filed an application within proceeding S-125392 seeking orders finding Mike Singh, Shawn Singh, and Seattle guilty of contempt of court for disobeying the Russell J. order. The Board's application alleged that the application respondents had continued to breach the provisions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Regulation</w:t>
      </w:r>
      <w:r>
        <w:rPr>
          <w:rFonts w:ascii="arial" w:eastAsia="arial" w:hAnsi="arial" w:cs="arial"/>
          <w:color w:val="000000"/>
          <w:sz w:val="20"/>
          <w:lang w:val="en-US" w:eastAsia="en-US" w:bidi="ar-SA"/>
        </w:rPr>
        <w:t xml:space="preserve"> and had exposed persons to asbestos or put persons at risk of exposure to asbestos.</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After several hearing days, on October 11, 2013 the parties entered into what was essentially a consent order. By agreement, Mr. Justice Funt found Seattle, Mike Singh, and Shawn Singh in contempt of the portions of the Russell J. order restraining them from breaching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Regulation</w:t>
      </w:r>
      <w:r>
        <w:rPr>
          <w:rFonts w:ascii="arial" w:eastAsia="arial" w:hAnsi="arial" w:cs="arial"/>
          <w:color w:val="000000"/>
          <w:sz w:val="20"/>
          <w:lang w:val="en-US" w:eastAsia="en-US" w:bidi="ar-SA"/>
        </w:rPr>
        <w:t>, and dismissed the Board's applications for findings of contempt of court in relation to exposing persons to asbestos or putting persons at risk for exposure to asbestos. Also by agreement, he imposed a joint fine of $10,000 on Seattle and Mike Singh, and fined Shawn Singh $5,000, to be paid to an accident fund and applied or administered for asbestos-related research. The Board was represented by Nielsen. The application respondents were represented by Mr. Gerhard Pyper ("Pyper").</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September 29, 2015 the Board filed further applications for findings that Mike Singh, Shawn Singh, and Seattle were in contempt of court for breaches of the Russell J. order, alleging that the application respondents had breached the order in a number of instances by providing hazardous materials, inspections and reports that were in violation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Regulation</w:t>
      </w:r>
      <w:r>
        <w:rPr>
          <w:rFonts w:ascii="arial" w:eastAsia="arial" w:hAnsi="arial" w:cs="arial"/>
          <w:color w:val="000000"/>
          <w:sz w:val="20"/>
          <w:lang w:val="en-US" w:eastAsia="en-US" w:bidi="ar-SA"/>
        </w:rPr>
        <w:t>.</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applications came on for hearing before Mr. Justice Dley on November 4, 2015. Mr. Ben Parkin ("Parkin") and Mr. Nick Bower ("Bower") were counsel for the Board. Counsel for the respondents was Mr. Sumandeep Singh ("S. Singh"). S. Singh requested an adjournment as he had very recently assumed conduct of the matter from Pyper. Dley J. adjourned the applications to be scheduled for hearing together for five days on dates to be arranged, and made ancillary orders.</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applications were heard by Mr. Justice Macintosh on February 15 - 19, 2016. The Board sought findings of contempt only in respect of the aspect of the Russell J. order prohibiting breaches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Regulation</w:t>
      </w:r>
      <w:r>
        <w:rPr>
          <w:rFonts w:ascii="arial" w:eastAsia="arial" w:hAnsi="arial" w:cs="arial"/>
          <w:color w:val="000000"/>
          <w:sz w:val="20"/>
          <w:lang w:val="en-US" w:eastAsia="en-US" w:bidi="ar-SA"/>
        </w:rPr>
        <w:t xml:space="preserve">. The application respondents applied to set aside the Russell J. order. The Board was represented by Parkin and Bower. The application respondents were represented by S. Singh. Macintosh J. dismissed the Board's applications and the cross-application of the respondents. In reasons for judgment delivered February 26, 2016 and indexed at </w:t>
      </w:r>
      <w:r>
        <w:rPr>
          <w:rFonts w:ascii="arial" w:eastAsia="arial" w:hAnsi="arial" w:cs="arial"/>
          <w:i/>
          <w:color w:val="000000"/>
          <w:sz w:val="20"/>
          <w:lang w:val="en-US" w:eastAsia="en-US" w:bidi="ar-SA"/>
        </w:rPr>
        <w:t>Worker's Compensation Board v. Skylite Building Maintenance Ltd.</w:t>
      </w:r>
      <w:r>
        <w:rPr>
          <w:rFonts w:ascii="arial" w:eastAsia="arial" w:hAnsi="arial" w:cs="arial"/>
          <w:color w:val="000000"/>
          <w:sz w:val="20"/>
          <w:lang w:val="en-US" w:eastAsia="en-US" w:bidi="ar-SA"/>
        </w:rPr>
        <w:t xml:space="preserve">, </w:t>
      </w:r>
      <w:hyperlink r:id="rId390" w:history="1">
        <w:r>
          <w:rPr>
            <w:rFonts w:ascii="arial" w:eastAsia="arial" w:hAnsi="arial" w:cs="arial"/>
            <w:i/>
            <w:color w:val="0077CC"/>
            <w:sz w:val="20"/>
            <w:u w:val="single"/>
            <w:shd w:val="clear" w:color="auto" w:fill="FFFFFF"/>
            <w:lang w:val="en-US" w:eastAsia="en-US" w:bidi="ar-SA"/>
          </w:rPr>
          <w:t>2016 BCSC 394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WCB v. Skylite</w:t>
      </w:r>
      <w:r>
        <w:rPr>
          <w:rFonts w:ascii="arial" w:eastAsia="arial" w:hAnsi="arial" w:cs="arial"/>
          <w:color w:val="000000"/>
          <w:sz w:val="20"/>
          <w:lang w:val="en-US" w:eastAsia="en-US" w:bidi="ar-SA"/>
        </w:rPr>
        <w:t>], he held that the Russell J. order was over-broad and therefore insufficiently clear in terms of what the respondents must do or not do in order to avoid being found in contempt. He also dismissed the cross-application to set aside the Russell J. order.</w:t>
      </w:r>
    </w:p>
    <w:p>
      <w:pPr>
        <w:numPr>
          <w:numId w:val="2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November 18, 2015 Born inspected a residential property located at 6681 Brooks Street, Vancouver, in order to investigate a hazardous materials and asbestos survey conducted by ESS. As a result of the investigation, Born recommended that an administrative penalty be imposed. On April 5, 2016 the Board imposed an administrative penalty upon ESS in the amount of $5,000.</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May 24, 2016 the plaintiffs Mike Singh, Mohini Singh, Shawn Singh, and Seattle filed the Notice of Civil Claim ("NOCC") in this action. The action makes claims against Nielsen in his capacity as counsel for the Board and Born in his capacity as a hygiene officer with the Board, and also against the plaintiffs' former counsel, Kajoba.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PRINCIPLES - APPLICATIONS TO STRIKE OUT AND DISMISS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Nielsen and Born's application to strike out the NOCC and to dismiss the action is brought under R. 9-5(1)(a), (b) and (d)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SCCR</w:t>
      </w:r>
      <w:r>
        <w:rPr>
          <w:rFonts w:ascii="arial" w:eastAsia="arial" w:hAnsi="arial" w:cs="arial"/>
          <w:color w:val="000000"/>
          <w:sz w:val="20"/>
          <w:lang w:val="en-US" w:eastAsia="en-US" w:bidi="ar-SA"/>
        </w:rPr>
        <w:t>]. R. 9-5(1) and (2) are as follows:</w:t>
      </w:r>
      <w:r>
        <w:rPr>
          <w:rFonts w:ascii="arial" w:eastAsia="arial" w:hAnsi="arial" w:cs="arial"/>
          <w:sz w:val="20"/>
          <w:lang w:val="en-US" w:eastAsia="en-US" w:bidi="ar-SA"/>
        </w:rPr>
        <w:cr/>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any stage of a proceeding, the court may order to be struck out or amended the whole or any part of a pleading, petition or other document on the ground that</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discloses no reasonable claim or defence, as the case may be,</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unnecessary, scandalous, frivolous or vexatious,</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may prejudice, embarrass or delay the fair trial or hearing of the proceeding, or</w:t>
      </w:r>
    </w:p>
    <w:p>
      <w:pPr>
        <w:numPr>
          <w:numId w:val="3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otherwise an abuse of the process of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 the court may pronounce judgment or order the proceeding to be stayed or dismissed and may order the costs of the application to be paid as special costs.</w:t>
      </w:r>
      <w:r>
        <w:rPr>
          <w:rFonts w:ascii="arial" w:eastAsia="arial" w:hAnsi="arial" w:cs="arial"/>
          <w:sz w:val="20"/>
          <w:lang w:val="en-US" w:eastAsia="en-US" w:bidi="ar-SA"/>
        </w:rPr>
        <w:cr/>
      </w:r>
    </w:p>
    <w:p>
      <w:pPr>
        <w:numPr>
          <w:numId w:val="3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No evidence is admissible on an application under subrule (1) (a).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I adopt my comments in </w:t>
      </w:r>
      <w:r>
        <w:rPr>
          <w:rFonts w:ascii="arial" w:eastAsia="arial" w:hAnsi="arial" w:cs="arial"/>
          <w:i/>
          <w:color w:val="000000"/>
          <w:sz w:val="20"/>
          <w:lang w:val="en-US" w:eastAsia="en-US" w:bidi="ar-SA"/>
        </w:rPr>
        <w:t>Lessor v. Toll Estate</w:t>
      </w:r>
      <w:r>
        <w:rPr>
          <w:rFonts w:ascii="arial" w:eastAsia="arial" w:hAnsi="arial" w:cs="arial"/>
          <w:color w:val="000000"/>
          <w:sz w:val="20"/>
          <w:lang w:val="en-US" w:eastAsia="en-US" w:bidi="ar-SA"/>
        </w:rPr>
        <w:t xml:space="preserve">, </w:t>
      </w:r>
      <w:hyperlink r:id="rId391" w:history="1">
        <w:r>
          <w:rPr>
            <w:rFonts w:ascii="arial" w:eastAsia="arial" w:hAnsi="arial" w:cs="arial"/>
            <w:i/>
            <w:color w:val="0077CC"/>
            <w:sz w:val="20"/>
            <w:u w:val="single"/>
            <w:shd w:val="clear" w:color="auto" w:fill="FFFFFF"/>
            <w:lang w:val="en-US" w:eastAsia="en-US" w:bidi="ar-SA"/>
          </w:rPr>
          <w:t>2015 BCSC 427</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[14] As noted, Ms. Tyler applies pursuant to Rule 9-5(1) (a) and (d) for an order striking the pleadings on the basis that they fail to disclose a reasonable cause of action, or, alternatively, that they constitute an abuse of process. On an application under Rule 9-5(1)(a), no evidence is admissible: Rule 9-5(2).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 Pleadings must clearly define the issues of fact and law. Rule 3-1(2) requires that a notice of civil claim must: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091"/>
        <w:gridCol w:w="836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w:t>
            </w:r>
          </w:p>
        </w:tc>
        <w:tc>
          <w:tcPr>
            <w:tcW w:w="819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3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set out a concise statement of the material facts giving rise to the claim;</w:t>
      </w:r>
    </w:p>
    <w:p>
      <w:pPr>
        <w:numPr>
          <w:numId w:val="3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set out the relief sought by the plaintiff against each named defendant;</w:t>
      </w:r>
    </w:p>
    <w:p>
      <w:pPr>
        <w:numPr>
          <w:numId w:val="3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set out a concise summary of the legal basis for the relief sought;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[16] I adopt my comments in </w:t>
      </w:r>
      <w:r>
        <w:rPr>
          <w:rFonts w:ascii="arial" w:eastAsia="arial" w:hAnsi="arial" w:cs="arial"/>
          <w:i/>
          <w:color w:val="000000"/>
          <w:sz w:val="20"/>
          <w:lang w:val="en-US" w:eastAsia="en-US" w:bidi="ar-SA"/>
        </w:rPr>
        <w:t>Stoneman v. Denman Island Trust Committee</w:t>
      </w:r>
      <w:r>
        <w:rPr>
          <w:rFonts w:ascii="arial" w:eastAsia="arial" w:hAnsi="arial" w:cs="arial"/>
          <w:color w:val="000000"/>
          <w:sz w:val="20"/>
          <w:lang w:val="en-US" w:eastAsia="en-US" w:bidi="ar-SA"/>
        </w:rPr>
        <w:t xml:space="preserve">, </w:t>
      </w:r>
      <w:hyperlink r:id="rId392" w:history="1">
        <w:r>
          <w:rPr>
            <w:rFonts w:ascii="arial" w:eastAsia="arial" w:hAnsi="arial" w:cs="arial"/>
            <w:i/>
            <w:color w:val="0077CC"/>
            <w:sz w:val="20"/>
            <w:u w:val="single"/>
            <w:shd w:val="clear" w:color="auto" w:fill="FFFFFF"/>
            <w:lang w:val="en-US" w:eastAsia="en-US" w:bidi="ar-SA"/>
          </w:rPr>
          <w:t>2010 BCSC 636</w:t>
        </w:r>
      </w:hyperlink>
      <w:r>
        <w:rPr>
          <w:rFonts w:ascii="arial" w:eastAsia="arial" w:hAnsi="arial" w:cs="arial"/>
          <w:color w:val="000000"/>
          <w:sz w:val="20"/>
          <w:lang w:val="en-US" w:eastAsia="en-US" w:bidi="ar-SA"/>
        </w:rPr>
        <w:t xml:space="preserve"> concerning the purpose of pleadings: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16 The purpose of pleadings is to clearly define the issues of fact and law to be determined by the court. The issues must be defined for each cause of action relied upon by the plaintiff: </w:t>
      </w:r>
      <w:r>
        <w:rPr>
          <w:rFonts w:ascii="arial" w:eastAsia="arial" w:hAnsi="arial" w:cs="arial"/>
          <w:i/>
          <w:color w:val="000000"/>
          <w:sz w:val="20"/>
          <w:lang w:val="en-US" w:eastAsia="en-US" w:bidi="ar-SA"/>
        </w:rPr>
        <w:t>Canadian Bar Assn. v. British Columbia</w:t>
      </w:r>
      <w:r>
        <w:rPr>
          <w:rFonts w:ascii="arial" w:eastAsia="arial" w:hAnsi="arial" w:cs="arial"/>
          <w:color w:val="000000"/>
          <w:sz w:val="20"/>
          <w:lang w:val="en-US" w:eastAsia="en-US" w:bidi="ar-SA"/>
        </w:rPr>
        <w:t xml:space="preserve">, </w:t>
      </w:r>
      <w:hyperlink r:id="rId393" w:history="1">
        <w:r>
          <w:rPr>
            <w:rFonts w:ascii="arial" w:eastAsia="arial" w:hAnsi="arial" w:cs="arial"/>
            <w:i/>
            <w:color w:val="0077CC"/>
            <w:sz w:val="20"/>
            <w:u w:val="single"/>
            <w:shd w:val="clear" w:color="auto" w:fill="FFFFFF"/>
            <w:lang w:val="en-US" w:eastAsia="en-US" w:bidi="ar-SA"/>
          </w:rPr>
          <w:t>2008 BCCA 92</w:t>
        </w:r>
      </w:hyperlink>
      <w:r>
        <w:rPr>
          <w:rFonts w:ascii="arial" w:eastAsia="arial" w:hAnsi="arial" w:cs="arial"/>
          <w:color w:val="000000"/>
          <w:sz w:val="20"/>
          <w:lang w:val="en-US" w:eastAsia="en-US" w:bidi="ar-SA"/>
        </w:rPr>
        <w:t xml:space="preserve"> at paras. 59-60, citing </w:t>
      </w:r>
      <w:r>
        <w:rPr>
          <w:rFonts w:ascii="arial" w:eastAsia="arial" w:hAnsi="arial" w:cs="arial"/>
          <w:i/>
          <w:color w:val="000000"/>
          <w:sz w:val="20"/>
          <w:lang w:val="en-US" w:eastAsia="en-US" w:bidi="ar-SA"/>
        </w:rPr>
        <w:t>Homalco Indian Band v. British Columbia</w:t>
      </w:r>
      <w:r>
        <w:rPr>
          <w:rFonts w:ascii="arial" w:eastAsia="arial" w:hAnsi="arial" w:cs="arial"/>
          <w:color w:val="000000"/>
          <w:sz w:val="20"/>
          <w:lang w:val="en-US" w:eastAsia="en-US" w:bidi="ar-SA"/>
        </w:rPr>
        <w:t xml:space="preserve">, </w:t>
      </w:r>
      <w:hyperlink r:id="rId394" w:history="1">
        <w:r>
          <w:rPr>
            <w:rFonts w:ascii="arial" w:eastAsia="arial" w:hAnsi="arial" w:cs="arial"/>
            <w:i/>
            <w:color w:val="0077CC"/>
            <w:sz w:val="20"/>
            <w:u w:val="single"/>
            <w:shd w:val="clear" w:color="auto" w:fill="FFFFFF"/>
            <w:lang w:val="en-US" w:eastAsia="en-US" w:bidi="ar-SA"/>
          </w:rPr>
          <w:t>[1998] B.C.J. No. 2703</w:t>
        </w:r>
      </w:hyperlink>
      <w:r>
        <w:rPr>
          <w:rFonts w:ascii="arial" w:eastAsia="arial" w:hAnsi="arial" w:cs="arial"/>
          <w:color w:val="000000"/>
          <w:sz w:val="20"/>
          <w:lang w:val="en-US" w:eastAsia="en-US" w:bidi="ar-SA"/>
        </w:rPr>
        <w:t xml:space="preserve"> (S.C.); and </w:t>
      </w:r>
      <w:r>
        <w:rPr>
          <w:rFonts w:ascii="arial" w:eastAsia="arial" w:hAnsi="arial" w:cs="arial"/>
          <w:i/>
          <w:color w:val="000000"/>
          <w:sz w:val="20"/>
          <w:lang w:val="en-US" w:eastAsia="en-US" w:bidi="ar-SA"/>
        </w:rPr>
        <w:t>Keene v. British Columbia (Ministry of Children and Family Development)</w:t>
      </w:r>
      <w:r>
        <w:rPr>
          <w:rFonts w:ascii="arial" w:eastAsia="arial" w:hAnsi="arial" w:cs="arial"/>
          <w:color w:val="000000"/>
          <w:sz w:val="20"/>
          <w:lang w:val="en-US" w:eastAsia="en-US" w:bidi="ar-SA"/>
        </w:rPr>
        <w:t xml:space="preserve">, </w:t>
      </w:r>
      <w:hyperlink r:id="rId395" w:history="1">
        <w:r>
          <w:rPr>
            <w:rFonts w:ascii="arial" w:eastAsia="arial" w:hAnsi="arial" w:cs="arial"/>
            <w:i/>
            <w:color w:val="0077CC"/>
            <w:sz w:val="20"/>
            <w:u w:val="single"/>
            <w:shd w:val="clear" w:color="auto" w:fill="FFFFFF"/>
            <w:lang w:val="en-US" w:eastAsia="en-US" w:bidi="ar-SA"/>
          </w:rPr>
          <w:t>2003 BCSC 1544</w:t>
        </w:r>
      </w:hyperlink>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17 In </w:t>
      </w:r>
      <w:r>
        <w:rPr>
          <w:rFonts w:ascii="arial" w:eastAsia="arial" w:hAnsi="arial" w:cs="arial"/>
          <w:i/>
          <w:color w:val="000000"/>
          <w:sz w:val="20"/>
          <w:lang w:val="en-US" w:eastAsia="en-US" w:bidi="ar-SA"/>
        </w:rPr>
        <w:t>Homalco</w:t>
      </w:r>
      <w:r>
        <w:rPr>
          <w:rFonts w:ascii="arial" w:eastAsia="arial" w:hAnsi="arial" w:cs="arial"/>
          <w:color w:val="000000"/>
          <w:sz w:val="20"/>
          <w:lang w:val="en-US" w:eastAsia="en-US" w:bidi="ar-SA"/>
        </w:rPr>
        <w:t>, K. Smith J. stated at para. 5:</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The ultimate function of pleadings is to clearly define the issues of fact and law to be determined by the court. The issues must be defined for each cause of action relied upon by the plaintiff. That process is begun by the plaintiff stating, for each cause, the material facts, that is, those facts necessary for the purpose of formulating a complete cause of 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[17] Chief Justice McLachlin emphasized in </w:t>
      </w:r>
      <w:r>
        <w:rPr>
          <w:rFonts w:ascii="arial" w:eastAsia="arial" w:hAnsi="arial" w:cs="arial"/>
          <w:i/>
          <w:color w:val="000000"/>
          <w:sz w:val="20"/>
          <w:lang w:val="en-US" w:eastAsia="en-US" w:bidi="ar-SA"/>
        </w:rPr>
        <w:t>R. v. Imperial Tobacco Canada Ltd.</w:t>
      </w:r>
      <w:r>
        <w:rPr>
          <w:rFonts w:ascii="arial" w:eastAsia="arial" w:hAnsi="arial" w:cs="arial"/>
          <w:color w:val="000000"/>
          <w:sz w:val="20"/>
          <w:lang w:val="en-US" w:eastAsia="en-US" w:bidi="ar-SA"/>
        </w:rPr>
        <w:t xml:space="preserve">, </w:t>
      </w:r>
      <w:hyperlink r:id="rId396" w:history="1">
        <w:r>
          <w:rPr>
            <w:rFonts w:ascii="arial" w:eastAsia="arial" w:hAnsi="arial" w:cs="arial"/>
            <w:i/>
            <w:color w:val="0077CC"/>
            <w:sz w:val="20"/>
            <w:u w:val="single"/>
            <w:shd w:val="clear" w:color="auto" w:fill="FFFFFF"/>
            <w:lang w:val="en-US" w:eastAsia="en-US" w:bidi="ar-SA"/>
          </w:rPr>
          <w:t>2011 SCC 42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Imperial</w:t>
      </w:r>
      <w:r>
        <w:rPr>
          <w:rFonts w:ascii="arial" w:eastAsia="arial" w:hAnsi="arial" w:cs="arial"/>
          <w:color w:val="000000"/>
          <w:sz w:val="20"/>
          <w:lang w:val="en-US" w:eastAsia="en-US" w:bidi="ar-SA"/>
        </w:rPr>
        <w:t>] that the plaintiff must clearly plead the facts upon which it relies in making its claim:</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[22] [A motion to strike for failure to disclose a reasonable cause of action proceeds on the basis that the facts pleaded are true, unless they are manifestly incapable of being proven: </w:t>
      </w:r>
      <w:r>
        <w:rPr>
          <w:rFonts w:ascii="arial" w:eastAsia="arial" w:hAnsi="arial" w:cs="arial"/>
          <w:i/>
          <w:color w:val="000000"/>
          <w:sz w:val="20"/>
          <w:lang w:val="en-US" w:eastAsia="en-US" w:bidi="ar-SA"/>
        </w:rPr>
        <w:t>Operation Dismantle Inc. v. The Queen</w:t>
      </w:r>
      <w:r>
        <w:rPr>
          <w:rFonts w:ascii="arial" w:eastAsia="arial" w:hAnsi="arial" w:cs="arial"/>
          <w:color w:val="000000"/>
          <w:sz w:val="20"/>
          <w:lang w:val="en-US" w:eastAsia="en-US" w:bidi="ar-SA"/>
        </w:rPr>
        <w:t xml:space="preserve">, </w:t>
      </w:r>
      <w:hyperlink r:id="rId397" w:history="1">
        <w:r>
          <w:rPr>
            <w:rFonts w:ascii="arial" w:eastAsia="arial" w:hAnsi="arial" w:cs="arial"/>
            <w:i/>
            <w:color w:val="0077CC"/>
            <w:sz w:val="20"/>
            <w:u w:val="single"/>
            <w:shd w:val="clear" w:color="auto" w:fill="FFFFFF"/>
            <w:lang w:val="en-US" w:eastAsia="en-US" w:bidi="ar-SA"/>
          </w:rPr>
          <w:t>[1985] 1 S.C.R. 441</w:t>
        </w:r>
      </w:hyperlink>
      <w:r>
        <w:rPr>
          <w:rFonts w:ascii="arial" w:eastAsia="arial" w:hAnsi="arial" w:cs="arial"/>
          <w:color w:val="000000"/>
          <w:sz w:val="20"/>
          <w:lang w:val="en-US" w:eastAsia="en-US" w:bidi="ar-SA"/>
        </w:rPr>
        <w:t xml:space="preserve">, at p. 455. No evidence is admissible on such a motion: r. 19(27) of the </w:t>
      </w:r>
      <w:r>
        <w:rPr>
          <w:rFonts w:ascii="arial" w:eastAsia="arial" w:hAnsi="arial" w:cs="arial"/>
          <w:i/>
          <w:color w:val="000000"/>
          <w:sz w:val="20"/>
          <w:lang w:val="en-US" w:eastAsia="en-US" w:bidi="ar-SA"/>
        </w:rPr>
        <w:t>Supreme Court Rules</w:t>
      </w:r>
      <w:r>
        <w:rPr>
          <w:rFonts w:ascii="arial" w:eastAsia="arial" w:hAnsi="arial" w:cs="arial"/>
          <w:color w:val="000000"/>
          <w:sz w:val="20"/>
          <w:lang w:val="en-US" w:eastAsia="en-US" w:bidi="ar-SA"/>
        </w:rPr>
        <w:t xml:space="preserve"> (now r. 9-5(2)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It is incumbent on the claimant to clearly plead the facts upon which it relies in making its claim.] A claimant is not entitled to rely on the possibility that new facts may turn up as the case progresses. The claimant may not be in a position to prove the facts pleaded at the time of the motion. It may only hope to be able to prove them. </w:t>
      </w:r>
      <w:r>
        <w:rPr>
          <w:rFonts w:ascii="arial" w:eastAsia="arial" w:hAnsi="arial" w:cs="arial"/>
          <w:color w:val="000000"/>
          <w:sz w:val="20"/>
          <w:u w:val="single"/>
          <w:lang w:val="en-US" w:eastAsia="en-US" w:bidi="ar-SA"/>
        </w:rPr>
        <w:t>But plead them it must</w:t>
      </w:r>
      <w:r>
        <w:rPr>
          <w:rFonts w:ascii="arial" w:eastAsia="arial" w:hAnsi="arial" w:cs="arial"/>
          <w:color w:val="000000"/>
          <w:sz w:val="20"/>
          <w:lang w:val="en-US" w:eastAsia="en-US" w:bidi="ar-SA"/>
        </w:rPr>
        <w:t>. The facts pleaded are the firm basis upon which the possibility of success of the claim must be evaluated. If they are not pleaded, the exercise cannot be properly conducted.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[18] As observed by Justice Frankel in </w:t>
      </w:r>
      <w:r>
        <w:rPr>
          <w:rFonts w:ascii="arial" w:eastAsia="arial" w:hAnsi="arial" w:cs="arial"/>
          <w:i/>
          <w:color w:val="000000"/>
          <w:sz w:val="20"/>
          <w:lang w:val="en-US" w:eastAsia="en-US" w:bidi="ar-SA"/>
        </w:rPr>
        <w:t>British Columbia (Director of Civil Forfeiture) v. Flynn</w:t>
      </w:r>
      <w:r>
        <w:rPr>
          <w:rFonts w:ascii="arial" w:eastAsia="arial" w:hAnsi="arial" w:cs="arial"/>
          <w:color w:val="000000"/>
          <w:sz w:val="20"/>
          <w:lang w:val="en-US" w:eastAsia="en-US" w:bidi="ar-SA"/>
        </w:rPr>
        <w:t xml:space="preserve">, </w:t>
      </w:r>
      <w:hyperlink r:id="rId398" w:history="1">
        <w:r>
          <w:rPr>
            <w:rFonts w:ascii="arial" w:eastAsia="arial" w:hAnsi="arial" w:cs="arial"/>
            <w:i/>
            <w:color w:val="0077CC"/>
            <w:sz w:val="20"/>
            <w:u w:val="single"/>
            <w:shd w:val="clear" w:color="auto" w:fill="FFFFFF"/>
            <w:lang w:val="en-US" w:eastAsia="en-US" w:bidi="ar-SA"/>
          </w:rPr>
          <w:t>2013 BCCA 91</w:t>
        </w:r>
      </w:hyperlink>
      <w:r>
        <w:rPr>
          <w:rFonts w:ascii="arial" w:eastAsia="arial" w:hAnsi="arial" w:cs="arial"/>
          <w:color w:val="000000"/>
          <w:sz w:val="20"/>
          <w:lang w:val="en-US" w:eastAsia="en-US" w:bidi="ar-SA"/>
        </w:rPr>
        <w:t xml:space="preserve"> at para. 10, the test for striking pleadings because they fail to disclose a reasonable cause of action is well-known. In </w:t>
      </w:r>
      <w:r>
        <w:rPr>
          <w:rFonts w:ascii="arial" w:eastAsia="arial" w:hAnsi="arial" w:cs="arial"/>
          <w:i/>
          <w:color w:val="000000"/>
          <w:sz w:val="20"/>
          <w:lang w:val="en-US" w:eastAsia="en-US" w:bidi="ar-SA"/>
        </w:rPr>
        <w:t>Imperial</w:t>
      </w:r>
      <w:r>
        <w:rPr>
          <w:rFonts w:ascii="arial" w:eastAsia="arial" w:hAnsi="arial" w:cs="arial"/>
          <w:color w:val="000000"/>
          <w:sz w:val="20"/>
          <w:lang w:val="en-US" w:eastAsia="en-US" w:bidi="ar-SA"/>
        </w:rPr>
        <w:t>, McLachlin C.J.C. enunciated the test in these terms: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[17] The parties agree on the test applicable on a motion to strike for not disclosing a reasonable cause of action under r. 19(24)(a) [now Rule 9-5(1) (a)] of the B.C. Supreme Court Rules. This Court has reiterated the test on many occasions. A claim will only be struck if it is plain and obvious, assuming the facts pleaded to be true, that the pleading discloses no reasonable cause of action: </w:t>
      </w:r>
      <w:r>
        <w:rPr>
          <w:rFonts w:ascii="arial" w:eastAsia="arial" w:hAnsi="arial" w:cs="arial"/>
          <w:i/>
          <w:color w:val="000000"/>
          <w:sz w:val="20"/>
          <w:lang w:val="en-US" w:eastAsia="en-US" w:bidi="ar-SA"/>
        </w:rPr>
        <w:t>Odhavji Estate v. Woodhouse</w:t>
      </w:r>
      <w:r>
        <w:rPr>
          <w:rFonts w:ascii="arial" w:eastAsia="arial" w:hAnsi="arial" w:cs="arial"/>
          <w:color w:val="000000"/>
          <w:sz w:val="20"/>
          <w:lang w:val="en-US" w:eastAsia="en-US" w:bidi="ar-SA"/>
        </w:rPr>
        <w:t xml:space="preserve">, </w:t>
      </w:r>
      <w:hyperlink r:id="rId285" w:history="1">
        <w:r>
          <w:rPr>
            <w:rFonts w:ascii="arial" w:eastAsia="arial" w:hAnsi="arial" w:cs="arial"/>
            <w:i/>
            <w:color w:val="0077CC"/>
            <w:sz w:val="20"/>
            <w:u w:val="single"/>
            <w:shd w:val="clear" w:color="auto" w:fill="FFFFFF"/>
            <w:lang w:val="en-US" w:eastAsia="en-US" w:bidi="ar-SA"/>
          </w:rPr>
          <w:t>2003 SCC 69</w:t>
        </w:r>
      </w:hyperlink>
      <w:r>
        <w:rPr>
          <w:rFonts w:ascii="arial" w:eastAsia="arial" w:hAnsi="arial" w:cs="arial"/>
          <w:color w:val="000000"/>
          <w:sz w:val="20"/>
          <w:lang w:val="en-US" w:eastAsia="en-US" w:bidi="ar-SA"/>
        </w:rPr>
        <w:t xml:space="preserve">, </w:t>
      </w:r>
      <w:hyperlink r:id="rId285" w:history="1">
        <w:r>
          <w:rPr>
            <w:rFonts w:ascii="arial" w:eastAsia="arial" w:hAnsi="arial" w:cs="arial"/>
            <w:i/>
            <w:color w:val="0077CC"/>
            <w:sz w:val="20"/>
            <w:u w:val="single"/>
            <w:shd w:val="clear" w:color="auto" w:fill="FFFFFF"/>
            <w:lang w:val="en-US" w:eastAsia="en-US" w:bidi="ar-SA"/>
          </w:rPr>
          <w:t>[2003] 3 S.C.R. 263</w:t>
        </w:r>
      </w:hyperlink>
      <w:r>
        <w:rPr>
          <w:rFonts w:ascii="arial" w:eastAsia="arial" w:hAnsi="arial" w:cs="arial"/>
          <w:color w:val="000000"/>
          <w:sz w:val="20"/>
          <w:lang w:val="en-US" w:eastAsia="en-US" w:bidi="ar-SA"/>
        </w:rPr>
        <w:t xml:space="preserve">, at para. 15; </w:t>
      </w:r>
      <w:r>
        <w:rPr>
          <w:rFonts w:ascii="arial" w:eastAsia="arial" w:hAnsi="arial" w:cs="arial"/>
          <w:i/>
          <w:color w:val="000000"/>
          <w:sz w:val="20"/>
          <w:lang w:val="en-US" w:eastAsia="en-US" w:bidi="ar-SA"/>
        </w:rPr>
        <w:t>Hunt v. Carey Canada Inc.</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[1990] 2 S.C.R. 959</w:t>
      </w:r>
      <w:r>
        <w:rPr>
          <w:rFonts w:ascii="arial" w:eastAsia="arial" w:hAnsi="arial" w:cs="arial"/>
          <w:color w:val="000000"/>
          <w:sz w:val="20"/>
          <w:lang w:val="en-US" w:eastAsia="en-US" w:bidi="ar-SA"/>
        </w:rPr>
        <w:t>, at p. 980. Another way of putting the test is that the claim has no reasonable prospect of success. Where a reasonable prospect of success exists, the matter should be allowed to proceed to trial...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[19] In </w:t>
      </w:r>
      <w:r>
        <w:rPr>
          <w:rFonts w:ascii="arial" w:eastAsia="arial" w:hAnsi="arial" w:cs="arial"/>
          <w:i/>
          <w:color w:val="000000"/>
          <w:sz w:val="20"/>
          <w:lang w:val="en-US" w:eastAsia="en-US" w:bidi="ar-SA"/>
        </w:rPr>
        <w:t>Cimaco International Sales Inc. v. British Columbia</w:t>
      </w:r>
      <w:r>
        <w:rPr>
          <w:rFonts w:ascii="arial" w:eastAsia="arial" w:hAnsi="arial" w:cs="arial"/>
          <w:color w:val="000000"/>
          <w:sz w:val="20"/>
          <w:lang w:val="en-US" w:eastAsia="en-US" w:bidi="ar-SA"/>
        </w:rPr>
        <w:t xml:space="preserve">, </w:t>
      </w:r>
      <w:hyperlink r:id="rId399" w:history="1">
        <w:r>
          <w:rPr>
            <w:rFonts w:ascii="arial" w:eastAsia="arial" w:hAnsi="arial" w:cs="arial"/>
            <w:i/>
            <w:color w:val="0077CC"/>
            <w:sz w:val="20"/>
            <w:u w:val="single"/>
            <w:shd w:val="clear" w:color="auto" w:fill="FFFFFF"/>
            <w:lang w:val="en-US" w:eastAsia="en-US" w:bidi="ar-SA"/>
          </w:rPr>
          <w:t>2010 BCCA 342</w:t>
        </w:r>
      </w:hyperlink>
      <w:r>
        <w:rPr>
          <w:rFonts w:ascii="arial" w:eastAsia="arial" w:hAnsi="arial" w:cs="arial"/>
          <w:color w:val="000000"/>
          <w:sz w:val="20"/>
          <w:lang w:val="en-US" w:eastAsia="en-US" w:bidi="ar-SA"/>
        </w:rPr>
        <w:t xml:space="preserve"> at para. 40, Justice Kirkpatrick provided the following guidelines for determining whether it is "plain and obvious" that a claim will fail:</w:t>
      </w:r>
    </w:p>
    <w:p>
      <w:pPr>
        <w:numPr>
          <w:numId w:val="3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there is a question fit to be tried regardless of complexity or novelty;</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outcome of the claim at trial is beyond a reasonable doubt;</w:t>
      </w:r>
    </w:p>
    <w:p>
      <w:pPr>
        <w:numPr>
          <w:numId w:val="3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serious questions of law or questions of general importance are raised or if facts should be known before rights are decided;</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pleadings might be amended; and</w:t>
      </w:r>
    </w:p>
    <w:p>
      <w:pPr>
        <w:numPr>
          <w:numId w:val="4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there is an element of abuse of process.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 A successful application under Rule 9-5(1)(a) can lead to an order striking the pleadings with leave to amend, or an order dismissing the claim outright. If the defect in the pleading may be cured by amendment, the court may grant leave to amend: </w:t>
      </w:r>
      <w:r>
        <w:rPr>
          <w:rFonts w:ascii="arial" w:eastAsia="arial" w:hAnsi="arial" w:cs="arial"/>
          <w:i/>
          <w:color w:val="000000"/>
          <w:sz w:val="20"/>
          <w:lang w:val="en-US" w:eastAsia="en-US" w:bidi="ar-SA"/>
        </w:rPr>
        <w:t>Henry v. British Columbia (Attorney General)</w:t>
      </w:r>
      <w:r>
        <w:rPr>
          <w:rFonts w:ascii="arial" w:eastAsia="arial" w:hAnsi="arial" w:cs="arial"/>
          <w:color w:val="000000"/>
          <w:sz w:val="20"/>
          <w:lang w:val="en-US" w:eastAsia="en-US" w:bidi="ar-SA"/>
        </w:rPr>
        <w:t xml:space="preserve">, </w:t>
      </w:r>
      <w:hyperlink r:id="rId400" w:history="1">
        <w:r>
          <w:rPr>
            <w:rFonts w:ascii="arial" w:eastAsia="arial" w:hAnsi="arial" w:cs="arial"/>
            <w:i/>
            <w:color w:val="0077CC"/>
            <w:sz w:val="20"/>
            <w:u w:val="single"/>
            <w:shd w:val="clear" w:color="auto" w:fill="FFFFFF"/>
            <w:lang w:val="en-US" w:eastAsia="en-US" w:bidi="ar-SA"/>
          </w:rPr>
          <w:t>2012 BCSC 1401</w:t>
        </w:r>
      </w:hyperlink>
      <w:r>
        <w:rPr>
          <w:rFonts w:ascii="arial" w:eastAsia="arial" w:hAnsi="arial" w:cs="arial"/>
          <w:color w:val="000000"/>
          <w:sz w:val="20"/>
          <w:lang w:val="en-US" w:eastAsia="en-US" w:bidi="ar-SA"/>
        </w:rPr>
        <w:t xml:space="preserve"> at para. 38. If, however, the claim is without legal foundation regardless of how it is pleaded the court may dismiss the claim: </w:t>
      </w:r>
      <w:r>
        <w:rPr>
          <w:rFonts w:ascii="arial" w:eastAsia="arial" w:hAnsi="arial" w:cs="arial"/>
          <w:i/>
          <w:color w:val="000000"/>
          <w:sz w:val="20"/>
          <w:lang w:val="en-US" w:eastAsia="en-US" w:bidi="ar-SA"/>
        </w:rPr>
        <w:t>Henry</w:t>
      </w:r>
      <w:r>
        <w:rPr>
          <w:rFonts w:ascii="arial" w:eastAsia="arial" w:hAnsi="arial" w:cs="arial"/>
          <w:color w:val="000000"/>
          <w:sz w:val="20"/>
          <w:lang w:val="en-US" w:eastAsia="en-US" w:bidi="ar-SA"/>
        </w:rPr>
        <w:t xml:space="preserve"> at para. 38; </w:t>
      </w:r>
      <w:r>
        <w:rPr>
          <w:rFonts w:ascii="arial" w:eastAsia="arial" w:hAnsi="arial" w:cs="arial"/>
          <w:i/>
          <w:color w:val="000000"/>
          <w:sz w:val="20"/>
          <w:lang w:val="en-US" w:eastAsia="en-US" w:bidi="ar-SA"/>
        </w:rPr>
        <w:t>Extra Gift Exchange Inc. v. Ernest &amp; Twins Ventures (PP) Ltd.</w:t>
      </w:r>
      <w:r>
        <w:rPr>
          <w:rFonts w:ascii="arial" w:eastAsia="arial" w:hAnsi="arial" w:cs="arial"/>
          <w:color w:val="000000"/>
          <w:sz w:val="20"/>
          <w:lang w:val="en-US" w:eastAsia="en-US" w:bidi="ar-SA"/>
        </w:rPr>
        <w:t xml:space="preserve">, </w:t>
      </w:r>
      <w:hyperlink r:id="rId401" w:history="1">
        <w:r>
          <w:rPr>
            <w:rFonts w:ascii="arial" w:eastAsia="arial" w:hAnsi="arial" w:cs="arial"/>
            <w:i/>
            <w:color w:val="0077CC"/>
            <w:sz w:val="20"/>
            <w:u w:val="single"/>
            <w:shd w:val="clear" w:color="auto" w:fill="FFFFFF"/>
            <w:lang w:val="en-US" w:eastAsia="en-US" w:bidi="ar-SA"/>
          </w:rPr>
          <w:t>2007 BCSC 426</w:t>
        </w:r>
      </w:hyperlink>
      <w:r>
        <w:rPr>
          <w:rFonts w:ascii="arial" w:eastAsia="arial" w:hAnsi="arial" w:cs="arial"/>
          <w:color w:val="000000"/>
          <w:sz w:val="20"/>
          <w:lang w:val="en-US" w:eastAsia="en-US" w:bidi="ar-SA"/>
        </w:rPr>
        <w:t xml:space="preserve"> at para. 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Although for the purposes of an application under R. 9-5(1)(a) the material facts as pleaded in the NOCC are assumed to be true, this principle is not absolute or unqualified. As noted above in </w:t>
      </w:r>
      <w:r>
        <w:rPr>
          <w:rFonts w:ascii="arial" w:eastAsia="arial" w:hAnsi="arial" w:cs="arial"/>
          <w:i/>
          <w:color w:val="000000"/>
          <w:sz w:val="20"/>
          <w:lang w:val="en-US" w:eastAsia="en-US" w:bidi="ar-SA"/>
        </w:rPr>
        <w:t>Imperial</w:t>
      </w:r>
      <w:r>
        <w:rPr>
          <w:rFonts w:ascii="arial" w:eastAsia="arial" w:hAnsi="arial" w:cs="arial"/>
          <w:color w:val="000000"/>
          <w:sz w:val="20"/>
          <w:lang w:val="en-US" w:eastAsia="en-US" w:bidi="ar-SA"/>
        </w:rPr>
        <w:t xml:space="preserve"> at para. 22, some facts alleged may be "manifestly incapable of being proven." In addition, in </w:t>
      </w:r>
      <w:r>
        <w:rPr>
          <w:rFonts w:ascii="arial" w:eastAsia="arial" w:hAnsi="arial" w:cs="arial"/>
          <w:i/>
          <w:color w:val="000000"/>
          <w:sz w:val="20"/>
          <w:lang w:val="en-US" w:eastAsia="en-US" w:bidi="ar-SA"/>
        </w:rPr>
        <w:t>Acumar Consulting Engineers Ltd. v. The Association of Professional Engineers and Geoscientists of British Columbia</w:t>
      </w:r>
      <w:r>
        <w:rPr>
          <w:rFonts w:ascii="arial" w:eastAsia="arial" w:hAnsi="arial" w:cs="arial"/>
          <w:color w:val="000000"/>
          <w:sz w:val="20"/>
          <w:lang w:val="en-US" w:eastAsia="en-US" w:bidi="ar-SA"/>
        </w:rPr>
        <w:t xml:space="preserve">, </w:t>
      </w:r>
      <w:hyperlink r:id="rId402" w:history="1">
        <w:r>
          <w:rPr>
            <w:rFonts w:ascii="arial" w:eastAsia="arial" w:hAnsi="arial" w:cs="arial"/>
            <w:i/>
            <w:color w:val="0077CC"/>
            <w:sz w:val="20"/>
            <w:u w:val="single"/>
            <w:shd w:val="clear" w:color="auto" w:fill="FFFFFF"/>
            <w:lang w:val="en-US" w:eastAsia="en-US" w:bidi="ar-SA"/>
          </w:rPr>
          <w:t>2014 BCSC 814</w:t>
        </w:r>
      </w:hyperlink>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Acumar</w:t>
      </w:r>
      <w:r>
        <w:rPr>
          <w:rFonts w:ascii="arial" w:eastAsia="arial" w:hAnsi="arial" w:cs="arial"/>
          <w:color w:val="000000"/>
          <w:sz w:val="20"/>
          <w:lang w:val="en-US" w:eastAsia="en-US" w:bidi="ar-SA"/>
        </w:rPr>
        <w:t>] I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40 ... the principle that facts alleged in the pleading must be assumed to be true is not absolute and unqualified. In some cases it is necessary to look behind the allegations and to subject them to a "sceptical analysis in order to determine their true character": </w:t>
      </w:r>
      <w:r>
        <w:rPr>
          <w:rFonts w:ascii="arial" w:eastAsia="arial" w:hAnsi="arial" w:cs="arial"/>
          <w:i/>
          <w:color w:val="000000"/>
          <w:sz w:val="20"/>
          <w:lang w:val="en-US" w:eastAsia="en-US" w:bidi="ar-SA"/>
        </w:rPr>
        <w:t>Stephen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v. HMTQ</w:t>
      </w:r>
      <w:r>
        <w:rPr>
          <w:rFonts w:ascii="arial" w:eastAsia="arial" w:hAnsi="arial" w:cs="arial"/>
          <w:color w:val="000000"/>
          <w:sz w:val="20"/>
          <w:lang w:val="en-US" w:eastAsia="en-US" w:bidi="ar-SA"/>
        </w:rPr>
        <w:t xml:space="preserve">, </w:t>
      </w:r>
      <w:hyperlink r:id="rId403" w:history="1">
        <w:r>
          <w:rPr>
            <w:rFonts w:ascii="arial" w:eastAsia="arial" w:hAnsi="arial" w:cs="arial"/>
            <w:i/>
            <w:color w:val="0077CC"/>
            <w:sz w:val="20"/>
            <w:u w:val="single"/>
            <w:shd w:val="clear" w:color="auto" w:fill="FFFFFF"/>
            <w:lang w:val="en-US" w:eastAsia="en-US" w:bidi="ar-SA"/>
          </w:rPr>
          <w:t>2008 BCSC 1656</w:t>
        </w:r>
      </w:hyperlink>
      <w:r>
        <w:rPr>
          <w:rFonts w:ascii="arial" w:eastAsia="arial" w:hAnsi="arial" w:cs="arial"/>
          <w:color w:val="000000"/>
          <w:sz w:val="20"/>
          <w:lang w:val="en-US" w:eastAsia="en-US" w:bidi="ar-SA"/>
        </w:rPr>
        <w:t xml:space="preserve">] at para. 49, citing </w:t>
      </w:r>
      <w:r>
        <w:rPr>
          <w:rFonts w:ascii="arial" w:eastAsia="arial" w:hAnsi="arial" w:cs="arial"/>
          <w:i/>
          <w:color w:val="000000"/>
          <w:sz w:val="20"/>
          <w:lang w:val="en-US" w:eastAsia="en-US" w:bidi="ar-SA"/>
        </w:rPr>
        <w:t>Young v. Borzoni et al</w:t>
      </w:r>
      <w:r>
        <w:rPr>
          <w:rFonts w:ascii="arial" w:eastAsia="arial" w:hAnsi="arial" w:cs="arial"/>
          <w:color w:val="000000"/>
          <w:sz w:val="20"/>
          <w:lang w:val="en-US" w:eastAsia="en-US" w:bidi="ar-SA"/>
        </w:rPr>
        <w:t xml:space="preserve">, </w:t>
      </w:r>
      <w:hyperlink r:id="rId404" w:history="1">
        <w:r>
          <w:rPr>
            <w:rFonts w:ascii="arial" w:eastAsia="arial" w:hAnsi="arial" w:cs="arial"/>
            <w:i/>
            <w:color w:val="0077CC"/>
            <w:sz w:val="20"/>
            <w:u w:val="single"/>
            <w:shd w:val="clear" w:color="auto" w:fill="FFFFFF"/>
            <w:lang w:val="en-US" w:eastAsia="en-US" w:bidi="ar-SA"/>
          </w:rPr>
          <w:t>2007 BCCA 16</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41 Here, the petition includes vague, general references to bad faith, discrimination, criminality, fraud, and abuse, among other things. In the context of this case these references cannot be taken as true. They are only language, unconnected to any real pleaded facts or causes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As stated by Mr. Justice Masuhara in </w:t>
      </w:r>
      <w:r>
        <w:rPr>
          <w:rFonts w:ascii="arial" w:eastAsia="arial" w:hAnsi="arial" w:cs="arial"/>
          <w:i/>
          <w:color w:val="000000"/>
          <w:sz w:val="20"/>
          <w:lang w:val="en-US" w:eastAsia="en-US" w:bidi="ar-SA"/>
        </w:rPr>
        <w:t>Seattle Environmental Consulting Ltd. v. Workers' Compensation Board of British Columbia</w:t>
      </w:r>
      <w:r>
        <w:rPr>
          <w:rFonts w:ascii="arial" w:eastAsia="arial" w:hAnsi="arial" w:cs="arial"/>
          <w:color w:val="000000"/>
          <w:sz w:val="20"/>
          <w:lang w:val="en-US" w:eastAsia="en-US" w:bidi="ar-SA"/>
        </w:rPr>
        <w:t xml:space="preserve">, </w:t>
      </w:r>
      <w:hyperlink r:id="rId405" w:history="1">
        <w:r>
          <w:rPr>
            <w:rFonts w:ascii="arial" w:eastAsia="arial" w:hAnsi="arial" w:cs="arial"/>
            <w:i/>
            <w:color w:val="0077CC"/>
            <w:sz w:val="20"/>
            <w:u w:val="single"/>
            <w:shd w:val="clear" w:color="auto" w:fill="FFFFFF"/>
            <w:lang w:val="en-US" w:eastAsia="en-US" w:bidi="ar-SA"/>
          </w:rPr>
          <w:t>2016 BCSC 557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Seattle</w:t>
      </w:r>
      <w:r>
        <w:rPr>
          <w:rFonts w:ascii="arial" w:eastAsia="arial" w:hAnsi="arial" w:cs="arial"/>
          <w:color w:val="000000"/>
          <w:sz w:val="20"/>
          <w:lang w:val="en-US" w:eastAsia="en-US" w:bidi="ar-SA"/>
        </w:rPr>
        <w:t>] at para. 31: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approach to the application of [R. 9-5(1)(a) and (d)] is to take the material facts pleaded as true. However, this does not mean that allegations based upon assumption and speculation must be taken as true. Such allegations may be subject to a skeptical analysis: </w:t>
      </w:r>
      <w:r>
        <w:rPr>
          <w:rFonts w:ascii="arial" w:eastAsia="arial" w:hAnsi="arial" w:cs="arial"/>
          <w:i/>
          <w:color w:val="000000"/>
          <w:sz w:val="20"/>
          <w:lang w:val="en-US" w:eastAsia="en-US" w:bidi="ar-SA"/>
        </w:rPr>
        <w:t>Willow v. Chong</w:t>
      </w:r>
      <w:r>
        <w:rPr>
          <w:rFonts w:ascii="arial" w:eastAsia="arial" w:hAnsi="arial" w:cs="arial"/>
          <w:color w:val="000000"/>
          <w:sz w:val="20"/>
          <w:lang w:val="en-US" w:eastAsia="en-US" w:bidi="ar-SA"/>
        </w:rPr>
        <w:t xml:space="preserve">, </w:t>
      </w:r>
      <w:hyperlink r:id="rId406" w:history="1">
        <w:r>
          <w:rPr>
            <w:rFonts w:ascii="arial" w:eastAsia="arial" w:hAnsi="arial" w:cs="arial"/>
            <w:i/>
            <w:color w:val="0077CC"/>
            <w:sz w:val="20"/>
            <w:u w:val="single"/>
            <w:shd w:val="clear" w:color="auto" w:fill="FFFFFF"/>
            <w:lang w:val="en-US" w:eastAsia="en-US" w:bidi="ar-SA"/>
          </w:rPr>
          <w:t>2013 BCSC 1083</w:t>
        </w:r>
      </w:hyperlink>
      <w:r>
        <w:rPr>
          <w:rFonts w:ascii="arial" w:eastAsia="arial" w:hAnsi="arial" w:cs="arial"/>
          <w:color w:val="000000"/>
          <w:sz w:val="20"/>
          <w:lang w:val="en-US" w:eastAsia="en-US" w:bidi="ar-SA"/>
        </w:rPr>
        <w:t xml:space="preserve"> at para. 19. Bare allegations of wrongdoing, supported only by assumptions and speculation, are not material facts that support a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THE NOTICE OF CIVIL CLAIM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Claims Against Nielsen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The essential claim made against Nielsen is that in the proceedings before Russell and Funt JJ. leading to the orders they made, Nielsen breached duties he owed to the plaintiffs. The legal bases for the claims against him are said to be "profession[al] misconduct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"malfeasance." The latter appears to be a reference to the tort of misfeasance in public office, as the NOCC then refers to the decision of the Supreme Court of Canada in </w:t>
      </w:r>
      <w:r>
        <w:rPr>
          <w:rFonts w:ascii="arial" w:eastAsia="arial" w:hAnsi="arial" w:cs="arial"/>
          <w:i/>
          <w:color w:val="000000"/>
          <w:sz w:val="20"/>
          <w:lang w:val="en-US" w:eastAsia="en-US" w:bidi="ar-SA"/>
        </w:rPr>
        <w:t>Odhavji Estate v. Woodhouse</w:t>
      </w:r>
      <w:r>
        <w:rPr>
          <w:rFonts w:ascii="arial" w:eastAsia="arial" w:hAnsi="arial" w:cs="arial"/>
          <w:color w:val="000000"/>
          <w:sz w:val="20"/>
          <w:lang w:val="en-US" w:eastAsia="en-US" w:bidi="ar-SA"/>
        </w:rPr>
        <w:t xml:space="preserve">, </w:t>
      </w:r>
      <w:hyperlink r:id="rId285" w:history="1">
        <w:r>
          <w:rPr>
            <w:rFonts w:ascii="arial" w:eastAsia="arial" w:hAnsi="arial" w:cs="arial"/>
            <w:i/>
            <w:color w:val="0077CC"/>
            <w:sz w:val="20"/>
            <w:u w:val="single"/>
            <w:shd w:val="clear" w:color="auto" w:fill="FFFFFF"/>
            <w:lang w:val="en-US" w:eastAsia="en-US" w:bidi="ar-SA"/>
          </w:rPr>
          <w:t>2003 SCC 69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Although the NOCC is poorly drafted, prolix, and difficult to comprehend, the material factual allegations can be summarized as follows:</w:t>
      </w:r>
      <w:r>
        <w:rPr>
          <w:rFonts w:ascii="arial" w:eastAsia="arial" w:hAnsi="arial" w:cs="arial"/>
          <w:sz w:val="20"/>
          <w:lang w:val="en-US" w:eastAsia="en-US" w:bidi="ar-SA"/>
        </w:rPr>
        <w:cr/>
      </w:r>
    </w:p>
    <w:p>
      <w:pPr>
        <w:numPr>
          <w:numId w:val="4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While acting as counsel for the Board, Nielsen made false statements to the court on September 14, 2012, leading to the order of Russell J. I summarize the statements said to be false as follows:</w:t>
      </w:r>
    </w:p>
    <w:p>
      <w:pPr>
        <w:numPr>
          <w:numId w:val="4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plaintiffs' conduct in the context of their occupation is evil;</w:t>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plaintiffs are consciously and deliberately disobeying the law, thereby exposing persons to a deadly carcinogen, asbestos;</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in the last ten years asbestos exposure was responsible for 30% of all deaths arising out of employment, and that in the year before the hearing it was responsible for 44% of such deaths; and</w:t>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Board's application was urgent.</w:t>
      </w:r>
    </w:p>
    <w:p>
      <w:pPr>
        <w:numPr>
          <w:numId w:val="4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Nielsen misled Russell J. in indicating that counsel would arrange for the matter to be fully adjudicated at a later time. He then failed to set the petition for hearing on its merits, and instead applied on the Board's behalf for orders finding the plaintiffs in contempt of court for disobeying the Russell J. order.</w:t>
      </w:r>
    </w:p>
    <w:p>
      <w:pPr>
        <w:numPr>
          <w:numId w:val="4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order of Russell J. as drafted by Nielsen was inaccurate in that:</w:t>
      </w:r>
    </w:p>
    <w:p>
      <w:pPr>
        <w:numPr>
          <w:numId w:val="4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it failed to state that it was "only valid until such time that the Petition is heard, i.e. the next hearing";</w:t>
      </w:r>
    </w:p>
    <w:p>
      <w:pPr>
        <w:numPr>
          <w:numId w:val="5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it failed to state that it was a consent order; and</w:t>
      </w:r>
    </w:p>
    <w:p>
      <w:pPr>
        <w:numPr>
          <w:numId w:val="5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it failed to state that the hearing of the Petition was adjourned.</w:t>
      </w:r>
    </w:p>
    <w:p>
      <w:pPr>
        <w:numPr>
          <w:numId w:val="5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Nielsen failed to advise Funt J. that:</w:t>
      </w:r>
    </w:p>
    <w:p>
      <w:pPr>
        <w:numPr>
          <w:numId w:val="5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Russell J. order did not result from an adjudication of the petition on its merits, as the hearing of the petition had been adjourned;</w:t>
      </w:r>
    </w:p>
    <w:p>
      <w:pPr>
        <w:numPr>
          <w:numId w:val="5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Russell J. order was an interim order, entered into by consent, to be effective until the hearing of the petition; and</w:t>
      </w:r>
    </w:p>
    <w:p>
      <w:pPr>
        <w:numPr>
          <w:numId w:val="5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Nielsen had not reset the petition for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These essential factual allegations are augmented with numerous descriptive allegations characterizing Nielsen's motives and conduct as being, variously: grossly negligent, intentional, deliberate, extremely malicious, dishonest, without integrity, lacking candour, unprofessional, abusing the administration of justice, intending to injure and harm the plaintiffs, and knowingly unlawful.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plaintiffs claim that as a result of Nielsen's conduct, they have suffered loss, damage or injury, as follows:</w:t>
      </w:r>
      <w:r>
        <w:rPr>
          <w:rFonts w:ascii="arial" w:eastAsia="arial" w:hAnsi="arial" w:cs="arial"/>
          <w:sz w:val="20"/>
          <w:lang w:val="en-US" w:eastAsia="en-US" w:bidi="ar-SA"/>
        </w:rPr>
        <w:cr/>
      </w:r>
    </w:p>
    <w:p>
      <w:pPr>
        <w:numPr>
          <w:numId w:val="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 to the reputation and dignity;</w:t>
      </w:r>
    </w:p>
    <w:p>
      <w:pPr>
        <w:numPr>
          <w:numId w:val="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stress, anxiety, loss of health and hardships;</w:t>
      </w:r>
    </w:p>
    <w:p>
      <w:pPr>
        <w:numPr>
          <w:numId w:val="5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humiliation, repulsion, embarrassment and emotional suffering;</w:t>
      </w:r>
    </w:p>
    <w:p>
      <w:pPr>
        <w:numPr>
          <w:numId w:val="5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wounded pride, damage to self-confidence and self-esteem;</w:t>
      </w:r>
    </w:p>
    <w:p>
      <w:pPr>
        <w:numPr>
          <w:numId w:val="6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unnecessary expenditure of legal fees; and</w:t>
      </w:r>
    </w:p>
    <w:p>
      <w:pPr>
        <w:numPr>
          <w:numId w:val="6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financial hardship and loss of income.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Analysis - Strike Application re: Nielsen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It is plain and obvious that the claims against Nielsen cannot succeed.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factual allegations against him are patently without merit.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Russell J. order as drafted was not inaccurate, as it clearly stated that it was made on an interim, "without prejudice" basis. That the order neglected to state that it was made by consent was inconsequential, as this did not affect its validity. Nor is it significant that the order did not expressly state that the hearing of the petition was adjourned. The order was signed by both counsel, and also by Russell J. It was not appealed. Its essential validity is not and cannot be questioned. (In fact, as mentioned, Macintosh J. dismissed the plaintiffs' application to set aside the Russell J. order.) There can be no doubt that Funt J. would have understood that the order was made by consent and was an interim order, but in any event these were not legally significant facts. Had they been relevant, they would surely have been brought to Funt J.'s attention by counsel for the plaintiffs. Instead, counsel for the plaintiffs consented to the order of Funt 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It was open to either side to take steps to reset the hearing of the petition on its merits. While R. 16-1(16.1) requires the petitioner to reset the hearing of a petition that has been adjourned generally, R. 16-1(17) provides that the petition respondent may apply for directions if the petitioner does not reset the hearing within a reasonable time after being requested to do so by the respondent. I have no doubt that an order to set the matter for hearing would ensue in most cases in which directions are sought under R. 16-1(17). The plaintiffs as petition respondents sought the adjournment in order to allow them to prepare for the hearing, but both the Board and the plaintiffs chose not to take steps to reset the hearing. Indeed, the plaintiffs could still do so, but instead they have chosen to bring these proceedings targeting former counsel for the Board.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 portion of the transcript of the hearing before Russell J. is set out in the NOCC itself. This is improper, as material facts, not evidence, are to be pleaded. However, the transcript shows that Nielsen's reference to "evil" was simply a reference to the serious harms the Board was alleging were occurring. His use of the term in the context of his submissions was in no way inappropriate.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Generally speaking, the only party to whom a lawyer owes an actionable duty is his or her client.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In striking out and dismissing claims against opposing counsel based upon their representation of their clients in litigation against the plaintiffs, Madam Justice Wedge summarized the law as follows in </w:t>
      </w:r>
      <w:r>
        <w:rPr>
          <w:rFonts w:ascii="arial" w:eastAsia="arial" w:hAnsi="arial" w:cs="arial"/>
          <w:i/>
          <w:color w:val="000000"/>
          <w:sz w:val="20"/>
          <w:lang w:val="en-US" w:eastAsia="en-US" w:bidi="ar-SA"/>
        </w:rPr>
        <w:t>Lawrence et al v. Sandilands et al</w:t>
      </w:r>
      <w:r>
        <w:rPr>
          <w:rFonts w:ascii="arial" w:eastAsia="arial" w:hAnsi="arial" w:cs="arial"/>
          <w:color w:val="000000"/>
          <w:sz w:val="20"/>
          <w:lang w:val="en-US" w:eastAsia="en-US" w:bidi="ar-SA"/>
        </w:rPr>
        <w:t xml:space="preserve">, </w:t>
      </w:r>
      <w:hyperlink r:id="rId407" w:history="1">
        <w:r>
          <w:rPr>
            <w:rFonts w:ascii="arial" w:eastAsia="arial" w:hAnsi="arial" w:cs="arial"/>
            <w:i/>
            <w:color w:val="0077CC"/>
            <w:sz w:val="20"/>
            <w:u w:val="single"/>
            <w:shd w:val="clear" w:color="auto" w:fill="FFFFFF"/>
            <w:lang w:val="en-US" w:eastAsia="en-US" w:bidi="ar-SA"/>
          </w:rPr>
          <w:t>2003 BCSC 211</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[77] It is well established that in the course of counsel's representation of his or her clients interests, it is to be expected that "...much may be done that is intentionally and necessarily directed toward injuring the opposing party's interests." (</w:t>
      </w:r>
      <w:r>
        <w:rPr>
          <w:rFonts w:ascii="arial" w:eastAsia="arial" w:hAnsi="arial" w:cs="arial"/>
          <w:i/>
          <w:color w:val="000000"/>
          <w:sz w:val="20"/>
          <w:lang w:val="en-US" w:eastAsia="en-US" w:bidi="ar-SA"/>
        </w:rPr>
        <w:t>Crooks v. Manolescu</w:t>
      </w:r>
      <w:r>
        <w:rPr>
          <w:rFonts w:ascii="arial" w:eastAsia="arial" w:hAnsi="arial" w:cs="arial"/>
          <w:color w:val="000000"/>
          <w:sz w:val="20"/>
          <w:lang w:val="en-US" w:eastAsia="en-US" w:bidi="ar-SA"/>
        </w:rPr>
        <w:t xml:space="preserve">, </w:t>
      </w:r>
      <w:hyperlink r:id="rId408" w:history="1">
        <w:r>
          <w:rPr>
            <w:rFonts w:ascii="arial" w:eastAsia="arial" w:hAnsi="arial" w:cs="arial"/>
            <w:i/>
            <w:color w:val="0077CC"/>
            <w:sz w:val="20"/>
            <w:u w:val="single"/>
            <w:shd w:val="clear" w:color="auto" w:fill="FFFFFF"/>
            <w:lang w:val="en-US" w:eastAsia="en-US" w:bidi="ar-SA"/>
          </w:rPr>
          <w:t>[1995] B.C.J. No. 17</w:t>
        </w:r>
      </w:hyperlink>
      <w:r>
        <w:rPr>
          <w:rFonts w:ascii="arial" w:eastAsia="arial" w:hAnsi="arial" w:cs="arial"/>
          <w:color w:val="000000"/>
          <w:sz w:val="20"/>
          <w:lang w:val="en-US" w:eastAsia="en-US" w:bidi="ar-SA"/>
        </w:rPr>
        <w:t xml:space="preserve"> (BCSC) at paragraph 10).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[78] In </w:t>
      </w:r>
      <w:r>
        <w:rPr>
          <w:rFonts w:ascii="arial" w:eastAsia="arial" w:hAnsi="arial" w:cs="arial"/>
          <w:i/>
          <w:color w:val="000000"/>
          <w:sz w:val="20"/>
          <w:lang w:val="en-US" w:eastAsia="en-US" w:bidi="ar-SA"/>
        </w:rPr>
        <w:t>Kamahap Enterprises Ltd. V. Chu's Central Market Ltd</w:t>
      </w:r>
      <w:r>
        <w:rPr>
          <w:rFonts w:ascii="arial" w:eastAsia="arial" w:hAnsi="arial" w:cs="arial"/>
          <w:color w:val="000000"/>
          <w:sz w:val="20"/>
          <w:lang w:val="en-US" w:eastAsia="en-US" w:bidi="ar-SA"/>
        </w:rPr>
        <w:t xml:space="preserve">. </w:t>
      </w:r>
      <w:hyperlink r:id="rId409" w:history="1">
        <w:r>
          <w:rPr>
            <w:rFonts w:ascii="arial" w:eastAsia="arial" w:hAnsi="arial" w:cs="arial"/>
            <w:i/>
            <w:color w:val="0077CC"/>
            <w:sz w:val="20"/>
            <w:u w:val="single"/>
            <w:shd w:val="clear" w:color="auto" w:fill="FFFFFF"/>
            <w:lang w:val="en-US" w:eastAsia="en-US" w:bidi="ar-SA"/>
          </w:rPr>
          <w:t>(1989), 40 B.C.L.R. (2d) 288</w:t>
        </w:r>
      </w:hyperlink>
      <w:r>
        <w:rPr>
          <w:rFonts w:ascii="arial" w:eastAsia="arial" w:hAnsi="arial" w:cs="arial"/>
          <w:color w:val="000000"/>
          <w:sz w:val="20"/>
          <w:lang w:val="en-US" w:eastAsia="en-US" w:bidi="ar-SA"/>
        </w:rPr>
        <w:t xml:space="preserve"> (C.A.), the Court of Appeal said at page 291 and 292:</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cause of action asserted, were it to be upheld, would be one imposing on the solicitors for one party an obligation of care to all others involved in the transaction to see the transaction properly carried into effect, even though the solicitors were retained and paid only by one of them.</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...where the only damage foreseeable is damage to another's pocket or estate -- where there is no foreseeable risk of personal injury or physical property damage -- foreseeability of such economic loss, while essential to the existence of a duty of care, cannot, it now seems clear, generally be regarded as sufficient to create proximity and thus impose such a duty.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[79] While a solicitor may owe an ethical duty to the court to be candid and fair, the only party to whom a solicitor owes an actionable duty is his or her client (</w:t>
      </w:r>
      <w:r>
        <w:rPr>
          <w:rFonts w:ascii="arial" w:eastAsia="arial" w:hAnsi="arial" w:cs="arial"/>
          <w:i/>
          <w:color w:val="000000"/>
          <w:sz w:val="20"/>
          <w:lang w:val="en-US" w:eastAsia="en-US" w:bidi="ar-SA"/>
        </w:rPr>
        <w:t>Jensen v. MacGregor</w:t>
      </w:r>
      <w:r>
        <w:rPr>
          <w:rFonts w:ascii="arial" w:eastAsia="arial" w:hAnsi="arial" w:cs="arial"/>
          <w:color w:val="000000"/>
          <w:sz w:val="20"/>
          <w:lang w:val="en-US" w:eastAsia="en-US" w:bidi="ar-SA"/>
        </w:rPr>
        <w:t xml:space="preserve"> </w:t>
      </w:r>
      <w:hyperlink r:id="rId410" w:history="1">
        <w:r>
          <w:rPr>
            <w:rFonts w:ascii="arial" w:eastAsia="arial" w:hAnsi="arial" w:cs="arial"/>
            <w:i/>
            <w:color w:val="0077CC"/>
            <w:sz w:val="20"/>
            <w:u w:val="single"/>
            <w:shd w:val="clear" w:color="auto" w:fill="FFFFFF"/>
            <w:lang w:val="en-US" w:eastAsia="en-US" w:bidi="ar-SA"/>
          </w:rPr>
          <w:t>(1992), 65 B.C.L.R. (2d) 224</w:t>
        </w:r>
      </w:hyperlink>
      <w:r>
        <w:rPr>
          <w:rFonts w:ascii="arial" w:eastAsia="arial" w:hAnsi="arial" w:cs="arial"/>
          <w:color w:val="000000"/>
          <w:sz w:val="20"/>
          <w:lang w:val="en-US" w:eastAsia="en-US" w:bidi="ar-SA"/>
        </w:rPr>
        <w:t xml:space="preserve"> at p. 228 (BCSC)).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[80] The court in </w:t>
      </w:r>
      <w:r>
        <w:rPr>
          <w:rFonts w:ascii="arial" w:eastAsia="arial" w:hAnsi="arial" w:cs="arial"/>
          <w:i/>
          <w:color w:val="000000"/>
          <w:sz w:val="20"/>
          <w:lang w:val="en-US" w:eastAsia="en-US" w:bidi="ar-SA"/>
        </w:rPr>
        <w:t>Jensen</w:t>
      </w:r>
      <w:r>
        <w:rPr>
          <w:rFonts w:ascii="arial" w:eastAsia="arial" w:hAnsi="arial" w:cs="arial"/>
          <w:color w:val="000000"/>
          <w:sz w:val="20"/>
          <w:lang w:val="en-US" w:eastAsia="en-US" w:bidi="ar-SA"/>
        </w:rPr>
        <w:t xml:space="preserve"> found that in the absence of a contractual obligation and any duty of care owed between counsel for one party and the party adverse in interest, there was no recognizable cause of action, no plausible argument and no triable issue raised on the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There are no facts pleaded that would render these principles inapplicable in this case. For example, no facts are pleaded which could establish that it was clear to both Nielsen and the plaintiffs that the plaintiffs were relying on Nielsen's special skill and knowledge, or that Nielsen knew or ought to have known that the plaintiffs were relying on his special skill and knowledge. In the circumstances of this case such a pleading would be untenable,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In particular, allegations that counsel for the opposing party has misled or intentionally deceived the court resulting in decisions or rulings unfavourable to the claimant do not found actionable breaches of any private duty owed to the claimant: </w:t>
      </w:r>
      <w:r>
        <w:rPr>
          <w:rFonts w:ascii="arial" w:eastAsia="arial" w:hAnsi="arial" w:cs="arial"/>
          <w:i/>
          <w:color w:val="000000"/>
          <w:sz w:val="20"/>
          <w:lang w:val="en-US" w:eastAsia="en-US" w:bidi="ar-SA"/>
        </w:rPr>
        <w:t>Gateway Building Management Limited v. Manjit Singh Randhawa</w:t>
      </w:r>
      <w:r>
        <w:rPr>
          <w:rFonts w:ascii="arial" w:eastAsia="arial" w:hAnsi="arial" w:cs="arial"/>
          <w:color w:val="000000"/>
          <w:sz w:val="20"/>
          <w:lang w:val="en-US" w:eastAsia="en-US" w:bidi="ar-SA"/>
        </w:rPr>
        <w:t xml:space="preserve">, </w:t>
      </w:r>
      <w:hyperlink r:id="rId411" w:history="1">
        <w:r>
          <w:rPr>
            <w:rFonts w:ascii="arial" w:eastAsia="arial" w:hAnsi="arial" w:cs="arial"/>
            <w:i/>
            <w:color w:val="0077CC"/>
            <w:sz w:val="20"/>
            <w:u w:val="single"/>
            <w:shd w:val="clear" w:color="auto" w:fill="FFFFFF"/>
            <w:lang w:val="en-US" w:eastAsia="en-US" w:bidi="ar-SA"/>
          </w:rPr>
          <w:t>2013 BCSC 350</w:t>
        </w:r>
      </w:hyperlink>
      <w:r>
        <w:rPr>
          <w:rFonts w:ascii="arial" w:eastAsia="arial" w:hAnsi="arial" w:cs="arial"/>
          <w:color w:val="000000"/>
          <w:sz w:val="20"/>
          <w:lang w:val="en-US" w:eastAsia="en-US" w:bidi="ar-SA"/>
        </w:rPr>
        <w:t>, at paras. 23 - 26. If it were otherwise, there would be no end to such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real causes of the losses that the plaintiffs complain of are the orders themselves, not the conduct of counsel for the Board. Their alleged damages relate to the orders and their consequences. Both orders were consented to by counsel for the plaintiffs (first Kajoba, then Pyper), and were not appealed. The allegation that the losses alleged by the plaintiffs flow from Nielsen's conduct cannot succeed. Therefore, the plaintiffs' claims against him must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NOCC discloses no reasonable claim against Nielsen, and there is no possibility that the pleadings could be saved by amendment. Accordingly, the pleadings against Nielsen are struck out, and the action is dismissed as against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I adopt my comments regarding abuse of process set out in </w:t>
      </w:r>
      <w:r>
        <w:rPr>
          <w:rFonts w:ascii="arial" w:eastAsia="arial" w:hAnsi="arial" w:cs="arial"/>
          <w:i/>
          <w:color w:val="000000"/>
          <w:sz w:val="20"/>
          <w:lang w:val="en-US" w:eastAsia="en-US" w:bidi="ar-SA"/>
        </w:rPr>
        <w:t>Acumar</w:t>
      </w:r>
      <w:r>
        <w:rPr>
          <w:rFonts w:ascii="arial" w:eastAsia="arial" w:hAnsi="arial" w:cs="arial"/>
          <w:color w:val="000000"/>
          <w:sz w:val="20"/>
          <w:lang w:val="en-US" w:eastAsia="en-US" w:bidi="ar-SA"/>
        </w:rPr>
        <w:t xml:space="preserve"> at paras. 28 - 30: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28 Judges have an inherent and residual discretion to prevent an abuse of the court's process: </w:t>
      </w:r>
      <w:r>
        <w:rPr>
          <w:rFonts w:ascii="arial" w:eastAsia="arial" w:hAnsi="arial" w:cs="arial"/>
          <w:i/>
          <w:color w:val="000000"/>
          <w:sz w:val="20"/>
          <w:lang w:val="en-US" w:eastAsia="en-US" w:bidi="ar-SA"/>
        </w:rPr>
        <w:t>Toronto (City) v. C.U.P.E., Local 79</w:t>
      </w:r>
      <w:r>
        <w:rPr>
          <w:rFonts w:ascii="arial" w:eastAsia="arial" w:hAnsi="arial" w:cs="arial"/>
          <w:color w:val="000000"/>
          <w:sz w:val="20"/>
          <w:lang w:val="en-US" w:eastAsia="en-US" w:bidi="ar-SA"/>
        </w:rPr>
        <w:t xml:space="preserve">, </w:t>
      </w:r>
      <w:hyperlink r:id="rId412" w:history="1">
        <w:r>
          <w:rPr>
            <w:rFonts w:ascii="arial" w:eastAsia="arial" w:hAnsi="arial" w:cs="arial"/>
            <w:i/>
            <w:color w:val="0077CC"/>
            <w:sz w:val="20"/>
            <w:u w:val="single"/>
            <w:shd w:val="clear" w:color="auto" w:fill="FFFFFF"/>
            <w:lang w:val="en-US" w:eastAsia="en-US" w:bidi="ar-SA"/>
          </w:rPr>
          <w:t>[2003] 3 S.C.R. 77</w:t>
        </w:r>
      </w:hyperlink>
      <w:r>
        <w:rPr>
          <w:rFonts w:ascii="arial" w:eastAsia="arial" w:hAnsi="arial" w:cs="arial"/>
          <w:color w:val="000000"/>
          <w:sz w:val="20"/>
          <w:lang w:val="en-US" w:eastAsia="en-US" w:bidi="ar-SA"/>
        </w:rPr>
        <w:t>, at para. 35. There, Arbour J. added: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35 ...This concept of abuse of process was described at common law as proceedings "unfair to the point that they are contrary to the interest of justice" (</w:t>
      </w:r>
      <w:r>
        <w:rPr>
          <w:rFonts w:ascii="arial" w:eastAsia="arial" w:hAnsi="arial" w:cs="arial"/>
          <w:i/>
          <w:color w:val="000000"/>
          <w:sz w:val="20"/>
          <w:lang w:val="en-US" w:eastAsia="en-US" w:bidi="ar-SA"/>
        </w:rPr>
        <w:t>R. v. Power</w:t>
      </w:r>
      <w:r>
        <w:rPr>
          <w:rFonts w:ascii="arial" w:eastAsia="arial" w:hAnsi="arial" w:cs="arial"/>
          <w:color w:val="000000"/>
          <w:sz w:val="20"/>
          <w:lang w:val="en-US" w:eastAsia="en-US" w:bidi="ar-SA"/>
        </w:rPr>
        <w:t xml:space="preserve">, </w:t>
      </w:r>
      <w:hyperlink r:id="rId413" w:history="1">
        <w:r>
          <w:rPr>
            <w:rFonts w:ascii="arial" w:eastAsia="arial" w:hAnsi="arial" w:cs="arial"/>
            <w:i/>
            <w:color w:val="0077CC"/>
            <w:sz w:val="20"/>
            <w:u w:val="single"/>
            <w:shd w:val="clear" w:color="auto" w:fill="FFFFFF"/>
            <w:lang w:val="en-US" w:eastAsia="en-US" w:bidi="ar-SA"/>
          </w:rPr>
          <w:t>[1994] 1 S.C.R. 601</w:t>
        </w:r>
      </w:hyperlink>
      <w:r>
        <w:rPr>
          <w:rFonts w:ascii="arial" w:eastAsia="arial" w:hAnsi="arial" w:cs="arial"/>
          <w:color w:val="000000"/>
          <w:sz w:val="20"/>
          <w:lang w:val="en-US" w:eastAsia="en-US" w:bidi="ar-SA"/>
        </w:rPr>
        <w:t>, at p. 616), and as "oppressive treatment" (</w:t>
      </w:r>
      <w:r>
        <w:rPr>
          <w:rFonts w:ascii="arial" w:eastAsia="arial" w:hAnsi="arial" w:cs="arial"/>
          <w:i/>
          <w:color w:val="000000"/>
          <w:sz w:val="20"/>
          <w:lang w:val="en-US" w:eastAsia="en-US" w:bidi="ar-SA"/>
        </w:rPr>
        <w:t>R. v. Conway</w:t>
      </w:r>
      <w:r>
        <w:rPr>
          <w:rFonts w:ascii="arial" w:eastAsia="arial" w:hAnsi="arial" w:cs="arial"/>
          <w:color w:val="000000"/>
          <w:sz w:val="20"/>
          <w:lang w:val="en-US" w:eastAsia="en-US" w:bidi="ar-SA"/>
        </w:rPr>
        <w:t xml:space="preserve">, </w:t>
      </w:r>
      <w:hyperlink r:id="rId414" w:history="1">
        <w:r>
          <w:rPr>
            <w:rFonts w:ascii="arial" w:eastAsia="arial" w:hAnsi="arial" w:cs="arial"/>
            <w:i/>
            <w:color w:val="0077CC"/>
            <w:sz w:val="20"/>
            <w:u w:val="single"/>
            <w:shd w:val="clear" w:color="auto" w:fill="FFFFFF"/>
            <w:lang w:val="en-US" w:eastAsia="en-US" w:bidi="ar-SA"/>
          </w:rPr>
          <w:t>[1989] 1 S.C.R. 1659</w:t>
        </w:r>
      </w:hyperlink>
      <w:r>
        <w:rPr>
          <w:rFonts w:ascii="arial" w:eastAsia="arial" w:hAnsi="arial" w:cs="arial"/>
          <w:color w:val="000000"/>
          <w:sz w:val="20"/>
          <w:lang w:val="en-US" w:eastAsia="en-US" w:bidi="ar-SA"/>
        </w:rPr>
        <w:t xml:space="preserve">, at p. 1667). McLachlin J. (as she then was) expressed it this way in </w:t>
      </w:r>
      <w:r>
        <w:rPr>
          <w:rFonts w:ascii="arial" w:eastAsia="arial" w:hAnsi="arial" w:cs="arial"/>
          <w:i/>
          <w:color w:val="000000"/>
          <w:sz w:val="20"/>
          <w:lang w:val="en-US" w:eastAsia="en-US" w:bidi="ar-SA"/>
        </w:rPr>
        <w:t>R. v. Scott</w:t>
      </w:r>
      <w:r>
        <w:rPr>
          <w:rFonts w:ascii="arial" w:eastAsia="arial" w:hAnsi="arial" w:cs="arial"/>
          <w:color w:val="000000"/>
          <w:sz w:val="20"/>
          <w:lang w:val="en-US" w:eastAsia="en-US" w:bidi="ar-SA"/>
        </w:rPr>
        <w:t xml:space="preserve">, </w:t>
      </w:r>
      <w:hyperlink r:id="rId415" w:history="1">
        <w:r>
          <w:rPr>
            <w:rFonts w:ascii="arial" w:eastAsia="arial" w:hAnsi="arial" w:cs="arial"/>
            <w:i/>
            <w:color w:val="0077CC"/>
            <w:sz w:val="20"/>
            <w:u w:val="single"/>
            <w:shd w:val="clear" w:color="auto" w:fill="FFFFFF"/>
            <w:lang w:val="en-US" w:eastAsia="en-US" w:bidi="ar-SA"/>
          </w:rPr>
          <w:t>[1990] 3 S.C.R. 979</w:t>
        </w:r>
      </w:hyperlink>
      <w:r>
        <w:rPr>
          <w:rFonts w:ascii="arial" w:eastAsia="arial" w:hAnsi="arial" w:cs="arial"/>
          <w:color w:val="000000"/>
          <w:sz w:val="20"/>
          <w:lang w:val="en-US" w:eastAsia="en-US" w:bidi="ar-SA"/>
        </w:rPr>
        <w:t>, at p. 1007:</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...abuse of process may be established where: (1) the proceedings are oppressive or vexatious; and, (2) violate the fundamental principles of justice underlying the community's sense of fair play and decency. The concepts of oppressiveness and vexatiousness underline the interest of the accused in a fair trial. But the doctrine evokes as well the public interest in a fair and just trial process and the proper administration of justice.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29 As can be seen from the above-noted comments of McLachlin J., there is no bright line dividing vexatious proceedings from those that are an abuse of the court's process. The factors that signal a vexatious proceeding may also signal an abusive process. However abuse of process is a wider concept which can capture any circumstance in which the court's process is used for an improper purpose: </w:t>
      </w:r>
      <w:r>
        <w:rPr>
          <w:rFonts w:ascii="arial" w:eastAsia="arial" w:hAnsi="arial" w:cs="arial"/>
          <w:i/>
          <w:color w:val="000000"/>
          <w:sz w:val="20"/>
          <w:lang w:val="en-US" w:eastAsia="en-US" w:bidi="ar-SA"/>
        </w:rPr>
        <w:t>Freshway Specialty Foods Inc. v. Map Produce LLC, et al</w:t>
      </w:r>
      <w:r>
        <w:rPr>
          <w:rFonts w:ascii="arial" w:eastAsia="arial" w:hAnsi="arial" w:cs="arial"/>
          <w:color w:val="000000"/>
          <w:sz w:val="20"/>
          <w:lang w:val="en-US" w:eastAsia="en-US" w:bidi="ar-SA"/>
        </w:rPr>
        <w:t xml:space="preserve">, </w:t>
      </w:r>
      <w:hyperlink r:id="rId416" w:history="1">
        <w:r>
          <w:rPr>
            <w:rFonts w:ascii="arial" w:eastAsia="arial" w:hAnsi="arial" w:cs="arial"/>
            <w:i/>
            <w:color w:val="0077CC"/>
            <w:sz w:val="20"/>
            <w:u w:val="single"/>
            <w:shd w:val="clear" w:color="auto" w:fill="FFFFFF"/>
            <w:lang w:val="en-US" w:eastAsia="en-US" w:bidi="ar-SA"/>
          </w:rPr>
          <w:t>2005 BCSC 1485</w:t>
        </w:r>
      </w:hyperlink>
      <w:r>
        <w:rPr>
          <w:rFonts w:ascii="arial" w:eastAsia="arial" w:hAnsi="arial" w:cs="arial"/>
          <w:color w:val="000000"/>
          <w:sz w:val="20"/>
          <w:lang w:val="en-US" w:eastAsia="en-US" w:bidi="ar-SA"/>
        </w:rPr>
        <w:t xml:space="preserve"> at para. 52.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30 The categories of abuse of process are open. Abuse of process may be found where "the process of the court is not being fairly or honestly used, or is employed for some ulterior or improper purpose; proceedings which are without foundation or serve no useful purpose and multiple or successive proceedings which cause or are likely to cause vexation or oppression": </w:t>
      </w:r>
      <w:r>
        <w:rPr>
          <w:rFonts w:ascii="arial" w:eastAsia="arial" w:hAnsi="arial" w:cs="arial"/>
          <w:i/>
          <w:color w:val="000000"/>
          <w:sz w:val="20"/>
          <w:lang w:val="en-US" w:eastAsia="en-US" w:bidi="ar-SA"/>
        </w:rPr>
        <w:t>Babavic v. Babowech</w:t>
      </w:r>
      <w:r>
        <w:rPr>
          <w:rFonts w:ascii="arial" w:eastAsia="arial" w:hAnsi="arial" w:cs="arial"/>
          <w:color w:val="000000"/>
          <w:sz w:val="20"/>
          <w:lang w:val="en-US" w:eastAsia="en-US" w:bidi="ar-SA"/>
        </w:rPr>
        <w:t xml:space="preserve">, </w:t>
      </w:r>
      <w:hyperlink r:id="rId417" w:history="1">
        <w:r>
          <w:rPr>
            <w:rFonts w:ascii="arial" w:eastAsia="arial" w:hAnsi="arial" w:cs="arial"/>
            <w:i/>
            <w:color w:val="0077CC"/>
            <w:sz w:val="20"/>
            <w:u w:val="single"/>
            <w:shd w:val="clear" w:color="auto" w:fill="FFFFFF"/>
            <w:lang w:val="en-US" w:eastAsia="en-US" w:bidi="ar-SA"/>
          </w:rPr>
          <w:t>[1993] B.C.J. No. 1802</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The claims brought against Nielsen are so plainly without merit that, when set against the other meritless claims, proceedings, and allegations these same plaintiffs have made, it is clear that they have no foundation, serve no useful purpose, and have been made to harass, vex and oppress Nielsen and the Board. The circumstances fully support the comments of Macintosh J. in </w:t>
      </w:r>
      <w:r>
        <w:rPr>
          <w:rFonts w:ascii="arial" w:eastAsia="arial" w:hAnsi="arial" w:cs="arial"/>
          <w:i/>
          <w:color w:val="000000"/>
          <w:sz w:val="20"/>
          <w:lang w:val="en-US" w:eastAsia="en-US" w:bidi="ar-SA"/>
        </w:rPr>
        <w:t>WCB v. Skylite</w:t>
      </w:r>
      <w:r>
        <w:rPr>
          <w:rFonts w:ascii="arial" w:eastAsia="arial" w:hAnsi="arial" w:cs="arial"/>
          <w:color w:val="000000"/>
          <w:sz w:val="20"/>
          <w:lang w:val="en-US" w:eastAsia="en-US" w:bidi="ar-SA"/>
        </w:rPr>
        <w:t xml:space="preserve"> at para. 64: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Respondents [Seattle, Mike Singh, and Shawn Singh] have decided that the best defence to the Board's repeated complaints against them is an offence. They have sued the Board's counsel for counsel's alleged conduct leading to the 2013 Order. They have sued the Board and Board Officers, alleging discrimination. They brought a complaint to the Human Rights Tribunal, alleging racism by the Board. The Tribunal dismissed that complaint summarily. The Respondents appealed that dismissal to this Court, where their appeal was dismissed. They have appealed that dismissal to the Court of Appeal. The Respondents have incurred penalties at the Board in excess of $200,000. They have paid none of them. The Board has successfully garnisheed only about $6,000 toward those penalties.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claims against Nielsen have not been brought in good faith and have instead an improper purpose. They are also struck, therefore, as being an abuse of the court's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As a result of the above conclusions, I do not find it necessary to decide whether Nielsen's actions are immune from civil liability under ss. 96(1) and 113(4)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or barred by s. 6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2012 c. 13</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Claims Against Born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NOCC seeks an order for damages against Born, and a declaration that the administrative penalty of $5,000 imposed on ESS be declared null and void.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Administrative penalties are imposed under s. 196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While the NOCC alleges that the penalty was imposed against Shawn Singh on the basis that his conduct in relation to the Brooks Street property constituted a breach of the Russell J. order, the evidence placed before the court on the application under R. 9-5(1)(d) shows that the penalty was imposed against ESS, not Shawn Singh. The penalty was imposed under s. 196 for a violation of s. 115(1)(b)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which requires employers to comply with Part 3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(Occupational Health and Safety), the regulations, and any applicable orders. Because ESS was not subject to the Russell J. order, it is clear that the administrative penalty had nothing to do with the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Shawn Singh's complaint is in reality based upon his dissatisfaction with the Board's decision to impose the penalty. The claim is "essentially a challenge to a government decision": </w:t>
      </w:r>
      <w:r>
        <w:rPr>
          <w:rFonts w:ascii="arial" w:eastAsia="arial" w:hAnsi="arial" w:cs="arial"/>
          <w:i/>
          <w:color w:val="000000"/>
          <w:sz w:val="20"/>
          <w:lang w:val="en-US" w:eastAsia="en-US" w:bidi="ar-SA"/>
        </w:rPr>
        <w:t>Stewart v. Clark</w:t>
      </w:r>
      <w:r>
        <w:rPr>
          <w:rFonts w:ascii="arial" w:eastAsia="arial" w:hAnsi="arial" w:cs="arial"/>
          <w:color w:val="000000"/>
          <w:sz w:val="20"/>
          <w:lang w:val="en-US" w:eastAsia="en-US" w:bidi="ar-SA"/>
        </w:rPr>
        <w:t xml:space="preserve">, </w:t>
      </w:r>
      <w:hyperlink r:id="rId418" w:history="1">
        <w:r>
          <w:rPr>
            <w:rFonts w:ascii="arial" w:eastAsia="arial" w:hAnsi="arial" w:cs="arial"/>
            <w:i/>
            <w:color w:val="0077CC"/>
            <w:sz w:val="20"/>
            <w:u w:val="single"/>
            <w:shd w:val="clear" w:color="auto" w:fill="FFFFFF"/>
            <w:lang w:val="en-US" w:eastAsia="en-US" w:bidi="ar-SA"/>
          </w:rPr>
          <w:t>2013 BCCA 359</w:t>
        </w:r>
      </w:hyperlink>
      <w:r>
        <w:rPr>
          <w:rFonts w:ascii="arial" w:eastAsia="arial" w:hAnsi="arial" w:cs="arial"/>
          <w:color w:val="000000"/>
          <w:sz w:val="20"/>
          <w:lang w:val="en-US" w:eastAsia="en-US" w:bidi="ar-SA"/>
        </w:rPr>
        <w:t xml:space="preserve"> at para. 66. That decision was subject to review and appeal in accordance with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and could also be subject to judicial review: </w:t>
      </w:r>
      <w:r>
        <w:rPr>
          <w:rFonts w:ascii="arial" w:eastAsia="arial" w:hAnsi="arial" w:cs="arial"/>
          <w:i/>
          <w:color w:val="000000"/>
          <w:sz w:val="20"/>
          <w:lang w:val="en-US" w:eastAsia="en-US" w:bidi="ar-SA"/>
        </w:rPr>
        <w:t>Seattle</w:t>
      </w:r>
      <w:r>
        <w:rPr>
          <w:rFonts w:ascii="arial" w:eastAsia="arial" w:hAnsi="arial" w:cs="arial"/>
          <w:color w:val="000000"/>
          <w:sz w:val="20"/>
          <w:lang w:val="en-US" w:eastAsia="en-US" w:bidi="ar-SA"/>
        </w:rPr>
        <w:t xml:space="preserve"> at paras. 23-26. It is an abuse of the court's process to use a civil action to collaterally attack decisions of an administrative tribunal that are otherwise subject to a statutory right of appeal or review: </w:t>
      </w:r>
      <w:r>
        <w:rPr>
          <w:rFonts w:ascii="arial" w:eastAsia="arial" w:hAnsi="arial" w:cs="arial"/>
          <w:i/>
          <w:color w:val="000000"/>
          <w:sz w:val="20"/>
          <w:lang w:val="en-US" w:eastAsia="en-US" w:bidi="ar-SA"/>
        </w:rPr>
        <w:t>Cimaco International Sales Inc. v. British Columbia (Attorney General)</w:t>
      </w:r>
      <w:r>
        <w:rPr>
          <w:rFonts w:ascii="arial" w:eastAsia="arial" w:hAnsi="arial" w:cs="arial"/>
          <w:color w:val="000000"/>
          <w:sz w:val="20"/>
          <w:lang w:val="en-US" w:eastAsia="en-US" w:bidi="ar-SA"/>
        </w:rPr>
        <w:t xml:space="preserve">, </w:t>
      </w:r>
      <w:hyperlink r:id="rId399" w:history="1">
        <w:r>
          <w:rPr>
            <w:rFonts w:ascii="arial" w:eastAsia="arial" w:hAnsi="arial" w:cs="arial"/>
            <w:i/>
            <w:color w:val="0077CC"/>
            <w:sz w:val="20"/>
            <w:u w:val="single"/>
            <w:shd w:val="clear" w:color="auto" w:fill="FFFFFF"/>
            <w:lang w:val="en-US" w:eastAsia="en-US" w:bidi="ar-SA"/>
          </w:rPr>
          <w:t>2010 BCCA 342</w:t>
        </w:r>
      </w:hyperlink>
      <w:r>
        <w:rPr>
          <w:rFonts w:ascii="arial" w:eastAsia="arial" w:hAnsi="arial" w:cs="arial"/>
          <w:color w:val="000000"/>
          <w:sz w:val="20"/>
          <w:lang w:val="en-US" w:eastAsia="en-US" w:bidi="ar-SA"/>
        </w:rPr>
        <w:t xml:space="preserve"> at paras. 56-57; </w:t>
      </w:r>
      <w:r>
        <w:rPr>
          <w:rFonts w:ascii="arial" w:eastAsia="arial" w:hAnsi="arial" w:cs="arial"/>
          <w:i/>
          <w:color w:val="000000"/>
          <w:sz w:val="20"/>
          <w:lang w:val="en-US" w:eastAsia="en-US" w:bidi="ar-SA"/>
        </w:rPr>
        <w:t>Stephen v. HMTQ</w:t>
      </w:r>
      <w:r>
        <w:rPr>
          <w:rFonts w:ascii="arial" w:eastAsia="arial" w:hAnsi="arial" w:cs="arial"/>
          <w:color w:val="000000"/>
          <w:sz w:val="20"/>
          <w:lang w:val="en-US" w:eastAsia="en-US" w:bidi="ar-SA"/>
        </w:rPr>
        <w:t xml:space="preserve">, </w:t>
      </w:r>
      <w:hyperlink r:id="rId403" w:history="1">
        <w:r>
          <w:rPr>
            <w:rFonts w:ascii="arial" w:eastAsia="arial" w:hAnsi="arial" w:cs="arial"/>
            <w:i/>
            <w:color w:val="0077CC"/>
            <w:sz w:val="20"/>
            <w:u w:val="single"/>
            <w:shd w:val="clear" w:color="auto" w:fill="FFFFFF"/>
            <w:lang w:val="en-US" w:eastAsia="en-US" w:bidi="ar-SA"/>
          </w:rPr>
          <w:t>2008 BCSC 1656</w:t>
        </w:r>
      </w:hyperlink>
      <w:r>
        <w:rPr>
          <w:rFonts w:ascii="arial" w:eastAsia="arial" w:hAnsi="arial" w:cs="arial"/>
          <w:color w:val="000000"/>
          <w:sz w:val="20"/>
          <w:lang w:val="en-US" w:eastAsia="en-US" w:bidi="ar-SA"/>
        </w:rPr>
        <w:t xml:space="preserve"> at paras. 51-53. This claim is an impermissible collateral attack on the decision of the Board, and thus an abuse of process. The same conclusion was reached by Masuhara J. in very similar proceedings involving these same plaintiffs and Born, among others: </w:t>
      </w:r>
      <w:r>
        <w:rPr>
          <w:rFonts w:ascii="arial" w:eastAsia="arial" w:hAnsi="arial" w:cs="arial"/>
          <w:i/>
          <w:color w:val="000000"/>
          <w:sz w:val="20"/>
          <w:lang w:val="en-US" w:eastAsia="en-US" w:bidi="ar-SA"/>
        </w:rPr>
        <w:t>Seattle</w:t>
      </w:r>
      <w:r>
        <w:rPr>
          <w:rFonts w:ascii="arial" w:eastAsia="arial" w:hAnsi="arial" w:cs="arial"/>
          <w:color w:val="000000"/>
          <w:sz w:val="20"/>
          <w:lang w:val="en-US" w:eastAsia="en-US" w:bidi="ar-SA"/>
        </w:rPr>
        <w:t xml:space="preserve"> at paras. 33 - 36.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The NOCC alleges that Born's conduct was an "abuse of process"; a "collateral attack"; "malicious prosecution"; "malfeasance"; in "extreme bad faith"; "bringing the administration of justice into disrepute"; "without reasonable and probable cause"; "lacking honest belief"; "in retaliation to the Decision of Mr. Justice Macintosh"; an "attempt to gain a private collateral advantage with spite, ill-will, vengeance and interference with economic interests of the Plaintiff [Shawn] Singh"; "harassment"; "deliberate and unlawful"; and "misfeasance in public office". It is not unusual to see such references in pleadings which are, as here, frivolous and vexatious, and an abuse of process. As I said in </w:t>
      </w:r>
      <w:r>
        <w:rPr>
          <w:rFonts w:ascii="arial" w:eastAsia="arial" w:hAnsi="arial" w:cs="arial"/>
          <w:i/>
          <w:color w:val="000000"/>
          <w:sz w:val="20"/>
          <w:lang w:val="en-US" w:eastAsia="en-US" w:bidi="ar-SA"/>
        </w:rPr>
        <w:t>Acumar</w:t>
      </w:r>
      <w:r>
        <w:rPr>
          <w:rFonts w:ascii="arial" w:eastAsia="arial" w:hAnsi="arial" w:cs="arial"/>
          <w:color w:val="000000"/>
          <w:sz w:val="20"/>
          <w:lang w:val="en-US" w:eastAsia="en-US" w:bidi="ar-SA"/>
        </w:rPr>
        <w:t xml:space="preserve"> at para. 41, these words and phrases are, in the context of this case, "...only language, unconnected to any real pleaded facts or causes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The claim is also barred by s. 113(4)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as was determined to be the case in the </w:t>
      </w:r>
      <w:r>
        <w:rPr>
          <w:rFonts w:ascii="arial" w:eastAsia="arial" w:hAnsi="arial" w:cs="arial"/>
          <w:i/>
          <w:color w:val="000000"/>
          <w:sz w:val="20"/>
          <w:lang w:val="en-US" w:eastAsia="en-US" w:bidi="ar-SA"/>
        </w:rPr>
        <w:t>Seattle</w:t>
      </w:r>
      <w:r>
        <w:rPr>
          <w:rFonts w:ascii="arial" w:eastAsia="arial" w:hAnsi="arial" w:cs="arial"/>
          <w:color w:val="000000"/>
          <w:sz w:val="20"/>
          <w:lang w:val="en-US" w:eastAsia="en-US" w:bidi="ar-SA"/>
        </w:rPr>
        <w:t xml:space="preserve"> decision. Paragraph 56 of the NOCC alleges that Born "acted beyond the immunity of any legislation and outside the scope of his employment with WorkSafe BC." No facts are pleaded to support this statement. There is no basis to conclude that the action is not barred by s. 113(4).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the result, the pleadings against Born are struck out as disclosing no reasonable cause of action and being an abuse of process, and the action against him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 CROSS APPLICATIONS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plaintiffs' application was not heard. As against Nielsen and Born, the application is moot. Insofar as that application relates to Kajoba, it is adjourned.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 VEXATIOUS LITIGANTS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applicants contend that since 2013, Mike Singh, Shawn Singh, Seattle, and ESS have commenced, either individually or in various combinations, twelve legal proceedings against the Board, its directors, officers, or employees.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There were two claims brought in the Provincial Court of B.C.; a complaint to the British Columbia Human Rights Tribunal ("BCHRT"); a judicial review of the BCHRT decision dismissing that complaint; an appeal of the judicial review of the BCHRT decision; two judicial reviews of Board decisions; and five civil claims in the Supreme Court of British Columbia. The applicants argue that none of these proceedings have been determined in favour of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Two of the Supreme Court proceedings have been decided against the plaintiffs. One is </w:t>
      </w:r>
      <w:r>
        <w:rPr>
          <w:rFonts w:ascii="arial" w:eastAsia="arial" w:hAnsi="arial" w:cs="arial"/>
          <w:i/>
          <w:color w:val="000000"/>
          <w:sz w:val="20"/>
          <w:lang w:val="en-US" w:eastAsia="en-US" w:bidi="ar-SA"/>
        </w:rPr>
        <w:t>Seattle</w:t>
      </w:r>
      <w:r>
        <w:rPr>
          <w:rFonts w:ascii="arial" w:eastAsia="arial" w:hAnsi="arial" w:cs="arial"/>
          <w:color w:val="000000"/>
          <w:sz w:val="20"/>
          <w:lang w:val="en-US" w:eastAsia="en-US" w:bidi="ar-SA"/>
        </w:rPr>
        <w:t xml:space="preserve">, referred to above, in which the pleadings were struck out and the action dismissed by Masuhara J. on March 31, 2016. On July 22, 2016, in reasons indexed at </w:t>
      </w:r>
      <w:hyperlink r:id="rId419" w:history="1">
        <w:r>
          <w:rPr>
            <w:rFonts w:ascii="arial" w:eastAsia="arial" w:hAnsi="arial" w:cs="arial"/>
            <w:i/>
            <w:color w:val="0077CC"/>
            <w:sz w:val="20"/>
            <w:u w:val="single"/>
            <w:shd w:val="clear" w:color="auto" w:fill="FFFFFF"/>
            <w:lang w:val="en-US" w:eastAsia="en-US" w:bidi="ar-SA"/>
          </w:rPr>
          <w:t>2016 BCSC 1488</w:t>
        </w:r>
      </w:hyperlink>
      <w:r>
        <w:rPr>
          <w:rFonts w:ascii="arial" w:eastAsia="arial" w:hAnsi="arial" w:cs="arial"/>
          <w:color w:val="000000"/>
          <w:sz w:val="20"/>
          <w:lang w:val="en-US" w:eastAsia="en-US" w:bidi="ar-SA"/>
        </w:rPr>
        <w:t>, Macintosh J. dismissed the plaintiffs' action in defamation against the Board in proceeding number S144721. The present case is a third Supreme Court action brought by the plaintiffs against the Board and/or its employees. I am advised that the other two Supreme Court actions are also the subject of defence applications to strike out and dismiss them, and that these applications are scheduled to be heard on January 16 and January 23, 2017. Those proceedings are for judicial review of Board decisions, and are described by the applicants as "malfeasance actions very similar to this action that disclose no reasonable claim." The defendant applicants argue that the conduct of the plaintiffs in these various proceedings display the hallmarks commonly seen with vexatious litigants, such as bringing numerous meritless proceedings, abuse of process, voluminous written materials, and repeated improper and scandalous allegations.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my view it is preferable for the defendants' application for orders in respect of vexatious litigant relief to be adjourned until after the court hears the pending applications for dismissal of the two remaining Supreme Court actions. It is not appropriate for me to comment upon the merits of applications that are pending and that will be heard by another judge of this court. It would also be inefficient.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Therefore I adjourn that application generally. It may be reset at any time but I expect that it would be reset after the other two pending applications are decided.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 am not seized of that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VII.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applicants are entitled to costs of the proceedings. No submission was made for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F.E. VERHOEVEN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26" style="position:absolute;z-index:25187737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20"/>
          <w:headerReference w:type="default" r:id="rId421"/>
          <w:footerReference w:type="even" r:id="rId422"/>
          <w:footerReference w:type="default" r:id="rId423"/>
          <w:headerReference w:type="first" r:id="rId424"/>
          <w:footerReference w:type="first" r:id="rId42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26" w:history="1">
        <w:r>
          <w:rPr>
            <w:rFonts w:ascii="arial" w:eastAsia="arial" w:hAnsi="arial" w:cs="arial"/>
            <w:b/>
            <w:bCs/>
            <w:i/>
            <w:color w:val="0077CC"/>
            <w:kern w:val="32"/>
            <w:sz w:val="28"/>
            <w:szCs w:val="32"/>
            <w:u w:val="single"/>
            <w:shd w:val="clear" w:color="auto" w:fill="FFFFFF"/>
            <w:lang w:val="en-US" w:eastAsia="en-US" w:bidi="ar-SA"/>
          </w:rPr>
          <w:t>Stene v. Sun Life Assurance Co. of Canada, [2018] B.C.J. No. 3704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G.B. Butler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26,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November 22,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S170994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[2018] B.C.J. No. 3704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2018 BCSC 1958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18 B.C.L.R. (6th) 137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51 C.C.E.L. (4th) 325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[2019] 4 W.W.R. 342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86 C.C.L.I. (5th) 252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2018 CarswellBC 3120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Shelia Catriona Stene, Plaintiff, and Sun Life Assurance Company of Canada and Telus Communications Company,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27" style="position:absolute;z-index:2516797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38" w:name="Keywords_19"/>
      <w:bookmarkEnd w:id="138"/>
      <w:r>
        <w:rPr>
          <w:rFonts w:ascii="arial" w:eastAsia="arial" w:hAnsi="arial" w:cs="arial"/>
          <w:b/>
          <w:color w:val="000000"/>
          <w:sz w:val="20"/>
          <w:lang w:val="en-US" w:eastAsia="en-US" w:bidi="ar-SA"/>
        </w:rPr>
        <w:t>Civil Litigation — Civil procedure — Pleadings — Striking out pleadings or allegations — Lack of jurisdiction — Application by defendant Telus Communications Company for order that could decline jurisdiction over claim of plaintiff allowed in part — Plaintiff was employed by Telus — Plaintiff claimed Telus negligently misrepresented extend she would be accommodated following motor vehicle accidents — Plaintiff alleged negligent misrepresentation caused her to settle personal injury action for less money — Plaintiff also claimed Telus intentionally interfered with her legitimate economic interests — Claims related to negligent misrepresentation of accommodation policies and practices fell under collective agreement — Claim related to improvident settlement of personal injury action was allowed to proceed — Canada Labour Code, ss. 57(1), 60(1)(a.1), Labour Relations Act, s. 45(1) — Supreme Court Civil Rules, Rules 9-7, 21-8.</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Labour Law — Collective agreements — Civil actions — When available — Application by defendant Telus Communications Company for order that could decline jurisdiction over claim of plaintiff allowed in part — Plaintiff was employed by Telus — Plaintiff claimed Telus negligently misrepresented extend she would be accommodated following motor vehicle accidents — Plaintiff alleged negligent misrepresentation caused her to settle personal injury action for less money — Plaintiff also claimed Telus intentionally interfered with her legitimate economic interests — Claims related to negligent misrepresentation of accommodation policies and practices fell under collective agreement — Claim related to improvident settlement of personal injury action was allowed to proceed — Canada Labour Code, ss. 57(1), 60(1)(a.1), Labour Relations Act, s. 45(1) — Supreme Court Civil Rules, Rules 9-7, 21-8.</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39" w:name="Case Summary_18"/>
            <w:bookmarkEnd w:id="13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 Telus Communications Company (Telus) for an order that the court decline jurisdiction over the claims of the plaintiff Stene. Stene was employed by Telus. She claimed damages from Telus for allegedly misrepresenting the extent to which Telus would accommodate her reduced capacity to work subsequent to two motor vehicle accidents in 2010 and 2012. Stene alleged that she settled her MVA claims for less than she otherwise would have, in reliance on the negligent misrepresentation that Telus would accommodate her disability. Stene also claimed that Telus intentionally interfered with her legitimate economic interests by deliberately and unlawfully breaching their contractual obligations to her, resulting in economic loss. Telus said this court had no jurisdiction to decide the claims because they arose out of the collective agreement governing the terms and conditions of Stene's employment relationship with Telus and, more specifically, Telus' alleged failure to accommodate her disabilities in the workplace. The collective agreement contained a provision requiring that all grievances arising therefrom be determined by arbitration. Telus said the dispute should be resolved by arbitration.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40" w:name="Holdings of Court_11"/>
            <w:bookmarkEnd w:id="140"/>
            <w:r>
              <w:rPr>
                <w:rFonts w:ascii="arial" w:eastAsia="arial" w:hAnsi="arial" w:cs="arial"/>
                <w:color w:val="000000"/>
                <w:sz w:val="20"/>
                <w:lang w:val="en-US" w:eastAsia="en-US" w:bidi="ar-SA"/>
              </w:rPr>
              <w:t>HELD: Application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claim alleged two misrepresentation claims that were quite different. The first alleged that Telus misrepresented its accommodation policies and practices, which forced Stene to go back to work when she lacked the capacity to do so. She said that she suffered mental distress and pecuniary loss as a result of those misrepresentations. The second claim was that the misrepresentation led to the allegedly improvident settlement of Stene's personal injury claim. The essential character of Stene's claim for negligent misrepresentation relating to the employer's accommodation polices and practices, and her claim for intentional interference with economic relations, fell within the ambit of the collective agreement and were within the exclusive jurisdiction of a labour arbitrator or arbitration board. The court declined jurisdiction to hear those claims. The essential character of Stene's claim for negligent misrepresentation in relation to the improvident settlement of her personal injury action did not fall within the ambit of the collective agreement. That claim was outside the exclusive jurisdiction of labour arbitration and could proceed.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41" w:name="Legislation Cited_16"/>
      <w:bookmarkEnd w:id="14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28" style="position:absolute;z-index:2517309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Canada Labour Code, R.S.C. 1985, c. C-2, s. 57(1), s. 60(1) (a.1)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Canadian Human Rights Act, </w:t>
      </w:r>
      <w:hyperlink r:id="rId427" w:history="1">
        <w:r>
          <w:rPr>
            <w:rFonts w:ascii="arial" w:eastAsia="arial" w:hAnsi="arial" w:cs="arial"/>
            <w:i/>
            <w:color w:val="0077CC"/>
            <w:sz w:val="20"/>
            <w:u w:val="single"/>
            <w:shd w:val="clear" w:color="auto" w:fill="FFFFFF"/>
            <w:lang w:val="en-US" w:eastAsia="en-US" w:bidi="ar-SA"/>
          </w:rPr>
          <w:t>R.S.C. 1985, c. H-6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Labour Relations Act, 1995, S.O. 1995, c. 1 Sch. A, s. 45(1)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Supreme Court Civil Rules, B.C. Reg. 3/2016, Rule 9-7, Rule 21-8</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42" w:name="Counsel_20"/>
      <w:bookmarkEnd w:id="142"/>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29" style="position:absolute;z-index:2517821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Faith Hayman.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Sun Life Assurance Company of Canada: Elizabeth B. Lyall, Q.C.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Telus Communications Company: Alan J. Hamilton, Q.C., Allison Render.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43" w:name="Judgment_20"/>
      <w:bookmarkEnd w:id="143"/>
      <w:r>
        <w:pict>
          <v:line id="_x0000_s1130" style="position:absolute;z-index:25183232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5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44" w:name="G.B. BUTLER J._0"/>
            <w:bookmarkEnd w:id="144"/>
            <w:r>
              <w:rPr>
                <w:rFonts w:ascii="arial" w:eastAsia="arial" w:hAnsi="arial" w:cs="arial"/>
                <w:b/>
                <w:color w:val="000000"/>
                <w:sz w:val="30"/>
                <w:lang w:val="en-US" w:eastAsia="en-US" w:bidi="ar-SA"/>
              </w:rPr>
              <w:t>G.B. BUTLER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Ms. Stene was employed by Telus Communications Company ("Telus") at all material times. She claims damages from Telus for allegedly misrepresenting the extent to which Telus would accommodate her reduced capacity to work subsequent to two motor vehicle accidents in 2010 and 2012 (the "MVA claims"). Ms. Stene alleges she settled her MVA claims for much less than she otherwise would have, in reliance on the negligent misrepresentation that Telus would accommodate her disability. Ms. Stene also claims that Telus intentionally interfered with her legitimate economic interests by deliberately and unlawfully breaching their contractual obligations to her, resulting in economic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Telus brings this application for an order that the court decline jurisdiction over these claims pursuant to Rules 21-8 and/or 9-7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B.C. Reg. 3/2016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It says this court has no jurisdiction to decide the claims because they arise out of the collective agreement governing the terms and conditions of the plaintiff's employment relationship with Telus and, more specifically, Telus' alleged failure to accommodate the plaintiff's disabilities in the workplace. The collective agreement contains a provision requiring that all grievances (defined as "a difference concerning the interpretation, application, administration or an alleged violation" of the collective agreement) arising therefrom be determined by arbitration and says this dispute should be resolved by arbitration.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Ms. Stene is a member of the Telecommunications Workers Union, USW Local 1944 (the "Union") and was employed by Telus as a client account representative. The Union has been Ms. Stene's accredited bargaining agent certified pursuant to the </w:t>
      </w:r>
      <w:r>
        <w:rPr>
          <w:rFonts w:ascii="arial" w:eastAsia="arial" w:hAnsi="arial" w:cs="arial"/>
          <w:i/>
          <w:color w:val="000000"/>
          <w:sz w:val="20"/>
          <w:lang w:val="en-US" w:eastAsia="en-US" w:bidi="ar-SA"/>
        </w:rPr>
        <w:t>Canada Labour Code</w:t>
      </w:r>
      <w:r>
        <w:rPr>
          <w:rFonts w:ascii="arial" w:eastAsia="arial" w:hAnsi="arial" w:cs="arial"/>
          <w:color w:val="000000"/>
          <w:sz w:val="20"/>
          <w:lang w:val="en-US" w:eastAsia="en-US" w:bidi="ar-SA"/>
        </w:rPr>
        <w:t>, R.S.C., 1985, c. L-2 (the "</w:t>
      </w:r>
      <w:r>
        <w:rPr>
          <w:rFonts w:ascii="arial" w:eastAsia="arial" w:hAnsi="arial" w:cs="arial"/>
          <w:i/>
          <w:color w:val="000000"/>
          <w:sz w:val="20"/>
          <w:lang w:val="en-US" w:eastAsia="en-US" w:bidi="ar-SA"/>
        </w:rPr>
        <w:t>Code</w:t>
      </w:r>
      <w:r>
        <w:rPr>
          <w:rFonts w:ascii="arial" w:eastAsia="arial" w:hAnsi="arial" w:cs="arial"/>
          <w:color w:val="000000"/>
          <w:sz w:val="20"/>
          <w:lang w:val="en-US" w:eastAsia="en-US" w:bidi="ar-SA"/>
        </w:rPr>
        <w:t>"), and the terms of Ms. Stene's employment are governed by the collective agreement entered into between Telus and the Union (the "Collective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Ms. Stene was injured in two separate motor vehicle accidents on July 7, 2010 and February 8, 2012. She went on early maternity leave immediately following the 2010 accident, as she was pregnant at the time, and returned to work in November 2011 while still struggling with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Ms. Stene said the 2012 accident aggravated her injuries sustained in the 2010 accident, from which she never fully recovered. She returned to work at Telus immediately following the 2012 accident but experienced difficulty completing her regular workload and lost employment income as a result. Ms. Stene retained counsel, Mr. Stanley Cope, to represent her in the MVA claims for compensation of losses arising from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By August 2013, Ms. Stene was unable to work and applied for disability benefits from Telus' employee benefit plan administrator, Sun Life Assurance Company of Canada ("Sun Life"). Sun Life approved Ms. Stene's claim in March 2014 and paid her long-term disability benefits until February 6, 2015, when her benefits were terminated. Sun Life did so on the basis that "the medical information on file does not support a severity of condition that would preclude [Ms. Stene] from returning to [her] own occupation in any setting." [Sun Life letter dated July 21,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trial of the MVA claims was scheduled for July 27, 2015. On June 29, 2015, Mr. Cope sent a settlement offer in a letter to counsel for the ICBC defendants. In the letter, Mr. Cope suggested that Ms. Stene would recover $931,000 at trial and indicated that she was prepared to settle both claims for $780,000 plus taxable costs and disbursements.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Cope, subpoenaed Ms. Stene's supervisor at Telus, Mr. Gary McNiven, to testify at the trial and they met on July 3, 2015, to prepare Mr. McNiven's testimony. In the meeting, Mr. McNiven is alleged to have misrepresented the extent to which Telus' accommodation policies and practices would allow Ms. Stene to continue in her role at Telus (the "McNiven Representation"). Ms. Stene alleges that this misrepresentation led Mr. Cope to conclude that a court would likely find Ms. Stene's loss of earning capacity claim to be much less than what Mr. Cope had previously considered in his June 29, 2015 letter to counsel for ICBC. Ms. Stene says that she relied on the representation, and instructed Mr. Cope to accept ICBC's formal offer to settle the MVA claims for a total of $325,000 on July 7,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Ms. Stene attempted to return to work at Telus on September 1, 2015. After that date, Telus did not approve Ms. Stene's requests for accommodation to work from home, based on Sun Life's finding that Ms. Stene was able to work full-time in her occupation without any functional limitations. As a result, Ms. Stene was forced to use sick leave for the days she was unable to work because of her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 August 15, 2016 and September 19, 2016, Ms. Stene received reprimands from Telus because she did not report to work on a regular and consistent basis. On December 16, 2016, Ms. Stene's employment status at Telus was downgraded from regular full-time to regular part-time. This change reduced her payable compensation to 12 hours per week, thereby causing her to lose a corresponding level of insurance coverage and pension contributions.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Ms. Stene's subsequent attempts to secure accommodation to work from home were rejected by Telus, most recently in November 2017. Ms. Stene stopped working in November 2017 and applied for short-term disability benefits. Telus declined her application for short-term disability benefits on February 8, 2018.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Amended Notice of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At the hearing of the application, Ms. Stene had prepared an Amended Notice of Civil Claim that had not been filed. By agreement of the parties, the application proceeded on the basis of the allegations in the amended pleading. It was filed on May 30, 2018. The Amended Notice of Civil Claim sets out the facts summarized above. At paras. 12-14, Ms. Stene sets out detailed allegations of the matters summarized above to support her claim that Telus and Sun Life forced her back to work by mischaracterizing her ability to work and failing to acknowledge her disability. The Amended Notice of Civil Claim also makes the following allegations:</w:t>
      </w:r>
      <w:r>
        <w:rPr>
          <w:rFonts w:ascii="arial" w:eastAsia="arial" w:hAnsi="arial" w:cs="arial"/>
          <w:sz w:val="20"/>
          <w:lang w:val="en-US" w:eastAsia="en-US" w:bidi="ar-SA"/>
        </w:rPr>
        <w:cr/>
      </w:r>
    </w:p>
    <w:p>
      <w:pPr>
        <w:numPr>
          <w:numId w:val="1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Throughout the period of the Plaintiff's past and continuing disability, the Defendants, Telus and Sun Life, were and remain under a duty of good faith to ensure that the Plaintiff would not lose or suffer a diminishment of disability benefits as a result of Sun Life's wrongful administration of her claim.</w:t>
      </w:r>
    </w:p>
    <w:p>
      <w:pPr>
        <w:numPr>
          <w:numId w:val="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jointly and/or severally failed to educate the Plaintiff in relation to her rights under the Policy, failed to provide a copy of the Policy, failed to properly assess the severity of the Plaintiff's persistent motor vehicle collision injury complaints, the Defendant Telus misrepresented its accommodation policies and practices, which forced the Plaintiff to take a settlement of her personal injury claim at a sum that she would not have otherwise have considered, forced the Plaintiff back to work when she lacked the capacity to undertake the same, and wrongfully took advantage of the Plaintiff's financial plight. ...</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September 2017, the Plaintiff submitted another workplace accommodation request to Telus, requesting to be able to work from home. Telus declined her request.</w:t>
      </w:r>
    </w:p>
    <w:p>
      <w:pPr>
        <w:numPr>
          <w:numId w:val="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November 2017, the plaintiff stopped working and applied for short-term disability benefits. In January 2018, Telus declined the plaintiff's application for benefits.</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have wrongfully failed to make appropriate premium payments or contributions to the Plaintiff's Canada Pension, Employment Insurance and health plans.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At para. 26 of the Amended Notice of Civil Claim, Ms. Stene particularizes the breaches of the duty of good faith and fair dealing that she alleges against Telus and Sun Life. At para. 27 and 28, she makes the following allegations:</w:t>
      </w:r>
      <w:r>
        <w:rPr>
          <w:rFonts w:ascii="arial" w:eastAsia="arial" w:hAnsi="arial" w:cs="arial"/>
          <w:sz w:val="20"/>
          <w:lang w:val="en-US" w:eastAsia="en-US" w:bidi="ar-SA"/>
        </w:rPr>
        <w:cr/>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As a result of the Defendant Sun Life's breach of contract and the Defendant Telus's misrepresentation, the plaintiff has suffered mental distress as well as a worsening of her underlying medical condition.</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a further result of the Defendant Sun Life's breach of its obligations under the Policy and the Defendant Telus's misrepresentation, the Plaintiff has suffered pecuniary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plaintiff's misrepresentation claim arising from the McNiven Representation is set out it para. 30:</w:t>
      </w:r>
      <w:r>
        <w:rPr>
          <w:rFonts w:ascii="arial" w:eastAsia="arial" w:hAnsi="arial" w:cs="arial"/>
          <w:sz w:val="20"/>
          <w:lang w:val="en-US" w:eastAsia="en-US" w:bidi="ar-SA"/>
        </w:rPr>
        <w:cr/>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or about the 3rd day of July 2015, the Plaintiff's lawyer met with the Plaintiff's manager at Telus to review his evidence in preparation for the trial of the Plaintiff's personal injury claim which was scheduled to commence on July 27, 2015. The Telus manager advised the Plaintiff's lawyer that Telus had effective accommodation policies which would enable the Plaintiff to continue to work for Telus ("the Representations"). Relying on the Representations, the Plaintiff resolved her personal injury claim a few days later for far less than her predicted future earnings losses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At para. 32, Ms. Stene particularizes her claim for intentional interference with economic relations. She says that in their communications, "Telus invited Sun Life to interfere with the plaintiff's employment and Sun Life did so". She alleges that the interference took place with intent and by deliberate resort to unlawful means.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Code and the Collective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Section 57(1) of the </w:t>
      </w:r>
      <w:r>
        <w:rPr>
          <w:rFonts w:ascii="arial" w:eastAsia="arial" w:hAnsi="arial" w:cs="arial"/>
          <w:i/>
          <w:color w:val="000000"/>
          <w:sz w:val="20"/>
          <w:lang w:val="en-US" w:eastAsia="en-US" w:bidi="ar-SA"/>
        </w:rPr>
        <w:t>Code</w:t>
      </w:r>
      <w:r>
        <w:rPr>
          <w:rFonts w:ascii="arial" w:eastAsia="arial" w:hAnsi="arial" w:cs="arial"/>
          <w:color w:val="000000"/>
          <w:sz w:val="20"/>
          <w:lang w:val="en-US" w:eastAsia="en-US" w:bidi="ar-SA"/>
        </w:rPr>
        <w:t xml:space="preserve"> stipulates a mandatory dispute resolution regime for employer-employee disputes: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57 (1) Every collective agreement shall contain a provision for final settlement without stoppage of work, by arbitration or otherwise, of all differences between the parties to or employees bound by the collective agreement, concerning its interpretation, application, administration or alleged contravention.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Section 60(1)(a.1) of the </w:t>
      </w:r>
      <w:r>
        <w:rPr>
          <w:rFonts w:ascii="arial" w:eastAsia="arial" w:hAnsi="arial" w:cs="arial"/>
          <w:i/>
          <w:color w:val="000000"/>
          <w:sz w:val="20"/>
          <w:lang w:val="en-US" w:eastAsia="en-US" w:bidi="ar-SA"/>
        </w:rPr>
        <w:t>Code</w:t>
      </w:r>
      <w:r>
        <w:rPr>
          <w:rFonts w:ascii="arial" w:eastAsia="arial" w:hAnsi="arial" w:cs="arial"/>
          <w:color w:val="000000"/>
          <w:sz w:val="20"/>
          <w:lang w:val="en-US" w:eastAsia="en-US" w:bidi="ar-SA"/>
        </w:rPr>
        <w:t xml:space="preserve"> further gives an arbitrator or arbitration board: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60(1)(a.1) the power to interpret, apply and give relief in accordance with a statute relating to employment matters, whether or not there is conflict between the statute and the collective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Article 11 of the Collective Agreement provides for a comprehensive grievance and complaint resolution procedure, and Article 12 allows either party to commence arbitration proceedings if the parties fail to resolve their grievance(s) under the Article 11 procedure: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12.01 If the parties have failed to resolve the grievance through the grievance procedure outlined in Article 11, either party may commence arbitration proceedings by providing written notice to the other party within thirty (30) days of the Step 3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Ms. Stene's hours of work are governed by Article A5 of the Collective Agreement. Wages are covered by Attachment A-8, and benefits by the Memorandum of Agreement Appendix A - West Benefits. Article 16 governs Ms. Stene's ability to work from home and disciplinary action is covered under Article 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Article 4.01 of the Collective Agreement expressly incorporates Telus' obligations under federal human rights legislation not to discriminate without proper and just cause, including the obligation to make proper accommodation for disabilities.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Present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Telus argues that Ms. Stene's tort claims for negligent misrepresentation and intentional interference with economic relations are, in their essential character, matters concerning the interpretation, application, administration or alleged contravention of the Collective Agreement, and are therefore within the exclusive jurisdiction of a labour arbitrator or arbitration board in accordance with Article 12 of the Collective Agreement and section 57(1) of the </w:t>
      </w:r>
      <w:r>
        <w:rPr>
          <w:rFonts w:ascii="arial" w:eastAsia="arial" w:hAnsi="arial" w:cs="arial"/>
          <w:i/>
          <w:color w:val="000000"/>
          <w:sz w:val="20"/>
          <w:lang w:val="en-US" w:eastAsia="en-US" w:bidi="ar-SA"/>
        </w:rPr>
        <w:t>Code</w:t>
      </w:r>
      <w:r>
        <w:rPr>
          <w:rFonts w:ascii="arial" w:eastAsia="arial" w:hAnsi="arial" w:cs="arial"/>
          <w:color w:val="000000"/>
          <w:sz w:val="20"/>
          <w:lang w:val="en-US" w:eastAsia="en-US" w:bidi="ar-SA"/>
        </w:rPr>
        <w:t xml:space="preserve">. Telus submits that Mr. McNiven's comments to Mr. Cope on July 3, 2015 were, in substance, about Telus' accommodation practices and obligations under the </w:t>
      </w:r>
      <w:r>
        <w:rPr>
          <w:rFonts w:ascii="arial" w:eastAsia="arial" w:hAnsi="arial" w:cs="arial"/>
          <w:i/>
          <w:color w:val="000000"/>
          <w:sz w:val="20"/>
          <w:lang w:val="en-US" w:eastAsia="en-US" w:bidi="ar-SA"/>
        </w:rPr>
        <w:t>Canadian Human Rights Act</w:t>
      </w:r>
      <w:r>
        <w:rPr>
          <w:rFonts w:ascii="arial" w:eastAsia="arial" w:hAnsi="arial" w:cs="arial"/>
          <w:color w:val="000000"/>
          <w:sz w:val="20"/>
          <w:lang w:val="en-US" w:eastAsia="en-US" w:bidi="ar-SA"/>
        </w:rPr>
        <w:t>, R.S.C., 1985, c. H-6 and the Collective Agreement. Furthermore, Telus argues that its duties of good faith, fair dealing and honest performance can only arise out of contract, and that Ms. Stene's sole employment contract with Telus is the Collective Agreement. As such, Telus submits that the court should decline to hear these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Ms. Stene argues that neither the negligent misrepresentation claim nor the claim for intentional interference with economic relations fall within the parameters of the Collective Agreement. She submits that the core of the issue surrounding the McNiven Representation does not concern Telus' obligations under the Collective Agreement, but rather centers around whether Mr. McNiven communicated a misleading statement inducing Ms. Stene's personal injury lawyer to take a specific course of action with regards to a legal claim that is unrelated to her employment with Telus.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Ms. Stene further submits that her claim against Telus for intentional interference with economic relations by inviting Sun Life to interfere with her employment and breach their respective contractual obligations towards her, including the duty of honest performance, falls outside the scope of the Collective Agreement, as the Collective Agreement does not address Telus' role in relation to Sun Life's adjudication of disability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Telus's application raises three questions:</w:t>
      </w:r>
      <w:r>
        <w:rPr>
          <w:rFonts w:ascii="arial" w:eastAsia="arial" w:hAnsi="arial" w:cs="arial"/>
          <w:sz w:val="20"/>
          <w:lang w:val="en-US" w:eastAsia="en-US" w:bidi="ar-SA"/>
        </w:rPr>
        <w:cr/>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Is Ms. Stene's tort claim for negligent misrepresentation, as set out at paras. 19, 27 and 28 of the Amended Notice of Civil Claim, within the exclusive jurisdiction of a labour arbitrator or arbitration board in accordance with Article 12 of the Collective Agreement and s. 57(1) of the </w:t>
      </w:r>
      <w:r>
        <w:rPr>
          <w:rFonts w:ascii="arial" w:eastAsia="arial" w:hAnsi="arial" w:cs="arial"/>
          <w:i/>
          <w:color w:val="000000"/>
          <w:sz w:val="20"/>
          <w:lang w:val="en-US" w:eastAsia="en-US" w:bidi="ar-SA"/>
        </w:rPr>
        <w:t>Code</w:t>
      </w:r>
      <w:r>
        <w:rPr>
          <w:rFonts w:ascii="arial" w:eastAsia="arial" w:hAnsi="arial" w:cs="arial"/>
          <w:color w:val="000000"/>
          <w:sz w:val="20"/>
          <w:lang w:val="en-US" w:eastAsia="en-US" w:bidi="ar-SA"/>
        </w:rPr>
        <w:t xml:space="preserve"> so that this court should decline to hear it;</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Is Ms. Stene's tort claim for negligent misrepresentation made by Mr. McNiven to Mr. Cope, as set out at para. 30 of the Amended Notice of Civil Claim, within the exclusive jurisdiction of a labour arbitrator or arbitration board in accordance with Article 12 of the Collective Agreement and s. 57(1) of the </w:t>
      </w:r>
      <w:r>
        <w:rPr>
          <w:rFonts w:ascii="arial" w:eastAsia="arial" w:hAnsi="arial" w:cs="arial"/>
          <w:i/>
          <w:color w:val="000000"/>
          <w:sz w:val="20"/>
          <w:lang w:val="en-US" w:eastAsia="en-US" w:bidi="ar-SA"/>
        </w:rPr>
        <w:t>Code</w:t>
      </w:r>
      <w:r>
        <w:rPr>
          <w:rFonts w:ascii="arial" w:eastAsia="arial" w:hAnsi="arial" w:cs="arial"/>
          <w:color w:val="000000"/>
          <w:sz w:val="20"/>
          <w:lang w:val="en-US" w:eastAsia="en-US" w:bidi="ar-SA"/>
        </w:rPr>
        <w:t xml:space="preserve"> so that this court should decline to hear it; and</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Is Ms. Stene's claim against Telus for intentional interference with economic relations within the jurisdiction of a labour arbitrator or arbitration board in accordance with Article 12 of the Collective Agreement and s. 57(1) of the </w:t>
      </w:r>
      <w:r>
        <w:rPr>
          <w:rFonts w:ascii="arial" w:eastAsia="arial" w:hAnsi="arial" w:cs="arial"/>
          <w:i/>
          <w:color w:val="000000"/>
          <w:sz w:val="20"/>
          <w:lang w:val="en-US" w:eastAsia="en-US" w:bidi="ar-SA"/>
        </w:rPr>
        <w:t>Code</w:t>
      </w:r>
      <w:r>
        <w:rPr>
          <w:rFonts w:ascii="arial" w:eastAsia="arial" w:hAnsi="arial" w:cs="arial"/>
          <w:color w:val="000000"/>
          <w:sz w:val="20"/>
          <w:lang w:val="en-US" w:eastAsia="en-US" w:bidi="ar-SA"/>
        </w:rPr>
        <w:t xml:space="preserve"> so that this court should decline to hear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For the reasons that follow, I would answer the first and third questions in the affirmative and the second question in the negative.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The standard I must apply under Rules 9-7 and 21-8 of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xml:space="preserve"> is not controversial. Cases are decided summarily under Rule 9-7 if the court is able to find the necessary facts for that purpose, provided that the judge does not find it is unjust to do so, and even though there may be disputed issues of fact and law: </w:t>
      </w:r>
      <w:r>
        <w:rPr>
          <w:rFonts w:ascii="arial" w:eastAsia="arial" w:hAnsi="arial" w:cs="arial"/>
          <w:i/>
          <w:color w:val="000000"/>
          <w:sz w:val="20"/>
          <w:lang w:val="en-US" w:eastAsia="en-US" w:bidi="ar-SA"/>
        </w:rPr>
        <w:t>Inspiration Management Ltd. v. McDermid St. Lawrence Ltd.</w:t>
      </w:r>
      <w:r>
        <w:rPr>
          <w:rFonts w:ascii="arial" w:eastAsia="arial" w:hAnsi="arial" w:cs="arial"/>
          <w:color w:val="000000"/>
          <w:sz w:val="20"/>
          <w:lang w:val="en-US" w:eastAsia="en-US" w:bidi="ar-SA"/>
        </w:rPr>
        <w:t xml:space="preserve">, </w:t>
      </w:r>
      <w:hyperlink r:id="rId179" w:history="1">
        <w:r>
          <w:rPr>
            <w:rFonts w:ascii="arial" w:eastAsia="arial" w:hAnsi="arial" w:cs="arial"/>
            <w:i/>
            <w:color w:val="0077CC"/>
            <w:sz w:val="20"/>
            <w:u w:val="single"/>
            <w:shd w:val="clear" w:color="auto" w:fill="FFFFFF"/>
            <w:lang w:val="en-US" w:eastAsia="en-US" w:bidi="ar-SA"/>
          </w:rPr>
          <w:t>(1989), 36 B.C.L.R. (2d) 202</w:t>
        </w:r>
      </w:hyperlink>
      <w:r>
        <w:rPr>
          <w:rFonts w:ascii="arial" w:eastAsia="arial" w:hAnsi="arial" w:cs="arial"/>
          <w:color w:val="000000"/>
          <w:sz w:val="20"/>
          <w:lang w:val="en-US" w:eastAsia="en-US" w:bidi="ar-SA"/>
        </w:rPr>
        <w:t xml:space="preserve"> (C.A.) at p. 211. A determination as to suitability for summary trial involves the exercise of discretion: </w:t>
      </w:r>
      <w:r>
        <w:rPr>
          <w:rFonts w:ascii="arial" w:eastAsia="arial" w:hAnsi="arial" w:cs="arial"/>
          <w:i/>
          <w:color w:val="000000"/>
          <w:sz w:val="20"/>
          <w:lang w:val="en-US" w:eastAsia="en-US" w:bidi="ar-SA"/>
        </w:rPr>
        <w:t>Gichuru v. Pallai</w:t>
      </w:r>
      <w:r>
        <w:rPr>
          <w:rFonts w:ascii="arial" w:eastAsia="arial" w:hAnsi="arial" w:cs="arial"/>
          <w:color w:val="000000"/>
          <w:sz w:val="20"/>
          <w:lang w:val="en-US" w:eastAsia="en-US" w:bidi="ar-SA"/>
        </w:rPr>
        <w:t xml:space="preserve">, </w:t>
      </w:r>
      <w:hyperlink r:id="rId428" w:history="1">
        <w:r>
          <w:rPr>
            <w:rFonts w:ascii="arial" w:eastAsia="arial" w:hAnsi="arial" w:cs="arial"/>
            <w:i/>
            <w:color w:val="0077CC"/>
            <w:sz w:val="20"/>
            <w:u w:val="single"/>
            <w:shd w:val="clear" w:color="auto" w:fill="FFFFFF"/>
            <w:lang w:val="en-US" w:eastAsia="en-US" w:bidi="ar-SA"/>
          </w:rPr>
          <w:t>2013 BCCA 60</w:t>
        </w:r>
      </w:hyperlink>
      <w:r>
        <w:rPr>
          <w:rFonts w:ascii="arial" w:eastAsia="arial" w:hAnsi="arial" w:cs="arial"/>
          <w:color w:val="000000"/>
          <w:sz w:val="20"/>
          <w:lang w:val="en-US" w:eastAsia="en-US" w:bidi="ar-SA"/>
        </w:rPr>
        <w:t xml:space="preserve"> at para. 34. Such discretion must be exercised with regard to the objects of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xml:space="preserve">, as stated in Rule 1-3, to secure the just, speedy and inexpensive determination of every proceeding on its merits: </w:t>
      </w:r>
      <w:r>
        <w:rPr>
          <w:rFonts w:ascii="arial" w:eastAsia="arial" w:hAnsi="arial" w:cs="arial"/>
          <w:i/>
          <w:color w:val="000000"/>
          <w:sz w:val="20"/>
          <w:lang w:val="en-US" w:eastAsia="en-US" w:bidi="ar-SA"/>
        </w:rPr>
        <w:t>Syukur v. Yeh</w:t>
      </w:r>
      <w:r>
        <w:rPr>
          <w:rFonts w:ascii="arial" w:eastAsia="arial" w:hAnsi="arial" w:cs="arial"/>
          <w:color w:val="000000"/>
          <w:sz w:val="20"/>
          <w:lang w:val="en-US" w:eastAsia="en-US" w:bidi="ar-SA"/>
        </w:rPr>
        <w:t xml:space="preserve">, </w:t>
      </w:r>
      <w:hyperlink r:id="rId429" w:history="1">
        <w:r>
          <w:rPr>
            <w:rFonts w:ascii="arial" w:eastAsia="arial" w:hAnsi="arial" w:cs="arial"/>
            <w:i/>
            <w:color w:val="0077CC"/>
            <w:sz w:val="20"/>
            <w:u w:val="single"/>
            <w:shd w:val="clear" w:color="auto" w:fill="FFFFFF"/>
            <w:lang w:val="en-US" w:eastAsia="en-US" w:bidi="ar-SA"/>
          </w:rPr>
          <w:t>2018 BCSC 1826</w:t>
        </w:r>
      </w:hyperlink>
      <w:r>
        <w:rPr>
          <w:rFonts w:ascii="arial" w:eastAsia="arial" w:hAnsi="arial" w:cs="arial"/>
          <w:color w:val="000000"/>
          <w:sz w:val="20"/>
          <w:lang w:val="en-US" w:eastAsia="en-US" w:bidi="ar-SA"/>
        </w:rPr>
        <w:t xml:space="preserve"> at para. 50. Pursuant to Rule 21-8, I must take the allegations in the Amended Notice of Civil Claim as true for the purposes of this application: </w:t>
      </w:r>
      <w:r>
        <w:rPr>
          <w:rFonts w:ascii="arial" w:eastAsia="arial" w:hAnsi="arial" w:cs="arial"/>
          <w:i/>
          <w:color w:val="000000"/>
          <w:sz w:val="20"/>
          <w:lang w:val="en-US" w:eastAsia="en-US" w:bidi="ar-SA"/>
        </w:rPr>
        <w:t>Bruce v. Cohon</w:t>
      </w:r>
      <w:r>
        <w:rPr>
          <w:rFonts w:ascii="arial" w:eastAsia="arial" w:hAnsi="arial" w:cs="arial"/>
          <w:color w:val="000000"/>
          <w:sz w:val="20"/>
          <w:lang w:val="en-US" w:eastAsia="en-US" w:bidi="ar-SA"/>
        </w:rPr>
        <w:t xml:space="preserve">, </w:t>
      </w:r>
      <w:hyperlink r:id="rId430" w:history="1">
        <w:r>
          <w:rPr>
            <w:rFonts w:ascii="arial" w:eastAsia="arial" w:hAnsi="arial" w:cs="arial"/>
            <w:i/>
            <w:color w:val="0077CC"/>
            <w:sz w:val="20"/>
            <w:u w:val="single"/>
            <w:shd w:val="clear" w:color="auto" w:fill="FFFFFF"/>
            <w:lang w:val="en-US" w:eastAsia="en-US" w:bidi="ar-SA"/>
          </w:rPr>
          <w:t>2016 BCSC 419</w:t>
        </w:r>
      </w:hyperlink>
      <w:r>
        <w:rPr>
          <w:rFonts w:ascii="arial" w:eastAsia="arial" w:hAnsi="arial" w:cs="arial"/>
          <w:color w:val="000000"/>
          <w:sz w:val="20"/>
          <w:lang w:val="en-US" w:eastAsia="en-US" w:bidi="ar-SA"/>
        </w:rPr>
        <w:t xml:space="preserve">, aff'd </w:t>
      </w:r>
      <w:hyperlink r:id="rId431" w:history="1">
        <w:r>
          <w:rPr>
            <w:rFonts w:ascii="arial" w:eastAsia="arial" w:hAnsi="arial" w:cs="arial"/>
            <w:i/>
            <w:color w:val="0077CC"/>
            <w:sz w:val="20"/>
            <w:u w:val="single"/>
            <w:shd w:val="clear" w:color="auto" w:fill="FFFFFF"/>
            <w:lang w:val="en-US" w:eastAsia="en-US" w:bidi="ar-SA"/>
          </w:rPr>
          <w:t>2017 BCCA 186</w:t>
        </w:r>
      </w:hyperlink>
      <w:r>
        <w:rPr>
          <w:rFonts w:ascii="arial" w:eastAsia="arial" w:hAnsi="arial" w:cs="arial"/>
          <w:color w:val="000000"/>
          <w:sz w:val="20"/>
          <w:lang w:val="en-US" w:eastAsia="en-US" w:bidi="ar-SA"/>
        </w:rPr>
        <w:t>. I conclude that I can dispose of the jurisdictional questions raised on this application on a summary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The proper approach for determining jurisdiction in the face of labour legislation providing for mandatory arbitration of employment matters is set out in </w:t>
      </w:r>
      <w:r>
        <w:rPr>
          <w:rFonts w:ascii="arial" w:eastAsia="arial" w:hAnsi="arial" w:cs="arial"/>
          <w:i/>
          <w:color w:val="000000"/>
          <w:sz w:val="20"/>
          <w:lang w:val="en-US" w:eastAsia="en-US" w:bidi="ar-SA"/>
        </w:rPr>
        <w:t>Weber v. Ontario Hydro</w:t>
      </w:r>
      <w:r>
        <w:rPr>
          <w:rFonts w:ascii="arial" w:eastAsia="arial" w:hAnsi="arial" w:cs="arial"/>
          <w:color w:val="000000"/>
          <w:sz w:val="20"/>
          <w:lang w:val="en-US" w:eastAsia="en-US" w:bidi="ar-SA"/>
        </w:rPr>
        <w:t xml:space="preserve">, </w:t>
      </w:r>
      <w:hyperlink r:id="rId432" w:history="1">
        <w:r>
          <w:rPr>
            <w:rFonts w:ascii="arial" w:eastAsia="arial" w:hAnsi="arial" w:cs="arial"/>
            <w:i/>
            <w:color w:val="0077CC"/>
            <w:sz w:val="20"/>
            <w:u w:val="single"/>
            <w:shd w:val="clear" w:color="auto" w:fill="FFFFFF"/>
            <w:lang w:val="en-US" w:eastAsia="en-US" w:bidi="ar-SA"/>
          </w:rPr>
          <w:t>[1995] 2 S.C.R. 929</w:t>
        </w:r>
      </w:hyperlink>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Weber</w:t>
      </w:r>
      <w:r>
        <w:rPr>
          <w:rFonts w:ascii="arial" w:eastAsia="arial" w:hAnsi="arial" w:cs="arial"/>
          <w:color w:val="000000"/>
          <w:sz w:val="20"/>
          <w:lang w:val="en-US" w:eastAsia="en-US" w:bidi="ar-SA"/>
        </w:rPr>
        <w:t xml:space="preserve">, Madam Justice McLachlin (as she then was), writing for the majority, endorsed the exclusive jurisdiction model of labour arbitrator jurisdiction in the context of a mandatory arbitration clause in s. 45(1) of the Ontario </w:t>
      </w:r>
      <w:r>
        <w:rPr>
          <w:rFonts w:ascii="arial" w:eastAsia="arial" w:hAnsi="arial" w:cs="arial"/>
          <w:i/>
          <w:color w:val="000000"/>
          <w:sz w:val="20"/>
          <w:lang w:val="en-US" w:eastAsia="en-US" w:bidi="ar-SA"/>
        </w:rPr>
        <w:t>Labour Relations Act</w:t>
      </w:r>
      <w:r>
        <w:rPr>
          <w:rFonts w:ascii="arial" w:eastAsia="arial" w:hAnsi="arial" w:cs="arial"/>
          <w:color w:val="000000"/>
          <w:sz w:val="20"/>
          <w:lang w:val="en-US" w:eastAsia="en-US" w:bidi="ar-SA"/>
        </w:rPr>
        <w:t xml:space="preserve">, R.S.O. 1990, c. L.2. That provision is similar to s. 57(1) of the </w:t>
      </w:r>
      <w:r>
        <w:rPr>
          <w:rFonts w:ascii="arial" w:eastAsia="arial" w:hAnsi="arial" w:cs="arial"/>
          <w:i/>
          <w:color w:val="000000"/>
          <w:sz w:val="20"/>
          <w:lang w:val="en-US" w:eastAsia="en-US" w:bidi="ar-SA"/>
        </w:rPr>
        <w:t>Code</w:t>
      </w:r>
      <w:r>
        <w:rPr>
          <w:rFonts w:ascii="arial" w:eastAsia="arial" w:hAnsi="arial" w:cs="arial"/>
          <w:color w:val="000000"/>
          <w:sz w:val="20"/>
          <w:lang w:val="en-US" w:eastAsia="en-US" w:bidi="ar-SA"/>
        </w:rPr>
        <w:t>. She explained that the exclusive jurisdiction model requires a decision-maker to define the essential character of the dispute and determine if it arises out of the collective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8051"/>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51</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On this approach, the task of the judge or arbitrator determining the appropriate forum for the proceedings centres on whether the dispute or difference between the parties arises out of the collective agreement. Two elements must be considered: the dispute and the ambit of the collective agreement.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8051"/>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52</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In considering the dispute, the decision-maker must attempt to define its "essential character" [...] In the majority of cases the nature of the dispute will be clear; either it had to do with the collective agreement or it did not. Some cases, however, may be less than obvious. </w:t>
            </w:r>
            <w:r>
              <w:rPr>
                <w:rFonts w:ascii="arial" w:eastAsia="arial" w:hAnsi="arial" w:cs="arial"/>
                <w:color w:val="000000"/>
                <w:sz w:val="18"/>
                <w:u w:val="single"/>
                <w:lang w:val="en-US" w:eastAsia="en-US" w:bidi="ar-SA"/>
              </w:rPr>
              <w:t>The question in each case is whether the dispute, in its essential character, arises from the interpretation, application, administration, or violation of the collective agreement</w:t>
            </w:r>
            <w:r>
              <w:rPr>
                <w:rFonts w:ascii="arial" w:eastAsia="arial" w:hAnsi="arial" w:cs="arial"/>
                <w:color w:val="000000"/>
                <w:sz w:val="18"/>
                <w:lang w:val="en-US" w:eastAsia="en-US" w:bidi="ar-SA"/>
              </w:rPr>
              <w: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Commenting at para. 54 that this approach only forecloses access to the courts for disputes which "expressly or inferentially arise out of the collective agreement", McLachlin J. concluded that ceding exclusive jurisdiction over labour disputes accords with the principles of finality, deference to expertise and judicial economy: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8051"/>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58</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To summarize, the exclusive jurisdiction model gives full credit to the language of s. 45(1) of the </w:t>
            </w:r>
            <w:r>
              <w:rPr>
                <w:rFonts w:ascii="arial" w:eastAsia="arial" w:hAnsi="arial" w:cs="arial"/>
                <w:i/>
                <w:color w:val="000000"/>
                <w:sz w:val="18"/>
                <w:lang w:val="en-US" w:eastAsia="en-US" w:bidi="ar-SA"/>
              </w:rPr>
              <w:t>Labour Relations Act</w:t>
            </w:r>
            <w:r>
              <w:rPr>
                <w:rFonts w:ascii="arial" w:eastAsia="arial" w:hAnsi="arial" w:cs="arial"/>
                <w:color w:val="000000"/>
                <w:sz w:val="18"/>
                <w:lang w:val="en-US" w:eastAsia="en-US" w:bidi="ar-SA"/>
              </w:rPr>
              <w:t xml:space="preserve">. It accords with this Court's approach in </w:t>
            </w:r>
            <w:r>
              <w:rPr>
                <w:rFonts w:ascii="arial" w:eastAsia="arial" w:hAnsi="arial" w:cs="arial"/>
                <w:i/>
                <w:color w:val="000000"/>
                <w:sz w:val="18"/>
                <w:lang w:val="en-US" w:eastAsia="en-US" w:bidi="ar-SA"/>
              </w:rPr>
              <w:t>St. Anne Nackawic</w:t>
            </w:r>
            <w:r>
              <w:rPr>
                <w:rFonts w:ascii="arial" w:eastAsia="arial" w:hAnsi="arial" w:cs="arial"/>
                <w:color w:val="000000"/>
                <w:sz w:val="18"/>
                <w:lang w:val="en-US" w:eastAsia="en-US" w:bidi="ar-SA"/>
              </w:rPr>
              <w:t>. It satisfies the concern that the dispute resolution process which the various labour statutes of this country have established should not be duplicated and undermined by concurrent actions. It conforms to a pattern of growing judicial deference for the arbitration and grievance process and correlative restrictions on the rights of parties to proceed with parallel or overlapping litigation in the courts...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Weber</w:t>
      </w:r>
      <w:r>
        <w:rPr>
          <w:rFonts w:ascii="arial" w:eastAsia="arial" w:hAnsi="arial" w:cs="arial"/>
          <w:color w:val="000000"/>
          <w:sz w:val="20"/>
          <w:lang w:val="en-US" w:eastAsia="en-US" w:bidi="ar-SA"/>
        </w:rPr>
        <w:t>, therefore, sets out two steps for determining jurisdiction in the face of legislation providing for mandatory arbitration of all employment matters: (1) determine the "essential character" of the dispute; and (2) determine the ambit of the collective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Some decisions have distinguished </w:t>
      </w:r>
      <w:r>
        <w:rPr>
          <w:rFonts w:ascii="arial" w:eastAsia="arial" w:hAnsi="arial" w:cs="arial"/>
          <w:i/>
          <w:color w:val="000000"/>
          <w:sz w:val="20"/>
          <w:lang w:val="en-US" w:eastAsia="en-US" w:bidi="ar-SA"/>
        </w:rPr>
        <w:t>Weber</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Pleau v. Canada (Attorney General)</w:t>
      </w:r>
      <w:r>
        <w:rPr>
          <w:rFonts w:ascii="arial" w:eastAsia="arial" w:hAnsi="arial" w:cs="arial"/>
          <w:color w:val="000000"/>
          <w:sz w:val="20"/>
          <w:lang w:val="en-US" w:eastAsia="en-US" w:bidi="ar-SA"/>
        </w:rPr>
        <w:t xml:space="preserve">, </w:t>
      </w:r>
      <w:hyperlink r:id="rId433" w:history="1">
        <w:r>
          <w:rPr>
            <w:rFonts w:ascii="arial" w:eastAsia="arial" w:hAnsi="arial" w:cs="arial"/>
            <w:i/>
            <w:color w:val="0077CC"/>
            <w:sz w:val="20"/>
            <w:u w:val="single"/>
            <w:shd w:val="clear" w:color="auto" w:fill="FFFFFF"/>
            <w:lang w:val="en-US" w:eastAsia="en-US" w:bidi="ar-SA"/>
          </w:rPr>
          <w:t>1999 NSCA 159</w:t>
        </w:r>
      </w:hyperlink>
      <w:r>
        <w:rPr>
          <w:rFonts w:ascii="arial" w:eastAsia="arial" w:hAnsi="arial" w:cs="arial"/>
          <w:color w:val="000000"/>
          <w:sz w:val="20"/>
          <w:lang w:val="en-US" w:eastAsia="en-US" w:bidi="ar-SA"/>
        </w:rPr>
        <w:t xml:space="preserve">, leave to appeal ref'd </w:t>
      </w:r>
      <w:hyperlink r:id="rId434" w:history="1">
        <w:r>
          <w:rPr>
            <w:rFonts w:ascii="arial" w:eastAsia="arial" w:hAnsi="arial" w:cs="arial"/>
            <w:i/>
            <w:color w:val="0077CC"/>
            <w:sz w:val="20"/>
            <w:u w:val="single"/>
            <w:shd w:val="clear" w:color="auto" w:fill="FFFFFF"/>
            <w:lang w:val="en-US" w:eastAsia="en-US" w:bidi="ar-SA"/>
          </w:rPr>
          <w:t>[2000] S.C.C.A. No. 83</w:t>
        </w:r>
      </w:hyperlink>
      <w:r>
        <w:rPr>
          <w:rFonts w:ascii="arial" w:eastAsia="arial" w:hAnsi="arial" w:cs="arial"/>
          <w:color w:val="000000"/>
          <w:sz w:val="20"/>
          <w:lang w:val="en-US" w:eastAsia="en-US" w:bidi="ar-SA"/>
        </w:rPr>
        <w:t xml:space="preserve">, Mr. Justice Cromwell J.A. (as he then was) reasoned that there are three main considerations underpinning </w:t>
      </w:r>
      <w:r>
        <w:rPr>
          <w:rFonts w:ascii="arial" w:eastAsia="arial" w:hAnsi="arial" w:cs="arial"/>
          <w:i/>
          <w:color w:val="000000"/>
          <w:sz w:val="20"/>
          <w:lang w:val="en-US" w:eastAsia="en-US" w:bidi="ar-SA"/>
        </w:rPr>
        <w:t>Weber</w:t>
      </w:r>
      <w:r>
        <w:rPr>
          <w:rFonts w:ascii="arial" w:eastAsia="arial" w:hAnsi="arial" w:cs="arial"/>
          <w:color w:val="000000"/>
          <w:sz w:val="20"/>
          <w:lang w:val="en-US" w:eastAsia="en-US" w:bidi="ar-SA"/>
        </w:rPr>
        <w:t xml:space="preserve"> that must be examined when determining whether the court can exercise jurisdiction over a claim arising out of an employment situation. The first considers the process for resolution of disputes. If the legislation and the collective agreement show a strong preference for a particular dispute resolution process, that should generally be accepted by the courts. Second, if there is a strong preference for a dispute resolution process outside of the courts, then the "essential character" of the dispute must be considered as set out in </w:t>
      </w:r>
      <w:r>
        <w:rPr>
          <w:rFonts w:ascii="arial" w:eastAsia="arial" w:hAnsi="arial" w:cs="arial"/>
          <w:i/>
          <w:color w:val="000000"/>
          <w:sz w:val="20"/>
          <w:lang w:val="en-US" w:eastAsia="en-US" w:bidi="ar-SA"/>
        </w:rPr>
        <w:t>Weber</w:t>
      </w:r>
      <w:r>
        <w:rPr>
          <w:rFonts w:ascii="arial" w:eastAsia="arial" w:hAnsi="arial" w:cs="arial"/>
          <w:color w:val="000000"/>
          <w:sz w:val="20"/>
          <w:lang w:val="en-US" w:eastAsia="en-US" w:bidi="ar-SA"/>
        </w:rPr>
        <w:t xml:space="preserve"> with a view to deciding if the substance of the dispute is governed expressly or by implication by that process. Third is the practical question of whether the process favoured by the parties and the legislature provides effective redress for the alleged breach. In other words, whether the process can provide an effective remedy: paras. 18 to 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Pleau</w:t>
      </w:r>
      <w:r>
        <w:rPr>
          <w:rFonts w:ascii="arial" w:eastAsia="arial" w:hAnsi="arial" w:cs="arial"/>
          <w:color w:val="000000"/>
          <w:sz w:val="20"/>
          <w:lang w:val="en-US" w:eastAsia="en-US" w:bidi="ar-SA"/>
        </w:rPr>
        <w:t xml:space="preserve">, Cromwell J.A. reasoned at para. 79 that, "[t]he Collective Agreement must, expressly or by implication, address the substance of the dispute" in order to bar the court's jurisdiction. He distinguished </w:t>
      </w:r>
      <w:r>
        <w:rPr>
          <w:rFonts w:ascii="arial" w:eastAsia="arial" w:hAnsi="arial" w:cs="arial"/>
          <w:i/>
          <w:color w:val="000000"/>
          <w:sz w:val="20"/>
          <w:lang w:val="en-US" w:eastAsia="en-US" w:bidi="ar-SA"/>
        </w:rPr>
        <w:t>Weber</w:t>
      </w:r>
      <w:r>
        <w:rPr>
          <w:rFonts w:ascii="arial" w:eastAsia="arial" w:hAnsi="arial" w:cs="arial"/>
          <w:color w:val="000000"/>
          <w:sz w:val="20"/>
          <w:lang w:val="en-US" w:eastAsia="en-US" w:bidi="ar-SA"/>
        </w:rPr>
        <w:t xml:space="preserve"> by examining the justification for the majority decision in that case. In contrast to </w:t>
      </w:r>
      <w:r>
        <w:rPr>
          <w:rFonts w:ascii="arial" w:eastAsia="arial" w:hAnsi="arial" w:cs="arial"/>
          <w:i/>
          <w:color w:val="000000"/>
          <w:sz w:val="20"/>
          <w:lang w:val="en-US" w:eastAsia="en-US" w:bidi="ar-SA"/>
        </w:rPr>
        <w:t>Weber</w:t>
      </w:r>
      <w:r>
        <w:rPr>
          <w:rFonts w:ascii="arial" w:eastAsia="arial" w:hAnsi="arial" w:cs="arial"/>
          <w:color w:val="000000"/>
          <w:sz w:val="20"/>
          <w:lang w:val="en-US" w:eastAsia="en-US" w:bidi="ar-SA"/>
        </w:rPr>
        <w:t xml:space="preserve">, the collective agreement in </w:t>
      </w:r>
      <w:r>
        <w:rPr>
          <w:rFonts w:ascii="arial" w:eastAsia="arial" w:hAnsi="arial" w:cs="arial"/>
          <w:i/>
          <w:color w:val="000000"/>
          <w:sz w:val="20"/>
          <w:lang w:val="en-US" w:eastAsia="en-US" w:bidi="ar-SA"/>
        </w:rPr>
        <w:t>Pleau</w:t>
      </w:r>
      <w:r>
        <w:rPr>
          <w:rFonts w:ascii="arial" w:eastAsia="arial" w:hAnsi="arial" w:cs="arial"/>
          <w:color w:val="000000"/>
          <w:sz w:val="20"/>
          <w:lang w:val="en-US" w:eastAsia="en-US" w:bidi="ar-SA"/>
        </w:rPr>
        <w:t>, did not expressly grant exclusive jurisdiction to the grievance process; did not require mandatory third party adjudication; and did not address the substance of the plaintiff's complaints.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All of the decisions in this difficult area make clear that there will be disputes which fall outside of the mandated process. In </w:t>
      </w:r>
      <w:r>
        <w:rPr>
          <w:rFonts w:ascii="arial" w:eastAsia="arial" w:hAnsi="arial" w:cs="arial"/>
          <w:i/>
          <w:color w:val="000000"/>
          <w:sz w:val="20"/>
          <w:lang w:val="en-US" w:eastAsia="en-US" w:bidi="ar-SA"/>
        </w:rPr>
        <w:t>Haight-Smith v. Neden</w:t>
      </w:r>
      <w:r>
        <w:rPr>
          <w:rFonts w:ascii="arial" w:eastAsia="arial" w:hAnsi="arial" w:cs="arial"/>
          <w:color w:val="000000"/>
          <w:sz w:val="20"/>
          <w:lang w:val="en-US" w:eastAsia="en-US" w:bidi="ar-SA"/>
        </w:rPr>
        <w:t xml:space="preserve">, </w:t>
      </w:r>
      <w:hyperlink r:id="rId435" w:history="1">
        <w:r>
          <w:rPr>
            <w:rFonts w:ascii="arial" w:eastAsia="arial" w:hAnsi="arial" w:cs="arial"/>
            <w:i/>
            <w:color w:val="0077CC"/>
            <w:sz w:val="20"/>
            <w:u w:val="single"/>
            <w:shd w:val="clear" w:color="auto" w:fill="FFFFFF"/>
            <w:lang w:val="en-US" w:eastAsia="en-US" w:bidi="ar-SA"/>
          </w:rPr>
          <w:t>2002 BCCA 132</w:t>
        </w:r>
      </w:hyperlink>
      <w:r>
        <w:rPr>
          <w:rFonts w:ascii="arial" w:eastAsia="arial" w:hAnsi="arial" w:cs="arial"/>
          <w:color w:val="000000"/>
          <w:sz w:val="20"/>
          <w:lang w:val="en-US" w:eastAsia="en-US" w:bidi="ar-SA"/>
        </w:rPr>
        <w:t xml:space="preserve">, leave to appeal ref'd </w:t>
      </w:r>
      <w:hyperlink r:id="rId436" w:history="1">
        <w:r>
          <w:rPr>
            <w:rFonts w:ascii="arial" w:eastAsia="arial" w:hAnsi="arial" w:cs="arial"/>
            <w:i/>
            <w:color w:val="0077CC"/>
            <w:sz w:val="20"/>
            <w:u w:val="single"/>
            <w:shd w:val="clear" w:color="auto" w:fill="FFFFFF"/>
            <w:lang w:val="en-US" w:eastAsia="en-US" w:bidi="ar-SA"/>
          </w:rPr>
          <w:t>[2002] S.C.C.A. No. 176</w:t>
        </w:r>
      </w:hyperlink>
      <w:r>
        <w:rPr>
          <w:rFonts w:ascii="arial" w:eastAsia="arial" w:hAnsi="arial" w:cs="arial"/>
          <w:color w:val="000000"/>
          <w:sz w:val="20"/>
          <w:lang w:val="en-US" w:eastAsia="en-US" w:bidi="ar-SA"/>
        </w:rPr>
        <w:t xml:space="preserve">, the court applied </w:t>
      </w:r>
      <w:r>
        <w:rPr>
          <w:rFonts w:ascii="arial" w:eastAsia="arial" w:hAnsi="arial" w:cs="arial"/>
          <w:i/>
          <w:color w:val="000000"/>
          <w:sz w:val="20"/>
          <w:lang w:val="en-US" w:eastAsia="en-US" w:bidi="ar-SA"/>
        </w:rPr>
        <w:t>Weber</w:t>
      </w:r>
      <w:r>
        <w:rPr>
          <w:rFonts w:ascii="arial" w:eastAsia="arial" w:hAnsi="arial" w:cs="arial"/>
          <w:color w:val="000000"/>
          <w:sz w:val="20"/>
          <w:lang w:val="en-US" w:eastAsia="en-US" w:bidi="ar-SA"/>
        </w:rPr>
        <w:t xml:space="preserve"> but noted at para. 30 that courts retain jurisdiction where the dispute does not expressly or inferentially arise out of the collective agreement: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30 The courts retain jurisdiction, however, over disputes which do not expressly or inferentially arise out of the collective agreement (</w:t>
      </w:r>
      <w:r>
        <w:rPr>
          <w:rFonts w:ascii="arial" w:eastAsia="arial" w:hAnsi="arial" w:cs="arial"/>
          <w:i/>
          <w:color w:val="000000"/>
          <w:sz w:val="20"/>
          <w:lang w:val="en-US" w:eastAsia="en-US" w:bidi="ar-SA"/>
        </w:rPr>
        <w:t>Weber</w:t>
      </w:r>
      <w:r>
        <w:rPr>
          <w:rFonts w:ascii="arial" w:eastAsia="arial" w:hAnsi="arial" w:cs="arial"/>
          <w:color w:val="000000"/>
          <w:sz w:val="20"/>
          <w:lang w:val="en-US" w:eastAsia="en-US" w:bidi="ar-SA"/>
        </w:rPr>
        <w:t xml:space="preserve"> at para. 54) and where a remedy is required that an arbitrator is not empowered to grant, in order to avoid a "real deprivation of ultimate remedy" (</w:t>
      </w:r>
      <w:r>
        <w:rPr>
          <w:rFonts w:ascii="arial" w:eastAsia="arial" w:hAnsi="arial" w:cs="arial"/>
          <w:i/>
          <w:color w:val="000000"/>
          <w:sz w:val="20"/>
          <w:lang w:val="en-US" w:eastAsia="en-US" w:bidi="ar-SA"/>
        </w:rPr>
        <w:t>Weber</w:t>
      </w:r>
      <w:r>
        <w:rPr>
          <w:rFonts w:ascii="arial" w:eastAsia="arial" w:hAnsi="arial" w:cs="arial"/>
          <w:color w:val="000000"/>
          <w:sz w:val="20"/>
          <w:lang w:val="en-US" w:eastAsia="en-US" w:bidi="ar-SA"/>
        </w:rPr>
        <w:t xml:space="preserve"> at para. 57, citing Estey J. in </w:t>
      </w:r>
      <w:r>
        <w:rPr>
          <w:rFonts w:ascii="arial" w:eastAsia="arial" w:hAnsi="arial" w:cs="arial"/>
          <w:i/>
          <w:color w:val="000000"/>
          <w:sz w:val="20"/>
          <w:lang w:val="en-US" w:eastAsia="en-US" w:bidi="ar-SA"/>
        </w:rPr>
        <w:t>St. Anne Nackawic Pulp &amp; Paper Co. v. C.P.U., Local 219</w:t>
      </w:r>
      <w:r>
        <w:rPr>
          <w:rFonts w:ascii="arial" w:eastAsia="arial" w:hAnsi="arial" w:cs="arial"/>
          <w:color w:val="000000"/>
          <w:sz w:val="20"/>
          <w:lang w:val="en-US" w:eastAsia="en-US" w:bidi="ar-SA"/>
        </w:rPr>
        <w:t xml:space="preserve">, </w:t>
      </w:r>
      <w:hyperlink r:id="rId437" w:history="1">
        <w:r>
          <w:rPr>
            <w:rFonts w:ascii="arial" w:eastAsia="arial" w:hAnsi="arial" w:cs="arial"/>
            <w:i/>
            <w:color w:val="0077CC"/>
            <w:sz w:val="20"/>
            <w:u w:val="single"/>
            <w:shd w:val="clear" w:color="auto" w:fill="FFFFFF"/>
            <w:lang w:val="en-US" w:eastAsia="en-US" w:bidi="ar-SA"/>
          </w:rPr>
          <w:t>[1986] 1 S.C.R. 704</w:t>
        </w:r>
      </w:hyperlink>
      <w:r>
        <w:rPr>
          <w:rFonts w:ascii="arial" w:eastAsia="arial" w:hAnsi="arial" w:cs="arial"/>
          <w:color w:val="000000"/>
          <w:sz w:val="20"/>
          <w:lang w:val="en-US" w:eastAsia="en-US" w:bidi="ar-SA"/>
        </w:rPr>
        <w:t xml:space="preserve"> (S.C.C.) at p. 723).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Given the circumstances of this case, I will approach the questions raised by examining the three considerations highlighted in </w:t>
      </w:r>
      <w:r>
        <w:rPr>
          <w:rFonts w:ascii="arial" w:eastAsia="arial" w:hAnsi="arial" w:cs="arial"/>
          <w:i/>
          <w:color w:val="000000"/>
          <w:sz w:val="20"/>
          <w:lang w:val="en-US" w:eastAsia="en-US" w:bidi="ar-SA"/>
        </w:rPr>
        <w:t>Pleau</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Process for Resolution of Disputes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The first consideration is whether the legislation and the collective agreement show a strong preference for a particular dispute resolution process. Here, there is no question that the </w:t>
      </w:r>
      <w:r>
        <w:rPr>
          <w:rFonts w:ascii="arial" w:eastAsia="arial" w:hAnsi="arial" w:cs="arial"/>
          <w:i/>
          <w:color w:val="000000"/>
          <w:sz w:val="20"/>
          <w:lang w:val="en-US" w:eastAsia="en-US" w:bidi="ar-SA"/>
        </w:rPr>
        <w:t>Code</w:t>
      </w:r>
      <w:r>
        <w:rPr>
          <w:rFonts w:ascii="arial" w:eastAsia="arial" w:hAnsi="arial" w:cs="arial"/>
          <w:color w:val="000000"/>
          <w:sz w:val="20"/>
          <w:lang w:val="en-US" w:eastAsia="en-US" w:bidi="ar-SA"/>
        </w:rPr>
        <w:t xml:space="preserve"> and the Collective Agreement taken together show a very strong preference for dispute resolution through the grievance process and arbitration if the grievance process fails.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Section 57(1) of the </w:t>
      </w:r>
      <w:r>
        <w:rPr>
          <w:rFonts w:ascii="arial" w:eastAsia="arial" w:hAnsi="arial" w:cs="arial"/>
          <w:i/>
          <w:color w:val="000000"/>
          <w:sz w:val="20"/>
          <w:lang w:val="en-US" w:eastAsia="en-US" w:bidi="ar-SA"/>
        </w:rPr>
        <w:t>Code</w:t>
      </w:r>
      <w:r>
        <w:rPr>
          <w:rFonts w:ascii="arial" w:eastAsia="arial" w:hAnsi="arial" w:cs="arial"/>
          <w:color w:val="000000"/>
          <w:sz w:val="20"/>
          <w:lang w:val="en-US" w:eastAsia="en-US" w:bidi="ar-SA"/>
        </w:rPr>
        <w:t xml:space="preserve"> requires all collective agreements to contain a provision for final settlement of disputes outside of the court process. It is very similar to s. 45(1) of the Ontario </w:t>
      </w:r>
      <w:r>
        <w:rPr>
          <w:rFonts w:ascii="arial" w:eastAsia="arial" w:hAnsi="arial" w:cs="arial"/>
          <w:i/>
          <w:color w:val="000000"/>
          <w:sz w:val="20"/>
          <w:lang w:val="en-US" w:eastAsia="en-US" w:bidi="ar-SA"/>
        </w:rPr>
        <w:t>Labour Relations Act</w:t>
      </w:r>
      <w:r>
        <w:rPr>
          <w:rFonts w:ascii="arial" w:eastAsia="arial" w:hAnsi="arial" w:cs="arial"/>
          <w:color w:val="000000"/>
          <w:sz w:val="20"/>
          <w:lang w:val="en-US" w:eastAsia="en-US" w:bidi="ar-SA"/>
        </w:rPr>
        <w:t xml:space="preserve"> at issue in </w:t>
      </w:r>
      <w:r>
        <w:rPr>
          <w:rFonts w:ascii="arial" w:eastAsia="arial" w:hAnsi="arial" w:cs="arial"/>
          <w:i/>
          <w:color w:val="000000"/>
          <w:sz w:val="20"/>
          <w:lang w:val="en-US" w:eastAsia="en-US" w:bidi="ar-SA"/>
        </w:rPr>
        <w:t>Weber</w:t>
      </w:r>
      <w:r>
        <w:rPr>
          <w:rFonts w:ascii="arial" w:eastAsia="arial" w:hAnsi="arial" w:cs="arial"/>
          <w:color w:val="000000"/>
          <w:sz w:val="20"/>
          <w:lang w:val="en-US" w:eastAsia="en-US" w:bidi="ar-SA"/>
        </w:rPr>
        <w:t>. All disputes concerning the "interpretation, application, administration or alleged contravention of a collective agreement" are to be dealt with in accordance with the dispute resolution process under the Collective Agreement. Accordingly, this court should decline jurisdiction to hear Ms. Stene's tort claims if the essential character of her claims falls within the realm of interpretation, application, administration or alleged contravention of the Collective Agreement.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Essential Character of the Dispute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essential character of the dispute is determined with regard to the facts and context, and not the cause of action pled: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8051"/>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43</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the analysis of whether a matter falls within the exclusive arbitration clause must proceed on the basis of the facts surrounding the dispute between the parties, not on the basis of the legal issues which may be framed. The issue is not whether the action, defined legally, is independent of the collective agreement, but rather whether the dispute is one "arising under [the] collective agreement." Where the dispute, regardless of how it may be characterized legally, arises under the collective agreement, then the jurisdiction to resolve it lies exclusively with the labour tribunal, and the courts cannot try it.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Weber</w:t>
      </w:r>
      <w:r>
        <w:rPr>
          <w:rFonts w:ascii="arial" w:eastAsia="arial" w:hAnsi="arial" w:cs="arial"/>
          <w:color w:val="000000"/>
          <w:sz w:val="20"/>
          <w:lang w:val="en-US" w:eastAsia="en-US" w:bidi="ar-SA"/>
        </w:rPr>
        <w:t>, para. 43.]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Although the plaintiff's tort claims in </w:t>
      </w:r>
      <w:r>
        <w:rPr>
          <w:rFonts w:ascii="arial" w:eastAsia="arial" w:hAnsi="arial" w:cs="arial"/>
          <w:i/>
          <w:color w:val="000000"/>
          <w:sz w:val="20"/>
          <w:lang w:val="en-US" w:eastAsia="en-US" w:bidi="ar-SA"/>
        </w:rPr>
        <w:t>Weber</w:t>
      </w:r>
      <w:r>
        <w:rPr>
          <w:rFonts w:ascii="arial" w:eastAsia="arial" w:hAnsi="arial" w:cs="arial"/>
          <w:color w:val="000000"/>
          <w:sz w:val="20"/>
          <w:lang w:val="en-US" w:eastAsia="en-US" w:bidi="ar-SA"/>
        </w:rPr>
        <w:t xml:space="preserve"> were based on conduct that did not occur in the workplace, the court concluded at para. 73 that they were "directly related to a process which is expressly subject to the grievance procedure" in the parties' collective agreement and as such, in their essential character, concerned the administration of the collective agreement within the meaning of s. 45(1) of the Ontario </w:t>
      </w:r>
      <w:r>
        <w:rPr>
          <w:rFonts w:ascii="arial" w:eastAsia="arial" w:hAnsi="arial" w:cs="arial"/>
          <w:i/>
          <w:color w:val="000000"/>
          <w:sz w:val="20"/>
          <w:lang w:val="en-US" w:eastAsia="en-US" w:bidi="ar-SA"/>
        </w:rPr>
        <w:t>Labour Relations Act</w:t>
      </w:r>
      <w:r>
        <w:rPr>
          <w:rFonts w:ascii="arial" w:eastAsia="arial" w:hAnsi="arial" w:cs="arial"/>
          <w:color w:val="000000"/>
          <w:sz w:val="20"/>
          <w:lang w:val="en-US" w:eastAsia="en-US" w:bidi="ar-SA"/>
        </w:rPr>
        <w:t xml:space="preserve">. The collective agreement in </w:t>
      </w:r>
      <w:r>
        <w:rPr>
          <w:rFonts w:ascii="arial" w:eastAsia="arial" w:hAnsi="arial" w:cs="arial"/>
          <w:i/>
          <w:color w:val="000000"/>
          <w:sz w:val="20"/>
          <w:lang w:val="en-US" w:eastAsia="en-US" w:bidi="ar-SA"/>
        </w:rPr>
        <w:t>Weber</w:t>
      </w:r>
      <w:r>
        <w:rPr>
          <w:rFonts w:ascii="arial" w:eastAsia="arial" w:hAnsi="arial" w:cs="arial"/>
          <w:color w:val="000000"/>
          <w:sz w:val="20"/>
          <w:lang w:val="en-US" w:eastAsia="en-US" w:bidi="ar-SA"/>
        </w:rPr>
        <w:t xml:space="preserve"> extended the grievance procedure to "[a]ny allegation that an employee has been subjected to unfair treatment or any dispute arising out of the context of this Agreement" and further provided that the "benefits of the Ontario Hydro Sick Leave Plan ... shall be considered as part of this Agreement.": </w:t>
      </w:r>
      <w:r>
        <w:rPr>
          <w:rFonts w:ascii="arial" w:eastAsia="arial" w:hAnsi="arial" w:cs="arial"/>
          <w:i/>
          <w:color w:val="000000"/>
          <w:sz w:val="20"/>
          <w:lang w:val="en-US" w:eastAsia="en-US" w:bidi="ar-SA"/>
        </w:rPr>
        <w:t>Weber</w:t>
      </w:r>
      <w:r>
        <w:rPr>
          <w:rFonts w:ascii="arial" w:eastAsia="arial" w:hAnsi="arial" w:cs="arial"/>
          <w:color w:val="000000"/>
          <w:sz w:val="20"/>
          <w:lang w:val="en-US" w:eastAsia="en-US" w:bidi="ar-SA"/>
        </w:rPr>
        <w:t>, para. 72.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McLachlin C.J.C. later commented on her findings in </w:t>
      </w:r>
      <w:r>
        <w:rPr>
          <w:rFonts w:ascii="arial" w:eastAsia="arial" w:hAnsi="arial" w:cs="arial"/>
          <w:i/>
          <w:color w:val="000000"/>
          <w:sz w:val="20"/>
          <w:lang w:val="en-US" w:eastAsia="en-US" w:bidi="ar-SA"/>
        </w:rPr>
        <w:t>Weber</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Quebec (Commission des droits de la personne et des droits de la jeunesse) v. Quebec (Attorney General)</w:t>
      </w:r>
      <w:r>
        <w:rPr>
          <w:rFonts w:ascii="arial" w:eastAsia="arial" w:hAnsi="arial" w:cs="arial"/>
          <w:color w:val="000000"/>
          <w:sz w:val="20"/>
          <w:lang w:val="en-US" w:eastAsia="en-US" w:bidi="ar-SA"/>
        </w:rPr>
        <w:t xml:space="preserve">, </w:t>
      </w:r>
      <w:hyperlink r:id="rId438" w:history="1">
        <w:r>
          <w:rPr>
            <w:rFonts w:ascii="arial" w:eastAsia="arial" w:hAnsi="arial" w:cs="arial"/>
            <w:i/>
            <w:color w:val="0077CC"/>
            <w:sz w:val="20"/>
            <w:u w:val="single"/>
            <w:shd w:val="clear" w:color="auto" w:fill="FFFFFF"/>
            <w:lang w:val="en-US" w:eastAsia="en-US" w:bidi="ar-SA"/>
          </w:rPr>
          <w:t>2004 SCC 39</w:t>
        </w:r>
      </w:hyperlink>
      <w:r>
        <w:rPr>
          <w:rFonts w:ascii="arial" w:eastAsia="arial" w:hAnsi="arial" w:cs="arial"/>
          <w:color w:val="000000"/>
          <w:sz w:val="20"/>
          <w:lang w:val="en-US" w:eastAsia="en-US" w:bidi="ar-SA"/>
        </w:rPr>
        <w:t xml:space="preserve"> at para. 22, confirming that legal form is not determinative of jurisdiction: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22 In </w:t>
      </w:r>
      <w:r>
        <w:rPr>
          <w:rFonts w:ascii="arial" w:eastAsia="arial" w:hAnsi="arial" w:cs="arial"/>
          <w:i/>
          <w:color w:val="000000"/>
          <w:sz w:val="20"/>
          <w:lang w:val="en-US" w:eastAsia="en-US" w:bidi="ar-SA"/>
        </w:rPr>
        <w:t>Weber</w:t>
      </w:r>
      <w:r>
        <w:rPr>
          <w:rFonts w:ascii="arial" w:eastAsia="arial" w:hAnsi="arial" w:cs="arial"/>
          <w:color w:val="000000"/>
          <w:sz w:val="20"/>
          <w:lang w:val="en-US" w:eastAsia="en-US" w:bidi="ar-SA"/>
        </w:rPr>
        <w:t>, the dispute clearly arose out of the operation of the collective agreement. It was basically a dispute about sick-leave, which became encumbered with an incidental claim for trespass. In these circumstances, the majority of the Court concluded that it fell squarely within s. 45 and should be determined exclusively by the labour arbitrator.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Similarly, in </w:t>
      </w:r>
      <w:r>
        <w:rPr>
          <w:rFonts w:ascii="arial" w:eastAsia="arial" w:hAnsi="arial" w:cs="arial"/>
          <w:i/>
          <w:color w:val="000000"/>
          <w:sz w:val="20"/>
          <w:lang w:val="en-US" w:eastAsia="en-US" w:bidi="ar-SA"/>
        </w:rPr>
        <w:t>New Brunswick v. O'Leary</w:t>
      </w:r>
      <w:r>
        <w:rPr>
          <w:rFonts w:ascii="arial" w:eastAsia="arial" w:hAnsi="arial" w:cs="arial"/>
          <w:color w:val="000000"/>
          <w:sz w:val="20"/>
          <w:lang w:val="en-US" w:eastAsia="en-US" w:bidi="ar-SA"/>
        </w:rPr>
        <w:t xml:space="preserve">, </w:t>
      </w:r>
      <w:hyperlink r:id="rId439" w:history="1">
        <w:r>
          <w:rPr>
            <w:rFonts w:ascii="arial" w:eastAsia="arial" w:hAnsi="arial" w:cs="arial"/>
            <w:i/>
            <w:color w:val="0077CC"/>
            <w:sz w:val="20"/>
            <w:u w:val="single"/>
            <w:shd w:val="clear" w:color="auto" w:fill="FFFFFF"/>
            <w:lang w:val="en-US" w:eastAsia="en-US" w:bidi="ar-SA"/>
          </w:rPr>
          <w:t>[1995] 2 S.C.R. 967</w:t>
        </w:r>
      </w:hyperlink>
      <w:r>
        <w:rPr>
          <w:rFonts w:ascii="arial" w:eastAsia="arial" w:hAnsi="arial" w:cs="arial"/>
          <w:color w:val="000000"/>
          <w:sz w:val="20"/>
          <w:lang w:val="en-US" w:eastAsia="en-US" w:bidi="ar-SA"/>
        </w:rPr>
        <w:t xml:space="preserve">, the companion case to </w:t>
      </w:r>
      <w:r>
        <w:rPr>
          <w:rFonts w:ascii="arial" w:eastAsia="arial" w:hAnsi="arial" w:cs="arial"/>
          <w:i/>
          <w:color w:val="000000"/>
          <w:sz w:val="20"/>
          <w:lang w:val="en-US" w:eastAsia="en-US" w:bidi="ar-SA"/>
        </w:rPr>
        <w:t>Weber</w:t>
      </w:r>
      <w:r>
        <w:rPr>
          <w:rFonts w:ascii="arial" w:eastAsia="arial" w:hAnsi="arial" w:cs="arial"/>
          <w:color w:val="000000"/>
          <w:sz w:val="20"/>
          <w:lang w:val="en-US" w:eastAsia="en-US" w:bidi="ar-SA"/>
        </w:rPr>
        <w:t xml:space="preserve">, the court held that the lower court erred in ruling, without qualification,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can be the subject of an action independent of the collective agreement. McLachlin J. (as she then was) held at para. 4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can be the subject of an action </w:t>
      </w:r>
      <w:r>
        <w:rPr>
          <w:rFonts w:ascii="arial" w:eastAsia="arial" w:hAnsi="arial" w:cs="arial"/>
          <w:color w:val="000000"/>
          <w:sz w:val="20"/>
          <w:u w:val="single"/>
          <w:lang w:val="en-US" w:eastAsia="en-US" w:bidi="ar-SA"/>
        </w:rPr>
        <w:t>only if the dispute does not arise from the collective agreement</w:t>
      </w:r>
      <w:r>
        <w:rPr>
          <w:rFonts w:ascii="arial" w:eastAsia="arial" w:hAnsi="arial" w:cs="arial"/>
          <w:color w:val="000000"/>
          <w:sz w:val="20"/>
          <w:lang w:val="en-US" w:eastAsia="en-US" w:bidi="ar-SA"/>
        </w:rPr>
        <w:t xml:space="preserve">." [Emphasis added.] </w:t>
      </w:r>
      <w:r>
        <w:rPr>
          <w:rFonts w:ascii="arial" w:eastAsia="arial" w:hAnsi="arial" w:cs="arial"/>
          <w:i/>
          <w:color w:val="000000"/>
          <w:sz w:val="20"/>
          <w:lang w:val="en-US" w:eastAsia="en-US" w:bidi="ar-SA"/>
        </w:rPr>
        <w:t>O'Leary</w:t>
      </w:r>
      <w:r>
        <w:rPr>
          <w:rFonts w:ascii="arial" w:eastAsia="arial" w:hAnsi="arial" w:cs="arial"/>
          <w:color w:val="000000"/>
          <w:sz w:val="20"/>
          <w:lang w:val="en-US" w:eastAsia="en-US" w:bidi="ar-SA"/>
        </w:rPr>
        <w:t xml:space="preserve"> dealt with employee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job, which the court concluded was expressly covered by the collective agreement's provisions concerning workplace safety.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There is no question that duties under human rights legislation are implicit in all collective agreements and are thus arbitrable: </w:t>
      </w:r>
      <w:r>
        <w:rPr>
          <w:rFonts w:ascii="arial" w:eastAsia="arial" w:hAnsi="arial" w:cs="arial"/>
          <w:i/>
          <w:color w:val="000000"/>
          <w:sz w:val="20"/>
          <w:lang w:val="en-US" w:eastAsia="en-US" w:bidi="ar-SA"/>
        </w:rPr>
        <w:t>Parry Sound (District) Social Services Administration Board v. Ontario Public Service Employees Union, Local 324, (O.P.S.E.U.)</w:t>
      </w:r>
      <w:r>
        <w:rPr>
          <w:rFonts w:ascii="arial" w:eastAsia="arial" w:hAnsi="arial" w:cs="arial"/>
          <w:color w:val="000000"/>
          <w:sz w:val="20"/>
          <w:lang w:val="en-US" w:eastAsia="en-US" w:bidi="ar-SA"/>
        </w:rPr>
        <w:t xml:space="preserve">, </w:t>
      </w:r>
      <w:hyperlink r:id="rId440" w:history="1">
        <w:r>
          <w:rPr>
            <w:rFonts w:ascii="arial" w:eastAsia="arial" w:hAnsi="arial" w:cs="arial"/>
            <w:i/>
            <w:color w:val="0077CC"/>
            <w:sz w:val="20"/>
            <w:u w:val="single"/>
            <w:shd w:val="clear" w:color="auto" w:fill="FFFFFF"/>
            <w:lang w:val="en-US" w:eastAsia="en-US" w:bidi="ar-SA"/>
          </w:rPr>
          <w:t>2003 SCC 42</w:t>
        </w:r>
      </w:hyperlink>
      <w:r>
        <w:rPr>
          <w:rFonts w:ascii="arial" w:eastAsia="arial" w:hAnsi="arial" w:cs="arial"/>
          <w:color w:val="000000"/>
          <w:sz w:val="20"/>
          <w:lang w:val="en-US" w:eastAsia="en-US" w:bidi="ar-SA"/>
        </w:rPr>
        <w:t>. This includes the obligation to make proper accommodation for disabilities. Here, the Collective Agreement specifically incorporates Telus' obligations under federal human rights legislation.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This application focuses on two causes of action set out in the claims advanced by Ms. Stene; misrepresentation claims and a claim for intentional interference with economic relations. I have set out the allegations for both in some detail. I will consider the essential character of these disputes separately.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Negligent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One of the difficulties in considering this issue is that the Amended Notice of Civil Claim alleges two misrepresentation claims that are quite different. The first is set out at paras. 19, 27 and 28. Ms. Stene alleges that Telus misrepresented its accommodation policies and practices, which forced her to go back to work when she lacked the capacity to do so. She says that she suffered mental distress and pecuniary loss as a result of these misrepresentations. The second claim, at para. 30, is that the McNiven Representation led to the allegedly improvident settlement of Ms. Stene's MVA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dispute raised by the first of these misrepresentation claims (as set out at paras. 19, 27 and 28) falls within the process set out in the Collective Agreement. The essential character of the dispute relates to matters that are covered in specific provisions of that agreement. For example, hours of work are governed by Article A5, wages are governed by Attachment A-8, and Ms. Stene's benefits are governed by the Memorandum of Agreement Appendix A - West Benefits. Further, Article 16 of the Collective Agreement governs Ms. Stene's ability to work from home and disciplinary action against employees is covered under Article 10 of the Collective Agreement. To the extent that any misrepresentation forced Ms. Stene back to work when she lacked the capacity to do so, resolution of that issue would involve the interpretation and application of the Collective Agreement and Telus' accommodation policies. In other words, the dispute arises out of the operation of the Collective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However, the claim based on the McNiven Representation as set out at para. 30 is more difficult to characterize. The subject matter of Mr. McNiven's representation to Mr. Cope relates to provisions of the Collective Agreement and Telus' accommodation policies. However, just because the subject matter of the representation arises from the Collective Agreement, does not mean that the essential character of the dispute falls within the Collective Agreement. Further, there is a serious issue as to whether Ms. Stene could obtain a remedy under the Collective Agreement for the alleged tortious breach. Accordingly, I will answer the question posed by this claim when I consider the ambit of the Collective Agreement and whether it provides effective redress for the alleged negligent misrepresentation.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Interference with Economic Relations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claim for intentional interference with economic relations arises expressly or inferentially out of the Collective Agreement. All of the allegations that form the basis for this claim are premised on Telus' breach of its contractual obligations of fair dealing, honest performance and good faith. Ms. Stene's sole contractual relationship with Telus arises from the Collective Agreement. It is difficult to see how the essential character of this claim can be framed as anything other than an alleged contravention of the Collective Agreement. Moreover, all of Telus' allegedly tortious conduct under this claim occurred in the course of Ms. Stene's employment and revolve around discrimination, accommodation, the administration of benefits, disciplinary action and employment status, all of which are expressly governed by the Collective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This employment-related claim falls squarely within the jurisdiction of labour arbitration, as it concerns the interpretation, application, administration and alleged contravention of the Collective Agreement. Ms. Stene has no other contractual relationship with Telus on which to ground this claim.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Ambit of the Collective Agreement and Effective Redress of the Dispute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Cromwell J.A. explains the </w:t>
      </w:r>
      <w:r>
        <w:rPr>
          <w:rFonts w:ascii="arial" w:eastAsia="arial" w:hAnsi="arial" w:cs="arial"/>
          <w:i/>
          <w:color w:val="000000"/>
          <w:sz w:val="20"/>
          <w:lang w:val="en-US" w:eastAsia="en-US" w:bidi="ar-SA"/>
        </w:rPr>
        <w:t>Weber</w:t>
      </w:r>
      <w:r>
        <w:rPr>
          <w:rFonts w:ascii="arial" w:eastAsia="arial" w:hAnsi="arial" w:cs="arial"/>
          <w:color w:val="000000"/>
          <w:sz w:val="20"/>
          <w:lang w:val="en-US" w:eastAsia="en-US" w:bidi="ar-SA"/>
        </w:rPr>
        <w:t xml:space="preserve"> approach to determining the ambit of a collective agreement at para. 76 of </w:t>
      </w:r>
      <w:r>
        <w:rPr>
          <w:rFonts w:ascii="arial" w:eastAsia="arial" w:hAnsi="arial" w:cs="arial"/>
          <w:i/>
          <w:color w:val="000000"/>
          <w:sz w:val="20"/>
          <w:lang w:val="en-US" w:eastAsia="en-US" w:bidi="ar-SA"/>
        </w:rPr>
        <w:t>Pleau</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76 Highly relevant to the inquiry is whether the substance of the allegations (as opposed to a particular legal characterization of them) can be located within the collective agreement. For example, in </w:t>
      </w:r>
      <w:r>
        <w:rPr>
          <w:rFonts w:ascii="arial" w:eastAsia="arial" w:hAnsi="arial" w:cs="arial"/>
          <w:i/>
          <w:color w:val="000000"/>
          <w:sz w:val="20"/>
          <w:lang w:val="en-US" w:eastAsia="en-US" w:bidi="ar-SA"/>
        </w:rPr>
        <w:t>Weber</w:t>
      </w:r>
      <w:r>
        <w:rPr>
          <w:rFonts w:ascii="arial" w:eastAsia="arial" w:hAnsi="arial" w:cs="arial"/>
          <w:color w:val="000000"/>
          <w:sz w:val="20"/>
          <w:lang w:val="en-US" w:eastAsia="en-US" w:bidi="ar-SA"/>
        </w:rPr>
        <w:t>, [...] [t]he grievance procedure in that collective agreement applied to "any allegation that an employee has been subjected to unfair treatment or any dispute arising out of the content of this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Regina Police Assn. v. Regina (City) Board of Police Commissioners</w:t>
      </w:r>
      <w:r>
        <w:rPr>
          <w:rFonts w:ascii="arial" w:eastAsia="arial" w:hAnsi="arial" w:cs="arial"/>
          <w:color w:val="000000"/>
          <w:sz w:val="20"/>
          <w:lang w:val="en-US" w:eastAsia="en-US" w:bidi="ar-SA"/>
        </w:rPr>
        <w:t xml:space="preserve">, </w:t>
      </w:r>
      <w:hyperlink r:id="rId441" w:history="1">
        <w:r>
          <w:rPr>
            <w:rFonts w:ascii="arial" w:eastAsia="arial" w:hAnsi="arial" w:cs="arial"/>
            <w:i/>
            <w:color w:val="0077CC"/>
            <w:sz w:val="20"/>
            <w:u w:val="single"/>
            <w:shd w:val="clear" w:color="auto" w:fill="FFFFFF"/>
            <w:lang w:val="en-US" w:eastAsia="en-US" w:bidi="ar-SA"/>
          </w:rPr>
          <w:t>2000 SCC 14</w:t>
        </w:r>
      </w:hyperlink>
      <w:r>
        <w:rPr>
          <w:rFonts w:ascii="arial" w:eastAsia="arial" w:hAnsi="arial" w:cs="arial"/>
          <w:color w:val="000000"/>
          <w:sz w:val="20"/>
          <w:lang w:val="en-US" w:eastAsia="en-US" w:bidi="ar-SA"/>
        </w:rPr>
        <w:t>, Mr. Justice Bastarache comments on the level of precision required in a collective agreement in order for a dispute to fall within its ambit at paras. 25 and 35, concluding that matters which are inferentially provided for in a collective agreement should be subject to the exclusive jurisdiction of labour arbitration: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25 ... Upon determining the essential character of the dispute, the decision-maker must examine the provisions of the collective agreement to determine whether it contemplates some factual situations. </w:t>
      </w:r>
      <w:r>
        <w:rPr>
          <w:rFonts w:ascii="arial" w:eastAsia="arial" w:hAnsi="arial" w:cs="arial"/>
          <w:color w:val="000000"/>
          <w:sz w:val="20"/>
          <w:u w:val="single"/>
          <w:lang w:val="en-US" w:eastAsia="en-US" w:bidi="ar-SA"/>
        </w:rPr>
        <w:t>It is clear that the collective agreement need not provide for the subject matter of the dispute explicitly</w:t>
      </w:r>
      <w:r>
        <w:rPr>
          <w:rFonts w:ascii="arial" w:eastAsia="arial" w:hAnsi="arial" w:cs="arial"/>
          <w:color w:val="000000"/>
          <w:sz w:val="20"/>
          <w:lang w:val="en-US" w:eastAsia="en-US" w:bidi="ar-SA"/>
        </w:rPr>
        <w:t>. If the essential character of the dispute arises either explicitly, or implicitly, from the interpretation, application, administration or violation of the collective agreement, the dispute is within the sole jurisdiction of an arbitrator to decide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35 ... As a result, </w:t>
      </w:r>
      <w:r>
        <w:rPr>
          <w:rFonts w:ascii="arial" w:eastAsia="arial" w:hAnsi="arial" w:cs="arial"/>
          <w:color w:val="000000"/>
          <w:sz w:val="20"/>
          <w:u w:val="single"/>
          <w:lang w:val="en-US" w:eastAsia="en-US" w:bidi="ar-SA"/>
        </w:rPr>
        <w:t>an arbitrator may seize jurisdiction of a dispute even when the factual context of that dispute extends beyond what is expressly provided for in the collective agreement, to include what is inferentially provided</w:t>
      </w:r>
      <w:r>
        <w:rPr>
          <w:rFonts w:ascii="arial" w:eastAsia="arial" w:hAnsi="arial" w:cs="arial"/>
          <w:color w:val="000000"/>
          <w:sz w:val="20"/>
          <w:lang w:val="en-US" w:eastAsia="en-US" w:bidi="ar-SA"/>
        </w:rPr>
        <w:t>. It is whether the subject-matter of the dispute expressly or inferentially is governed by the collective agreement that is determinative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Similarly, in </w:t>
      </w:r>
      <w:r>
        <w:rPr>
          <w:rFonts w:ascii="arial" w:eastAsia="arial" w:hAnsi="arial" w:cs="arial"/>
          <w:i/>
          <w:color w:val="000000"/>
          <w:sz w:val="20"/>
          <w:lang w:val="en-US" w:eastAsia="en-US" w:bidi="ar-SA"/>
        </w:rPr>
        <w:t>Bisaillon v. Concordia University</w:t>
      </w:r>
      <w:r>
        <w:rPr>
          <w:rFonts w:ascii="arial" w:eastAsia="arial" w:hAnsi="arial" w:cs="arial"/>
          <w:color w:val="000000"/>
          <w:sz w:val="20"/>
          <w:lang w:val="en-US" w:eastAsia="en-US" w:bidi="ar-SA"/>
        </w:rPr>
        <w:t xml:space="preserve">, </w:t>
      </w:r>
      <w:hyperlink r:id="rId442" w:history="1">
        <w:r>
          <w:rPr>
            <w:rFonts w:ascii="arial" w:eastAsia="arial" w:hAnsi="arial" w:cs="arial"/>
            <w:i/>
            <w:color w:val="0077CC"/>
            <w:sz w:val="20"/>
            <w:u w:val="single"/>
            <w:shd w:val="clear" w:color="auto" w:fill="FFFFFF"/>
            <w:lang w:val="en-US" w:eastAsia="en-US" w:bidi="ar-SA"/>
          </w:rPr>
          <w:t>2006 SCC 19</w:t>
        </w:r>
      </w:hyperlink>
      <w:r>
        <w:rPr>
          <w:rFonts w:ascii="arial" w:eastAsia="arial" w:hAnsi="arial" w:cs="arial"/>
          <w:color w:val="000000"/>
          <w:sz w:val="20"/>
          <w:lang w:val="en-US" w:eastAsia="en-US" w:bidi="ar-SA"/>
        </w:rPr>
        <w:t xml:space="preserve"> at para. 33, LeBel J., speaking for the majority, noted that the SCC had "clearly adopted a liberal position according to which grievance arbitrators have a broad exclusive jurisdiction over issues relating to conditions of employment, provided that those conditions can be shown to have an express or implicit connection to the collective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Ferreira v. Richmond (City)</w:t>
      </w:r>
      <w:r>
        <w:rPr>
          <w:rFonts w:ascii="arial" w:eastAsia="arial" w:hAnsi="arial" w:cs="arial"/>
          <w:color w:val="000000"/>
          <w:sz w:val="20"/>
          <w:lang w:val="en-US" w:eastAsia="en-US" w:bidi="ar-SA"/>
        </w:rPr>
        <w:t xml:space="preserve">, </w:t>
      </w:r>
      <w:hyperlink r:id="rId443" w:history="1">
        <w:r>
          <w:rPr>
            <w:rFonts w:ascii="arial" w:eastAsia="arial" w:hAnsi="arial" w:cs="arial"/>
            <w:i/>
            <w:color w:val="0077CC"/>
            <w:sz w:val="20"/>
            <w:u w:val="single"/>
            <w:shd w:val="clear" w:color="auto" w:fill="FFFFFF"/>
            <w:lang w:val="en-US" w:eastAsia="en-US" w:bidi="ar-SA"/>
          </w:rPr>
          <w:t>2007 BCCA 131</w:t>
        </w:r>
      </w:hyperlink>
      <w:r>
        <w:rPr>
          <w:rFonts w:ascii="arial" w:eastAsia="arial" w:hAnsi="arial" w:cs="arial"/>
          <w:color w:val="000000"/>
          <w:sz w:val="20"/>
          <w:lang w:val="en-US" w:eastAsia="en-US" w:bidi="ar-SA"/>
        </w:rPr>
        <w:t xml:space="preserve"> at para. 57, Madam Justice Ryan held that allegations of harassment in the workplace due to an employee's status as a whistleblower were intrinsically linked to the employment relationship, and if proven, would constitute a human rights violation, therefore bringing the matter within the exclusive jurisdiction of a labour arbitrator despite the absence of express language in the collective agreement prohibiting harassment or protecting whistleblowers. Ryan J.A. concluded that although the claims were framed as torts, they were not "far outside of the spectrum of typical employment disputes."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Applying these principles to the McNiven Representation claim as set out at para. 30 of the Amended Notice of Civil Claim, the question to ask is whether the substance of the allegation can be located within the Collective Agreement. As set out below, I conclude that it is not within the Collective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First, the Collective Agreement does not contain the far-reaching language found in </w:t>
      </w:r>
      <w:r>
        <w:rPr>
          <w:rFonts w:ascii="arial" w:eastAsia="arial" w:hAnsi="arial" w:cs="arial"/>
          <w:i/>
          <w:color w:val="000000"/>
          <w:sz w:val="20"/>
          <w:lang w:val="en-US" w:eastAsia="en-US" w:bidi="ar-SA"/>
        </w:rPr>
        <w:t>Weber</w:t>
      </w:r>
      <w:r>
        <w:rPr>
          <w:rFonts w:ascii="arial" w:eastAsia="arial" w:hAnsi="arial" w:cs="arial"/>
          <w:color w:val="000000"/>
          <w:sz w:val="20"/>
          <w:lang w:val="en-US" w:eastAsia="en-US" w:bidi="ar-SA"/>
        </w:rPr>
        <w:t xml:space="preserve"> that extends the dispute process to "any allegation that an employee has been subjected to unfair treatment or any dispute arising out of the content of this agreement..." Accordingly, the claim will fall within the ambit of the agreement only if it arises inferentially or implicitly from the interpretation, application, administration or violation of the Collective Agreement. This includes a consideration as to whether it is likely Ms. Stene could obtain a remedy.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Piko v. Hudson's Bay Co.</w:t>
      </w:r>
      <w:r>
        <w:rPr>
          <w:rFonts w:ascii="arial" w:eastAsia="arial" w:hAnsi="arial" w:cs="arial"/>
          <w:color w:val="000000"/>
          <w:sz w:val="20"/>
          <w:lang w:val="en-US" w:eastAsia="en-US" w:bidi="ar-SA"/>
        </w:rPr>
        <w:t xml:space="preserve">, </w:t>
      </w:r>
      <w:hyperlink r:id="rId444" w:history="1">
        <w:r>
          <w:rPr>
            <w:rFonts w:ascii="arial" w:eastAsia="arial" w:hAnsi="arial" w:cs="arial"/>
            <w:i/>
            <w:color w:val="0077CC"/>
            <w:sz w:val="20"/>
            <w:u w:val="single"/>
            <w:shd w:val="clear" w:color="auto" w:fill="FFFFFF"/>
            <w:lang w:val="en-US" w:eastAsia="en-US" w:bidi="ar-SA"/>
          </w:rPr>
          <w:t>[1998] O.J. No. 4714</w:t>
        </w:r>
      </w:hyperlink>
      <w:r>
        <w:rPr>
          <w:rFonts w:ascii="arial" w:eastAsia="arial" w:hAnsi="arial" w:cs="arial"/>
          <w:color w:val="000000"/>
          <w:sz w:val="20"/>
          <w:lang w:val="en-US" w:eastAsia="en-US" w:bidi="ar-SA"/>
        </w:rPr>
        <w:t xml:space="preserve"> (Ont. C.A.), leave to appeal ref'd </w:t>
      </w:r>
      <w:hyperlink r:id="rId445" w:history="1">
        <w:r>
          <w:rPr>
            <w:rFonts w:ascii="arial" w:eastAsia="arial" w:hAnsi="arial" w:cs="arial"/>
            <w:i/>
            <w:color w:val="0077CC"/>
            <w:sz w:val="20"/>
            <w:u w:val="single"/>
            <w:shd w:val="clear" w:color="auto" w:fill="FFFFFF"/>
            <w:lang w:val="en-US" w:eastAsia="en-US" w:bidi="ar-SA"/>
          </w:rPr>
          <w:t>[1999] S.C.C.A. No. 23</w:t>
        </w:r>
      </w:hyperlink>
      <w:r>
        <w:rPr>
          <w:rFonts w:ascii="arial" w:eastAsia="arial" w:hAnsi="arial" w:cs="arial"/>
          <w:color w:val="000000"/>
          <w:sz w:val="20"/>
          <w:lang w:val="en-US" w:eastAsia="en-US" w:bidi="ar-SA"/>
        </w:rPr>
        <w:t xml:space="preserve">, the court distinguished </w:t>
      </w:r>
      <w:r>
        <w:rPr>
          <w:rFonts w:ascii="arial" w:eastAsia="arial" w:hAnsi="arial" w:cs="arial"/>
          <w:i/>
          <w:color w:val="000000"/>
          <w:sz w:val="20"/>
          <w:lang w:val="en-US" w:eastAsia="en-US" w:bidi="ar-SA"/>
        </w:rPr>
        <w:t>Weber</w:t>
      </w:r>
      <w:r>
        <w:rPr>
          <w:rFonts w:ascii="arial" w:eastAsia="arial" w:hAnsi="arial" w:cs="arial"/>
          <w:color w:val="000000"/>
          <w:sz w:val="20"/>
          <w:lang w:val="en-US" w:eastAsia="en-US" w:bidi="ar-SA"/>
        </w:rPr>
        <w:t xml:space="preserve"> and permitted the employee's claim against the employer for malicious prosecution to proceed. The employee was fired because she allegedly marked down an item of merchandise so she could buy it at a reduced price. The employee claimed that the Bay instigated a criminal prosecution for fraud that was commenced against her. The employee successfully grieved the dismissal and the Crown dropped the fraud charge. She then commenced the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The court in </w:t>
      </w:r>
      <w:r>
        <w:rPr>
          <w:rFonts w:ascii="arial" w:eastAsia="arial" w:hAnsi="arial" w:cs="arial"/>
          <w:i/>
          <w:color w:val="000000"/>
          <w:sz w:val="20"/>
          <w:lang w:val="en-US" w:eastAsia="en-US" w:bidi="ar-SA"/>
        </w:rPr>
        <w:t>Piko</w:t>
      </w:r>
      <w:r>
        <w:rPr>
          <w:rFonts w:ascii="arial" w:eastAsia="arial" w:hAnsi="arial" w:cs="arial"/>
          <w:color w:val="000000"/>
          <w:sz w:val="20"/>
          <w:lang w:val="en-US" w:eastAsia="en-US" w:bidi="ar-SA"/>
        </w:rPr>
        <w:t xml:space="preserve"> concluded the claim did not arise under the collective agreement. Even though the civil claim arose out of a workplace wrong, its essential character did not arise from the interpretation, application, or administration of the collective agreement. The court distinguished </w:t>
      </w:r>
      <w:r>
        <w:rPr>
          <w:rFonts w:ascii="arial" w:eastAsia="arial" w:hAnsi="arial" w:cs="arial"/>
          <w:i/>
          <w:color w:val="000000"/>
          <w:sz w:val="20"/>
          <w:lang w:val="en-US" w:eastAsia="en-US" w:bidi="ar-SA"/>
        </w:rPr>
        <w:t>Weber</w:t>
      </w:r>
      <w:r>
        <w:rPr>
          <w:rFonts w:ascii="arial" w:eastAsia="arial" w:hAnsi="arial" w:cs="arial"/>
          <w:color w:val="000000"/>
          <w:sz w:val="20"/>
          <w:lang w:val="en-US" w:eastAsia="en-US" w:bidi="ar-SA"/>
        </w:rPr>
        <w:t xml:space="preserve"> in part because the collective agreement in that case was broader and included a provision that it applied to "unfair treatment of any dispute arising out of the content of this Agreement." At para. 21, Laskin J.A. reasoned: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21 ...And the Bay's actions in instigating criminal proceedings are not directly related to the dispute over whether Piko was unjustly dismissed. The Bay's actions are neither a prerequisite to nor a necessary consequence of its dismissal of Piko. In short, the collective agreement does not regulate the Bay's conduct in invoking the criminal process, which is the conduct at the heart of the present dispute. The dispute, therefore, does not arise under the collective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 would arrive at the same conclusion here about the McNiven Representation claim set out at para. 30. The substance of this claim is that Mr. McNiven negligently made a false statement that was relied on by Ms. Stene and her counsel in settling her MVA claims. The settlement of those claims is not a matter that can be located within the Collective Agreement. The statement was not a prerequisite to, or a necessary consequence of, Telus' dealings with or treatment of Ms. Stene regarding her hours of work, pay or accommodation. The alleged misrepresentation is completely irrelevant to the position taken by Telus in the ongoing dispute over the manner in which it dealt with her claims for accommodation or her application for short-term disability or benefits. The McNiven Representation claim is based solely on an alleged misrepresentation of fact at the time it was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In arriving at this conclusion, I recognize that arbitrators have taken jurisdiction over negligent misrepresentation claims. In </w:t>
      </w:r>
      <w:r>
        <w:rPr>
          <w:rFonts w:ascii="arial" w:eastAsia="arial" w:hAnsi="arial" w:cs="arial"/>
          <w:i/>
          <w:color w:val="000000"/>
          <w:sz w:val="20"/>
          <w:lang w:val="en-US" w:eastAsia="en-US" w:bidi="ar-SA"/>
        </w:rPr>
        <w:t>Telus Communications Inc. v. Telecommunications Workers' Union</w:t>
      </w:r>
      <w:r>
        <w:rPr>
          <w:rFonts w:ascii="arial" w:eastAsia="arial" w:hAnsi="arial" w:cs="arial"/>
          <w:color w:val="000000"/>
          <w:sz w:val="20"/>
          <w:lang w:val="en-US" w:eastAsia="en-US" w:bidi="ar-SA"/>
        </w:rPr>
        <w:t xml:space="preserve">, </w:t>
      </w:r>
      <w:hyperlink r:id="rId446" w:history="1">
        <w:r>
          <w:rPr>
            <w:rFonts w:ascii="arial" w:eastAsia="arial" w:hAnsi="arial" w:cs="arial"/>
            <w:i/>
            <w:color w:val="0077CC"/>
            <w:sz w:val="20"/>
            <w:u w:val="single"/>
            <w:shd w:val="clear" w:color="auto" w:fill="FFFFFF"/>
            <w:lang w:val="en-US" w:eastAsia="en-US" w:bidi="ar-SA"/>
          </w:rPr>
          <w:t>[2011] C.L.A.D. No. 333</w:t>
        </w:r>
      </w:hyperlink>
      <w:r>
        <w:rPr>
          <w:rFonts w:ascii="arial" w:eastAsia="arial" w:hAnsi="arial" w:cs="arial"/>
          <w:color w:val="000000"/>
          <w:sz w:val="20"/>
          <w:lang w:val="en-US" w:eastAsia="en-US" w:bidi="ar-SA"/>
        </w:rPr>
        <w:t>, the arbitrator accepted that the grievance arose from the interpretation, application or administration of a collective agreement. However, the circumstances of that case are distinguishable. The misrepresentation underlying the dispute was that the employer would allow certain employees to take a trades' qualification certificate program. The employer agreed that it violated the collective agreement by failing to provide the program. The misrepresentation itself was a violation of the collective agreement. That is very different from the situation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real difficulty in this case is that it is unlikely that Ms. Stene could obtain redress under the Collective Agreement. She seeks compensation for an alleged loss that she suffered outside of her employment in reliance on statements made by Mr. McNiven. The damage she allegedly suffered did not arise within the employment context, but rather is incidental to a legal claim that is independent of Ms. Stene's employment at Telus. The fact that Mr. McNiven is Ms. Stene's supervisor, though possibly explaining why Mr. Cope accepted his representation at face value, does not transform the essential character of her claim into an employment matter. Mr. McNiven made the representation as a potential witness in Ms. Stene's personal injury claim. The representation could not have been relied on by Ms. Stene in her dealings with Telus. It was made solely to inform Mr. Cope in his trial preparations about the magnitude of the claim for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Although Ms. Stene's hours, wages and benefits, and Telus' obligation to accommodate disabilities are set out in the Collective Agreement, I conclude that the essential character of the dispute does not fall within the ambit of the Collective Agreement. Unlike in </w:t>
      </w:r>
      <w:r>
        <w:rPr>
          <w:rFonts w:ascii="arial" w:eastAsia="arial" w:hAnsi="arial" w:cs="arial"/>
          <w:i/>
          <w:color w:val="000000"/>
          <w:sz w:val="20"/>
          <w:lang w:val="en-US" w:eastAsia="en-US" w:bidi="ar-SA"/>
        </w:rPr>
        <w:t>Weber</w:t>
      </w:r>
      <w:r>
        <w:rPr>
          <w:rFonts w:ascii="arial" w:eastAsia="arial" w:hAnsi="arial" w:cs="arial"/>
          <w:color w:val="000000"/>
          <w:sz w:val="20"/>
          <w:lang w:val="en-US" w:eastAsia="en-US" w:bidi="ar-SA"/>
        </w:rPr>
        <w:t xml:space="preserve">, this Collective Agreement does not expressly bring any dispute arising out of the context of the agreement under the exclusive jurisdiction of arbitration. In my view, and consistent with </w:t>
      </w:r>
      <w:r>
        <w:rPr>
          <w:rFonts w:ascii="arial" w:eastAsia="arial" w:hAnsi="arial" w:cs="arial"/>
          <w:i/>
          <w:color w:val="000000"/>
          <w:sz w:val="20"/>
          <w:lang w:val="en-US" w:eastAsia="en-US" w:bidi="ar-SA"/>
        </w:rPr>
        <w:t>Piko</w:t>
      </w:r>
      <w:r>
        <w:rPr>
          <w:rFonts w:ascii="arial" w:eastAsia="arial" w:hAnsi="arial" w:cs="arial"/>
          <w:color w:val="000000"/>
          <w:sz w:val="20"/>
          <w:lang w:val="en-US" w:eastAsia="en-US" w:bidi="ar-SA"/>
        </w:rPr>
        <w:t xml:space="preserve">, it would go too far to infer that the Collective Agreement reserves such jurisdiction over non-employment-related disputes in an arbitrator or arbitration board in the absence of express language to that effect. As Ms. Stene's alleged damage under this claim is not employment-related, it is unlikely that an arbitrator would be able to provide appropriate redress under s. 60(1)(a.1) of the </w:t>
      </w:r>
      <w:r>
        <w:rPr>
          <w:rFonts w:ascii="arial" w:eastAsia="arial" w:hAnsi="arial" w:cs="arial"/>
          <w:i/>
          <w:color w:val="000000"/>
          <w:sz w:val="20"/>
          <w:lang w:val="en-US" w:eastAsia="en-US" w:bidi="ar-SA"/>
        </w:rPr>
        <w:t>Code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dispute arising from the alleged misrepresentation does not involve any investigation into whether Telus met its accommodation obligations or whether Telus was within its rights to downgrade Ms. Stene's employment status under the Collective Agreement. The court will only have to consider if Mr. McNiven's statements were false representations of fact. It follows that Ms. Stene's tort action is not properly characterized as involving the interpretation, application, administration or alleged violation of the Collective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In summary, I conclude that the essential character of Ms. Stene's tort claim for negligent misrepresentation as summarised in paras. 19, 27 and 28 of the Amended Notice of Civil Claim, and her claim for intentional interference with economic relations, fall within the ambit of the Collective Agreement such that they are within the exclusive jurisdiction of a labour arbitrator or arbitration board in accordance with Article 12 of the Collective Agreement and s. 57(1) of the </w:t>
      </w:r>
      <w:r>
        <w:rPr>
          <w:rFonts w:ascii="arial" w:eastAsia="arial" w:hAnsi="arial" w:cs="arial"/>
          <w:i/>
          <w:color w:val="000000"/>
          <w:sz w:val="20"/>
          <w:lang w:val="en-US" w:eastAsia="en-US" w:bidi="ar-SA"/>
        </w:rPr>
        <w:t>Code</w:t>
      </w:r>
      <w:r>
        <w:rPr>
          <w:rFonts w:ascii="arial" w:eastAsia="arial" w:hAnsi="arial" w:cs="arial"/>
          <w:color w:val="000000"/>
          <w:sz w:val="20"/>
          <w:lang w:val="en-US" w:eastAsia="en-US" w:bidi="ar-SA"/>
        </w:rPr>
        <w:t>. It follows that this court declines jurisdiction to hear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However, I also conclude that the essential character of Ms. Stene's claim for negligent misrepresentation as set out at para. 30 of the Amended Notice of Civil Claim does not fall within the ambit of the Collective Agreement, and is therefore outside of the exclusive jurisdiction of labour arbitration. As such, that claim may proceed in this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There has been divided success on this application. Costs will be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G.B. BUTLER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31" style="position:absolute;z-index:2518784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47"/>
          <w:headerReference w:type="default" r:id="rId448"/>
          <w:footerReference w:type="even" r:id="rId449"/>
          <w:footerReference w:type="default" r:id="rId450"/>
          <w:headerReference w:type="first" r:id="rId451"/>
          <w:footerReference w:type="first" r:id="rId45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453" w:history="1">
        <w:r>
          <w:rPr>
            <w:rFonts w:ascii="arial" w:eastAsia="arial" w:hAnsi="arial" w:cs="arial"/>
            <w:b/>
            <w:bCs/>
            <w:i/>
            <w:color w:val="0077CC"/>
            <w:kern w:val="32"/>
            <w:sz w:val="28"/>
            <w:szCs w:val="32"/>
            <w:u w:val="single"/>
            <w:shd w:val="clear" w:color="auto" w:fill="FFFFFF"/>
            <w:lang w:val="en-US" w:eastAsia="en-US" w:bidi="ar-SA"/>
          </w:rPr>
          <w:t>Westfair Foods Ltd. v. Carter, [2001] B.C.J. No. 860</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Courtenay,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R.M.J. Hutchinson J.</w:t>
      </w:r>
    </w:p>
    <w:p>
      <w:pPr>
        <w:spacing w:before="120" w:line="260" w:lineRule="atLeast"/>
        <w:jc w:val="center"/>
        <w:rPr>
          <w:lang w:val="en-US" w:eastAsia="en-US" w:bidi="ar-SA"/>
        </w:rPr>
      </w:pPr>
      <w:r>
        <w:rPr>
          <w:rFonts w:ascii="arial" w:eastAsia="arial" w:hAnsi="arial" w:cs="arial"/>
          <w:color w:val="000000"/>
          <w:sz w:val="20"/>
          <w:lang w:val="en-US" w:eastAsia="en-US" w:bidi="ar-SA"/>
        </w:rPr>
        <w:t>Heard: April 11, 2001.</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April 27, 2001.</w:t>
      </w:r>
    </w:p>
    <w:p>
      <w:pPr>
        <w:spacing w:before="120" w:line="260" w:lineRule="atLeast"/>
        <w:jc w:val="center"/>
        <w:rPr>
          <w:lang w:val="en-US" w:eastAsia="en-US" w:bidi="ar-SA"/>
        </w:rPr>
      </w:pPr>
      <w:r>
        <w:rPr>
          <w:rFonts w:ascii="arial" w:eastAsia="arial" w:hAnsi="arial" w:cs="arial"/>
          <w:color w:val="000000"/>
          <w:sz w:val="20"/>
          <w:lang w:val="en-US" w:eastAsia="en-US" w:bidi="ar-SA"/>
        </w:rPr>
        <w:t>Courtenay Registry No. S5286</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[2001] B.C.J. No. 860</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2001 BCSC 564</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105 A.C.W.S. (3d) 182</w:t>
      </w:r>
    </w:p>
    <w:p>
      <w:pPr>
        <w:spacing w:before="120" w:line="260" w:lineRule="atLeast"/>
        <w:rPr>
          <w:lang w:val="en-US" w:eastAsia="en-US" w:bidi="ar-SA"/>
        </w:rPr>
      </w:pPr>
      <w:r>
        <w:rPr>
          <w:rFonts w:ascii="arial" w:eastAsia="arial" w:hAnsi="arial" w:cs="arial"/>
          <w:color w:val="000000"/>
          <w:sz w:val="20"/>
          <w:lang w:val="en-US" w:eastAsia="en-US" w:bidi="ar-SA"/>
        </w:rPr>
        <w:t>Between Westfair Foods Ltd., Westfair Foods Ltd. c.o.b. the Real Canadian Superstore and 3215091 Canada Limited (formerly 399338 B.C. Ltd.), appellants, and Christine Carter, respondent</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(10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132" style="position:absolute;z-index:251680768"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145" w:name="Keywords_20"/>
      <w:bookmarkEnd w:id="145"/>
      <w:r>
        <w:rPr>
          <w:rFonts w:ascii="arial" w:eastAsia="arial" w:hAnsi="arial" w:cs="arial"/>
          <w:b/>
          <w:color w:val="000000"/>
          <w:sz w:val="20"/>
          <w:lang w:val="en-US" w:eastAsia="en-US" w:bidi="ar-SA"/>
        </w:rPr>
        <w:t xml:space="preserve">Torts — Occupiers liability 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for dangerous premises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of particular occupiers — Retail stores — Duties of occupier — Duty to act reasonably — Practice — Appeals — Duty of appellate court regarding findings of fact by a trial judge.</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146" w:name="Case Summary_19"/>
            <w:bookmarkEnd w:id="146"/>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Appeal by the defendant, Westfair Foods, from a decision finding it liable for damages suffered by the plaintiff, Carter, after she slipped and fell in a Superstore operated by Westfair. Carter slipped on melted ice-cream which was near an open freezer located at the front of the store. The store policy was to sweep that area every hour and to sweep other areas every two hours. On that day, the store was busier than normal. The trial judge concluded that the area where Carter fell was one of greater risk, so the hourly sweeps there, particularly on that day, were insufficient and not reasonable. Westfair argued that the trial judge erred in failing to apply the standard of reasonableness which was required under the Occupiers Liability Act. </w:t>
            </w:r>
            <w:r>
              <w:rPr>
                <w:lang w:val="en-US" w:eastAsia="en-US" w:bidi="ar-SA"/>
              </w:rPr>
              <w:cr/>
            </w:r>
          </w:p>
          <w:p>
            <w:pPr>
              <w:spacing w:before="120" w:line="260" w:lineRule="atLeast"/>
              <w:ind w:left="240"/>
              <w:jc w:val="both"/>
              <w:rPr>
                <w:lang w:val="en-US" w:eastAsia="en-US" w:bidi="ar-SA"/>
              </w:rPr>
            </w:pPr>
            <w:bookmarkStart w:id="147" w:name="Holdings of Court_12"/>
            <w:bookmarkEnd w:id="147"/>
            <w:r>
              <w:rPr>
                <w:rFonts w:ascii="arial" w:eastAsia="arial" w:hAnsi="arial" w:cs="arial"/>
                <w:color w:val="000000"/>
                <w:sz w:val="20"/>
                <w:lang w:val="en-US" w:eastAsia="en-US" w:bidi="ar-SA"/>
              </w:rPr>
              <w:t>HELD: Appeal dismissed.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The trial judge did not err in law. There was evidence to support the essential facts relied upon by the trial judge to conclude that Westfair was liable. His findings of fact were not patently unreasonable. The trial judge correctly directed himself on the law and clearly recognized the standard was not one of perfection, but reasonableness. </w:t>
            </w:r>
            <w:r>
              <w:rPr>
                <w:lang w:val="en-US" w:eastAsia="en-US" w:bidi="ar-SA"/>
              </w:rPr>
              <w:cr/>
            </w:r>
          </w:p>
          <w:p>
            <w:pPr>
              <w:rPr>
                <w:lang w:val="en-US" w:eastAsia="en-US" w:bidi="ar-SA"/>
              </w:rPr>
            </w:pPr>
          </w:p>
        </w:tc>
      </w:tr>
    </w:tbl>
    <w:p>
      <w:pPr>
        <w:jc w:val="both"/>
        <w:rPr>
          <w:lang w:val="en-US" w:eastAsia="en-US" w:bidi="ar-SA"/>
        </w:rPr>
      </w:pPr>
      <w:bookmarkStart w:id="148" w:name="Legislation Cited_17"/>
      <w:bookmarkEnd w:id="148"/>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lang w:val="en-US" w:eastAsia="en-US" w:bidi="ar-SA"/>
        </w:rPr>
      </w:pPr>
      <w:r>
        <w:pict>
          <v:line id="_x0000_s1133" style="position:absolute;z-index:251731968"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Occupiers Liability Act, s. 3.</w:t>
      </w:r>
      <w:r>
        <w:rPr>
          <w:lang w:val="en-US" w:eastAsia="en-US" w:bidi="ar-SA"/>
        </w:rPr>
        <w:cr/>
      </w:r>
    </w:p>
    <w:p>
      <w:pPr>
        <w:keepNext/>
        <w:spacing w:before="240" w:line="340" w:lineRule="atLeast"/>
        <w:rPr>
          <w:lang w:val="en-US" w:eastAsia="en-US" w:bidi="ar-SA"/>
        </w:rPr>
      </w:pPr>
      <w:bookmarkStart w:id="149" w:name="Counsel_21"/>
      <w:bookmarkEnd w:id="149"/>
      <w:r>
        <w:rPr>
          <w:rFonts w:ascii="arial" w:eastAsia="arial" w:hAnsi="arial" w:cs="arial"/>
          <w:b/>
          <w:color w:val="000000"/>
          <w:sz w:val="28"/>
          <w:lang w:val="en-US" w:eastAsia="en-US" w:bidi="ar-SA"/>
        </w:rPr>
        <w:t>Counsel</w:t>
      </w:r>
    </w:p>
    <w:p>
      <w:pPr>
        <w:spacing w:line="60" w:lineRule="exact"/>
        <w:rPr>
          <w:lang w:val="en-US" w:eastAsia="en-US" w:bidi="ar-SA"/>
        </w:rPr>
      </w:pPr>
      <w:r>
        <w:pict>
          <v:line id="_x0000_s1134" style="position:absolute;z-index:251783168"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I.C. Hallam, for the defendant (appellant). N.A. Ahmed, for the plaintiff (respondent).</w:t>
      </w:r>
      <w:r>
        <w:rPr>
          <w:lang w:val="en-US" w:eastAsia="en-US" w:bidi="ar-SA"/>
        </w:rPr>
        <w:cr/>
      </w:r>
    </w:p>
    <w:p>
      <w:pPr>
        <w:spacing w:after="240"/>
        <w:rPr>
          <w:lang w:val="en-US" w:eastAsia="en-US" w:bidi="ar-SA"/>
        </w:rPr>
      </w:pPr>
      <w:bookmarkStart w:id="150" w:name="Judgment_21"/>
      <w:bookmarkEnd w:id="150"/>
      <w:r>
        <w:pict>
          <v:line id="_x0000_s1135" style="position:absolute;z-index:251833344"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5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151" w:name="R.M.J. HUTCHINSON J."/>
            <w:bookmarkEnd w:id="151"/>
            <w:r>
              <w:rPr>
                <w:rFonts w:ascii="arial" w:eastAsia="arial" w:hAnsi="arial" w:cs="arial"/>
                <w:b/>
                <w:color w:val="000000"/>
                <w:sz w:val="30"/>
                <w:lang w:val="en-US" w:eastAsia="en-US" w:bidi="ar-SA"/>
              </w:rPr>
              <w:t>R.M.J. HUTCHINSON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appellant is the operator of The Real Canadian Superstore in Courtenay, B.C. The respondent was shopping there on 15 July 1996. She slipped and fell. The Provincial Court judge who heard the case found the appellant to be liable and assessed damages. The appeal from his award of prejudgment interest was resolved by consent at the opening of this hearing. The issue argued on the appeal was whether the trial judge erred in failing to apply the standard of reasonableness, which is required under the Occupiers Liability Act, </w:t>
      </w:r>
      <w:r>
        <w:rPr>
          <w:rFonts w:ascii="arial" w:eastAsia="arial" w:hAnsi="arial" w:cs="arial"/>
          <w:i/>
          <w:color w:val="000000"/>
          <w:sz w:val="20"/>
          <w:lang w:val="en-US" w:eastAsia="en-US" w:bidi="ar-SA"/>
        </w:rPr>
        <w:t>R.S.B.C. 1996, c. 337</w:t>
      </w:r>
      <w:r>
        <w:rPr>
          <w:rFonts w:ascii="arial" w:eastAsia="arial" w:hAnsi="arial" w:cs="arial"/>
          <w:color w:val="000000"/>
          <w:sz w:val="20"/>
          <w:lang w:val="en-US" w:eastAsia="en-US" w:bidi="ar-SA"/>
        </w:rPr>
        <w:t>, to the facts before him; in the alternative that the trial judge based his conclusion on patently unreasonable findings of fact contrary to the weight of the evidence.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trial judge found that the plaintiff slipped on a slippery substance on the floor: the respondent said it resembled ice cream, yogurt or pudding while her husband said it could have been melted ice cream. The area in which the respondent fell is at the front end of the store near the cashiers. There is an open freezer nearby. Customers enter the store through the main aisle where the respondent fell; they also go to the cashiers there, so a high density of customer traffic develops in that area. The day in question was military pay-day, so the store was busier than normal with the base personnel shopping.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respondent fell between 2:43 p.m. and 2:53 p.m. Where the respondent fell was swept by the front end Supervisor, Kelly Carpenter, at 2:00 p.m. The policy of the store was to sweep that area, which is known to the staff as the front end, every hour. The appellant was not aware of any substance on the floor until the respondent fell, so no warning cones were in place.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his reasons the trial judge found a system of regular checks was in place to ensure the floors were clean. As to whether the system was reasonable he said: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In the case at bar, the court was told that the date in question was a military payday and large numbers of people could be expected to be in the store. One of the defendant's witnesses acknowledged that the freezer adjacent to the spot where the defendant slipped "had been causing problems since September." Indeed, the claimant herself saw technicians working on the freezer on two separate occasions after her fall. In addition, this is a low, open freezer where product can easily be removed or spilled. This freezer is located in a very high traffic area, which funnels the public toward the exit and cash registers. Any manager aware of those facts would ensure that special precautions were in place in that area bearing in mind the standard is not one of perfection, but one of reasonableness. In my view, it is simply not reasonable to place a low, open "problem freezer" in a high traffic area and then rely on hourly inspections to ensure it is safe for the public to walk nearby. While the overall cleanliness plan established by the defendant may have been adequate -- it was not adequate for this particular location inside the store.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evidence regarding the system of checks was that in certain areas of the store hourly sweeps were scheduled: in other areas where the risks were lower, e.g. where general merchandise was displayed, the sweeps were done every two hours.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trial judge referred to the relevant authorities and s. 3 of the Occupiers Liability Act. He reached his conclusion based on the facts before him. Had I been the trial judge, I may have reached a different conclusion. However, there was evidence to support the essential facts which have been set out above and he clearly recognized the standard was not of perfection, but one of reasonableness. Having correctly directed himself on the law, and having applied the facts to the law I can find no grounds for concluding that he erred in law. The facts supported a conclusion that certain areas of the store presented a greater hazard than others and the appellant adjusted its sweeps in different parts of the store to accommodate those distinctions. In his reasons the trial judge concluded that the area where the respondent fell was one of even greater risk, so the hourly sweeps there, particularly on that day, were insufficient and not reasonable. There is no basis for my finding he erred in that conclusion.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second branch of the appellant's argument was that the trial judge's conclusions were based on patently unreasonable findings of fact and were entirely contrary to the evidence. The issue that concerned me here was the trial judge's conclusion that this was a "problem freezer."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only evidence to support that finding of fact came from the assistant store manager's testimony. He said that in the ten years he had been at the store it had been repaired many times. The respondent gave evidence consistent with it having leaked two weeks to two months after her fall. That is insufficient to support a finding that this was a problem freezer at the time in question. However that conclusion did not form a part of the rationale for finding that this was a high traffic area, and that an open freezer could result in spills. The finding regarding the "problem freezer" was incidental to the main reason for the finding that hourly checks in that area were not adequate.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 find the trial judge did not err in law; the evidence he accepted justified a finding of the facts relevant to the conclusion that the appellant was liable. I can find nothing perverse or contrary to the weight of the evidence to warrant a decision that his findings of fact were patently unreasonable. The appeal is dismissed.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appellant was successful in a minor part of the appeal, which had been conceded by the respondent at the outset of the hearing. The main issue is resolved in favour of the respondent so I award her costs on Scale III.</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R.M.J. HUTCHINSON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6" style="position:absolute;z-index:25187942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54"/>
          <w:headerReference w:type="default" r:id="rId455"/>
          <w:footerReference w:type="even" r:id="rId456"/>
          <w:footerReference w:type="default" r:id="rId457"/>
          <w:headerReference w:type="first" r:id="rId458"/>
          <w:footerReference w:type="first" r:id="rId45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60" w:history="1">
        <w:r>
          <w:rPr>
            <w:rFonts w:ascii="arial" w:eastAsia="arial" w:hAnsi="arial" w:cs="arial"/>
            <w:b/>
            <w:bCs/>
            <w:i/>
            <w:color w:val="0077CC"/>
            <w:kern w:val="32"/>
            <w:sz w:val="28"/>
            <w:szCs w:val="32"/>
            <w:u w:val="single"/>
            <w:shd w:val="clear" w:color="auto" w:fill="FFFFFF"/>
            <w:lang w:val="en-US" w:eastAsia="en-US" w:bidi="ar-SA"/>
          </w:rPr>
          <w:t>Haczewski v. British Columbia, [2012] B.C.J. No. 528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J.C. Grauer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12-16, 19 and 21,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16,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S078467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[2012] B.C.J. No. 528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2012 BCSC 380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7 C.C.L.I. (5th) 211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33 M.V.R. (6th) 57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212 A.C.W.S. (3d) 1084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2012 CarswellBC 722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Paula Haczewski, Jacek Haczewski and Barbara Haczewski, Plaintiffs, and Her Majesty the Queen in Right of the Province of British Columbia, and Minister of Public Safety and Solicitor General for the Province of British Columbia, Defendants, and Paula Haczewski as Representative of the Estate of Albert Haczewski, Deceased, Third Party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(167 paras.)</w:t>
      </w:r>
    </w:p>
    <w:p>
      <w:pPr>
        <w:jc w:val="both"/>
        <w:rPr>
          <w:rFonts w:ascii="arial" w:eastAsia="arial" w:hAnsi="arial" w:cs="arial"/>
          <w:sz w:val="20"/>
          <w:lang w:val="en-US" w:eastAsia="en-US" w:bidi="ar-SA"/>
        </w:rPr>
      </w:pPr>
      <w:bookmarkStart w:id="152" w:name="Counsel_22"/>
      <w:bookmarkEnd w:id="15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37" style="position:absolute;z-index:2516817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D.M. Mah.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S.J. Eustace, T.E. Fairgrieve.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53" w:name="Judgment_22"/>
      <w:bookmarkEnd w:id="153"/>
      <w:r>
        <w:pict>
          <v:line id="_x0000_s1138" style="position:absolute;z-index:25173299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5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54" w:name="J.C. GRAUER J."/>
            <w:bookmarkEnd w:id="154"/>
            <w:r>
              <w:rPr>
                <w:rFonts w:ascii="arial" w:eastAsia="arial" w:hAnsi="arial" w:cs="arial"/>
                <w:b/>
                <w:color w:val="000000"/>
                <w:sz w:val="30"/>
                <w:lang w:val="en-US" w:eastAsia="en-US" w:bidi="ar-SA"/>
              </w:rPr>
              <w:t>J.C. GRAUER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October 31, 2007, Albert Haczewski, 27, was driving his friend, Koyo Hara, home. Traveling south on Royal Oak at a speed of 50 km/h, they entered the intersection at Kingsway on a green light at about 1:50 AM. They were fatally injured about a second later when their vehicle was rammed by a police car driven by RCMP Constable Petina Kostiuk traveling northwest on Kingsway at a speed between 80 and 89 km/h.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Constable Kostiuk was responding to an emergency call. Her emergency lights and siren were on. The intersection has limited visibility. She entered it against the red light at high speed. She thought it was clear. It wasn't.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After a police investigation, Constable Kostiuk was charged under the </w:t>
      </w:r>
      <w:r>
        <w:rPr>
          <w:rFonts w:ascii="arial" w:eastAsia="arial" w:hAnsi="arial" w:cs="arial"/>
          <w:i/>
          <w:color w:val="000000"/>
          <w:sz w:val="20"/>
          <w:lang w:val="en-US" w:eastAsia="en-US" w:bidi="ar-SA"/>
        </w:rPr>
        <w:t>Criminal Code of Canada</w:t>
      </w:r>
      <w:r>
        <w:rPr>
          <w:rFonts w:ascii="arial" w:eastAsia="arial" w:hAnsi="arial" w:cs="arial"/>
          <w:color w:val="000000"/>
          <w:sz w:val="20"/>
          <w:lang w:val="en-US" w:eastAsia="en-US" w:bidi="ar-SA"/>
        </w:rPr>
        <w:t xml:space="preserve">, </w:t>
      </w:r>
      <w:hyperlink r:id="rId461" w:history="1">
        <w:r>
          <w:rPr>
            <w:rFonts w:ascii="arial" w:eastAsia="arial" w:hAnsi="arial" w:cs="arial"/>
            <w:i/>
            <w:color w:val="0077CC"/>
            <w:sz w:val="20"/>
            <w:u w:val="single"/>
            <w:shd w:val="clear" w:color="auto" w:fill="FFFFFF"/>
            <w:lang w:val="en-US" w:eastAsia="en-US" w:bidi="ar-SA"/>
          </w:rPr>
          <w:t>R.S.C. 1985, c. C-46</w:t>
        </w:r>
      </w:hyperlink>
      <w:r>
        <w:rPr>
          <w:rFonts w:ascii="arial" w:eastAsia="arial" w:hAnsi="arial" w:cs="arial"/>
          <w:color w:val="000000"/>
          <w:sz w:val="20"/>
          <w:lang w:val="en-US" w:eastAsia="en-US" w:bidi="ar-SA"/>
        </w:rPr>
        <w:t xml:space="preserve">, with dangerous driving causing death. She subsequently pleaded guilty to the lesser included offence of driving without due care and attention under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Mr. Haczewski's widow and parents now claim against the Crown Provincial and the Minister of Public Safety and Solicitor General for the Province of British Columbia as the parties liable for any tort committed by Constable Kostiuk. They claim damages under the </w:t>
      </w:r>
      <w:r>
        <w:rPr>
          <w:rFonts w:ascii="arial" w:eastAsia="arial" w:hAnsi="arial" w:cs="arial"/>
          <w:i/>
          <w:color w:val="000000"/>
          <w:sz w:val="20"/>
          <w:lang w:val="en-US" w:eastAsia="en-US" w:bidi="ar-SA"/>
        </w:rPr>
        <w:t>Family Compensation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126</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Although Constable Kostiuk was initially named as a defendant, police officers are protected from direct liability for things done in the performance of their duties by section 21 of the </w:t>
      </w:r>
      <w:r>
        <w:rPr>
          <w:rFonts w:ascii="arial" w:eastAsia="arial" w:hAnsi="arial" w:cs="arial"/>
          <w:i/>
          <w:color w:val="000000"/>
          <w:sz w:val="20"/>
          <w:lang w:val="en-US" w:eastAsia="en-US" w:bidi="ar-SA"/>
        </w:rPr>
        <w:t>Police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367</w:t>
      </w:r>
      <w:r>
        <w:rPr>
          <w:rFonts w:ascii="arial" w:eastAsia="arial" w:hAnsi="arial" w:cs="arial"/>
          <w:color w:val="000000"/>
          <w:sz w:val="20"/>
          <w:lang w:val="en-US" w:eastAsia="en-US" w:bidi="ar-SA"/>
        </w:rPr>
        <w:t>, and the claim against her was dismissed by consent.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defendants deny liability on the ground that Mr. Haczewski caused the accident by failing to yield to Constable Kostiuk who, they say, had the right-of-way. Alternatively, the defendants maintain that Mr. Haczewski was contributorily negligent for failing to yield, and also by reason of having smoked marijuana at some point earlier that evening, thereby impairing his ability to react; hence the third party claim against his estate.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As a preliminary matter, the defendants maintain that the Minister of Public Safety and Solicitor General (the Minister) is the only proper defendant, as it is only she, and not the Crown Provincial, who is made vicariously liable for any tort of the police officer by section 11 of the </w:t>
      </w:r>
      <w:r>
        <w:rPr>
          <w:rFonts w:ascii="arial" w:eastAsia="arial" w:hAnsi="arial" w:cs="arial"/>
          <w:i/>
          <w:color w:val="000000"/>
          <w:sz w:val="20"/>
          <w:lang w:val="en-US" w:eastAsia="en-US" w:bidi="ar-SA"/>
        </w:rPr>
        <w:t>Police Act</w:t>
      </w:r>
      <w:r>
        <w:rPr>
          <w:rFonts w:ascii="arial" w:eastAsia="arial" w:hAnsi="arial" w:cs="arial"/>
          <w:color w:val="000000"/>
          <w:sz w:val="20"/>
          <w:lang w:val="en-US" w:eastAsia="en-US" w:bidi="ar-SA"/>
        </w:rPr>
        <w:t xml:space="preserve">. On this point, the defendants rely on </w:t>
      </w:r>
      <w:r>
        <w:rPr>
          <w:rFonts w:ascii="arial" w:eastAsia="arial" w:hAnsi="arial" w:cs="arial"/>
          <w:i/>
          <w:color w:val="000000"/>
          <w:sz w:val="20"/>
          <w:lang w:val="en-US" w:eastAsia="en-US" w:bidi="ar-SA"/>
        </w:rPr>
        <w:t>Hill v. Hurst</w:t>
      </w:r>
      <w:r>
        <w:rPr>
          <w:rFonts w:ascii="arial" w:eastAsia="arial" w:hAnsi="arial" w:cs="arial"/>
          <w:color w:val="000000"/>
          <w:sz w:val="20"/>
          <w:lang w:val="en-US" w:eastAsia="en-US" w:bidi="ar-SA"/>
        </w:rPr>
        <w:t xml:space="preserve">, </w:t>
      </w:r>
      <w:hyperlink r:id="rId462" w:history="1">
        <w:r>
          <w:rPr>
            <w:rFonts w:ascii="arial" w:eastAsia="arial" w:hAnsi="arial" w:cs="arial"/>
            <w:i/>
            <w:color w:val="0077CC"/>
            <w:sz w:val="20"/>
            <w:u w:val="single"/>
            <w:shd w:val="clear" w:color="auto" w:fill="FFFFFF"/>
            <w:lang w:val="en-US" w:eastAsia="en-US" w:bidi="ar-SA"/>
          </w:rPr>
          <w:t>2001 BCSC 1191</w:t>
        </w:r>
      </w:hyperlink>
      <w:r>
        <w:rPr>
          <w:rFonts w:ascii="arial" w:eastAsia="arial" w:hAnsi="arial" w:cs="arial"/>
          <w:color w:val="000000"/>
          <w:sz w:val="20"/>
          <w:lang w:val="en-US" w:eastAsia="en-US" w:bidi="ar-SA"/>
        </w:rPr>
        <w:t xml:space="preserve">, </w:t>
      </w:r>
      <w:hyperlink r:id="rId462" w:history="1">
        <w:r>
          <w:rPr>
            <w:rFonts w:ascii="arial" w:eastAsia="arial" w:hAnsi="arial" w:cs="arial"/>
            <w:i/>
            <w:color w:val="0077CC"/>
            <w:sz w:val="20"/>
            <w:u w:val="single"/>
            <w:shd w:val="clear" w:color="auto" w:fill="FFFFFF"/>
            <w:lang w:val="en-US" w:eastAsia="en-US" w:bidi="ar-SA"/>
          </w:rPr>
          <w:t>203 D.L.R. (4th) 749</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Roy v. British Columbia (Attorney General)</w:t>
      </w:r>
      <w:r>
        <w:rPr>
          <w:rFonts w:ascii="arial" w:eastAsia="arial" w:hAnsi="arial" w:cs="arial"/>
          <w:color w:val="000000"/>
          <w:sz w:val="20"/>
          <w:lang w:val="en-US" w:eastAsia="en-US" w:bidi="ar-SA"/>
        </w:rPr>
        <w:t xml:space="preserve">, </w:t>
      </w:r>
      <w:hyperlink r:id="rId463" w:history="1">
        <w:r>
          <w:rPr>
            <w:rFonts w:ascii="arial" w:eastAsia="arial" w:hAnsi="arial" w:cs="arial"/>
            <w:i/>
            <w:color w:val="0077CC"/>
            <w:sz w:val="20"/>
            <w:u w:val="single"/>
            <w:shd w:val="clear" w:color="auto" w:fill="FFFFFF"/>
            <w:lang w:val="en-US" w:eastAsia="en-US" w:bidi="ar-SA"/>
          </w:rPr>
          <w:t>2005 BCCA 88</w:t>
        </w:r>
      </w:hyperlink>
      <w:r>
        <w:rPr>
          <w:rFonts w:ascii="arial" w:eastAsia="arial" w:hAnsi="arial" w:cs="arial"/>
          <w:color w:val="000000"/>
          <w:sz w:val="20"/>
          <w:lang w:val="en-US" w:eastAsia="en-US" w:bidi="ar-SA"/>
        </w:rPr>
        <w:t xml:space="preserve">, </w:t>
      </w:r>
      <w:hyperlink r:id="rId463" w:history="1">
        <w:r>
          <w:rPr>
            <w:rFonts w:ascii="arial" w:eastAsia="arial" w:hAnsi="arial" w:cs="arial"/>
            <w:i/>
            <w:color w:val="0077CC"/>
            <w:sz w:val="20"/>
            <w:u w:val="single"/>
            <w:shd w:val="clear" w:color="auto" w:fill="FFFFFF"/>
            <w:lang w:val="en-US" w:eastAsia="en-US" w:bidi="ar-SA"/>
          </w:rPr>
          <w:t>251 D.L.R. (4th) 233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first of these two cases does not support the defendants' position. Macaulay J. there concluded in para. 71 that the reference in section 11 to "the minister, on behalf of the government" was wide enough to include the Crown, not just the Minister.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second does not consider the point as the Crown Provincial had not been sued in that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 decline, therefore, to strike out the claim against the Crown Provincial on this basis. I note, moreover, that the Crown Provincial is sued not only vicariously, but also in its capacity as the owner of the vehicle driven by Constable Kostiuk, which ownership is denied by the defendants. That falls to be resolved on the evidence, not as a preliminary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 now turn to consider the applicable law before reviewing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1. </w:t>
      </w:r>
      <w:r>
        <w:rPr>
          <w:rFonts w:ascii="arial" w:eastAsia="arial" w:hAnsi="arial" w:cs="arial"/>
          <w:b/>
          <w:color w:val="000000"/>
          <w:sz w:val="20"/>
          <w:u w:val="single"/>
          <w:lang w:val="en-US" w:eastAsia="en-US" w:bidi="ar-SA"/>
        </w:rPr>
        <w:t>What are the applicable laws and policies?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No statute need be cited for the general proposition that a vehicle entering a controlled intersection with a green light has the right-of-way over vehicles facing the red light. But is this still the case when the vehicle with the red light is a police car responding to an emergency with its lights flashing and siren sounding? The answer is: it depends.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provides certain privileges to emergency vehicles, including the limited right to proceed through a red light without stopping: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Exemption for emergency vehicles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xml:space="preserve"> (1) Despite anything in this Part, but subject to subsections (2) and (4), a driver of an emergency vehicle may do the following:</w:t>
      </w:r>
    </w:p>
    <w:p>
      <w:pPr>
        <w:numPr>
          <w:numId w:val="1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exceed the speed limit;</w:t>
      </w:r>
    </w:p>
    <w:p>
      <w:pPr>
        <w:numPr>
          <w:numId w:val="1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proceed past a red traffic control signal or stop sign without stopping;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driver of an emergency vehicle must not exercise the privileges granted by subsection (1) except in accordance with the regulations.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driver of an emergency vehicle exercising a privilege granted by subsection (1) must drive with due regard for safety, having regard to all the circumstances of the case, including the following:</w:t>
      </w:r>
    </w:p>
    <w:p>
      <w:pPr>
        <w:numPr>
          <w:numId w:val="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nature, condition and use of the highway;</w:t>
      </w:r>
    </w:p>
    <w:p>
      <w:pPr>
        <w:numPr>
          <w:numId w:val="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amount of traffic that is on, or might reasonably be expected to be on, the highway;</w:t>
      </w:r>
    </w:p>
    <w:p>
      <w:pPr>
        <w:numPr>
          <w:numId w:val="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nature of the use being made of the emergency vehicle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The use of those privileges is governed by the </w:t>
      </w:r>
      <w:r>
        <w:rPr>
          <w:rFonts w:ascii="arial" w:eastAsia="arial" w:hAnsi="arial" w:cs="arial"/>
          <w:i/>
          <w:color w:val="000000"/>
          <w:sz w:val="20"/>
          <w:lang w:val="en-US" w:eastAsia="en-US" w:bidi="ar-SA"/>
        </w:rPr>
        <w:t>Motor Vehicle Act Emergency Vehicle Driving Regulation</w:t>
      </w:r>
      <w:r>
        <w:rPr>
          <w:rFonts w:ascii="arial" w:eastAsia="arial" w:hAnsi="arial" w:cs="arial"/>
          <w:color w:val="000000"/>
          <w:sz w:val="20"/>
          <w:lang w:val="en-US" w:eastAsia="en-US" w:bidi="ar-SA"/>
        </w:rPr>
        <w:t xml:space="preserve">, </w:t>
      </w:r>
      <w:hyperlink r:id="rId464" w:history="1">
        <w:r>
          <w:rPr>
            <w:rFonts w:ascii="arial" w:eastAsia="arial" w:hAnsi="arial" w:cs="arial"/>
            <w:i/>
            <w:color w:val="0077CC"/>
            <w:sz w:val="20"/>
            <w:u w:val="single"/>
            <w:shd w:val="clear" w:color="auto" w:fill="FFFFFF"/>
            <w:lang w:val="en-US" w:eastAsia="en-US" w:bidi="ar-SA"/>
          </w:rPr>
          <w:t>B.C. Reg. 133/98</w:t>
        </w:r>
      </w:hyperlink>
      <w:r>
        <w:rPr>
          <w:rFonts w:ascii="arial" w:eastAsia="arial" w:hAnsi="arial" w:cs="arial"/>
          <w:color w:val="000000"/>
          <w:sz w:val="20"/>
          <w:lang w:val="en-US" w:eastAsia="en-US" w:bidi="ar-SA"/>
        </w:rPr>
        <w:t>, which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Emergency response by peace officer</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(1) A peace officer operating an emergency vehicle for purposes other than pursuit may exercise the privileges granted by section 122(1)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if</w:t>
      </w:r>
    </w:p>
    <w:p>
      <w:pPr>
        <w:numPr>
          <w:numId w:val="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peace officer has reasonable grounds to believe that the risk of harm to members of the public from the exercise of those privileges is less than the risk of harm to members of the public should those privileges not be exercised, and</w:t>
      </w:r>
    </w:p>
    <w:p>
      <w:pPr>
        <w:numPr>
          <w:numId w:val="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peace officer operates the following emergency equipment, as applicable:</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exercise of privileges described in section 122 (1) (a) to (c)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an emergency light and siren;</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exercise of privileges described in section 122 (1) (d)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an emergency light or an emergency light and siren.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considering whether there are reasonable grounds under subsection (1) ... a peace officer must</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consider the factors described in section 3(2), and</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weigh the degree of risk of harm to members of the public against the seriousness of the nature and circumstances of the suspected offence or incident.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Factors which will increase the risk of harm to members of the public for purposes of subsection (1) ... include</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attempting to close the distance between a peace officer's vehicle and another vehicle,</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there is poor visibility,</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there is pedestrian or other vehicular traffic on the highway, and</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peace officer must disregard a yield sign or pass through a crosswalk or uncontrolled intersection.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Entering an intersection</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 driver of an emergency vehicle exercising the privileges granted by section 122 (1)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must slow that vehicle to a speed consistent with reasonable care when approaching or entering an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factors referred to in section 4(3)(a), as described in section 3(2), are:</w:t>
      </w:r>
      <w:r>
        <w:rPr>
          <w:rFonts w:ascii="arial" w:eastAsia="arial" w:hAnsi="arial" w:cs="arial"/>
          <w:sz w:val="20"/>
          <w:lang w:val="en-US" w:eastAsia="en-US" w:bidi="ar-SA"/>
        </w:rPr>
        <w:cr/>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nature and circumstances of the suspected offence or incident;</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risk of harm posed by the manner in which the emergency vehicle is being or is likely to be operated;</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risk of harm posed by the distance, speed or length of time required or likely to be required to exercise the privileges;</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nature, condition and use of the highway;</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volume and nature of pedestrian or vehicular traffic that is, or might reasonably be expected to be, in the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Thus the statutory privileges granted by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's section 122 exemption are subject always to balancing the exigencies of the emergency with the risk of harm arising from the operation of the vehicle. In particular, the driver of any emergency vehicle exercising those privileges who approaches or enters an intersection must slow to a speed consistent with reasonable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deals further with right-of-way in section 177: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xml:space="preserve"> On the immediate approach of an emergency vehicle giving an audible signal by a bell, siren or exhaust whistle, and showing a visible flashing red light, except when otherwise directed by a peace officer, a driver must yield the right of way, and immediately drive to a position parallel to and as close as possible to the nearest edge or curb of the roadway, clear of an intersection, and stop and remain in that position until the emergency vehicle has passed.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Lal v. Lawson</w:t>
      </w:r>
      <w:r>
        <w:rPr>
          <w:rFonts w:ascii="arial" w:eastAsia="arial" w:hAnsi="arial" w:cs="arial"/>
          <w:color w:val="000000"/>
          <w:sz w:val="20"/>
          <w:lang w:val="en-US" w:eastAsia="en-US" w:bidi="ar-SA"/>
        </w:rPr>
        <w:t xml:space="preserve">, </w:t>
      </w:r>
      <w:hyperlink r:id="rId465" w:history="1">
        <w:r>
          <w:rPr>
            <w:rFonts w:ascii="arial" w:eastAsia="arial" w:hAnsi="arial" w:cs="arial"/>
            <w:i/>
            <w:color w:val="0077CC"/>
            <w:sz w:val="20"/>
            <w:u w:val="single"/>
            <w:shd w:val="clear" w:color="auto" w:fill="FFFFFF"/>
            <w:lang w:val="en-US" w:eastAsia="en-US" w:bidi="ar-SA"/>
          </w:rPr>
          <w:t>[1994] B.C.J. No. 273</w:t>
        </w:r>
      </w:hyperlink>
      <w:r>
        <w:rPr>
          <w:rFonts w:ascii="arial" w:eastAsia="arial" w:hAnsi="arial" w:cs="arial"/>
          <w:color w:val="000000"/>
          <w:sz w:val="20"/>
          <w:lang w:val="en-US" w:eastAsia="en-US" w:bidi="ar-SA"/>
        </w:rPr>
        <w:t xml:space="preserve"> (S.C.), concerned an intersection collision between the plaintiff and an RCMP cruiser with all emergency equipment activated. The police car had slowed to a stop before entering the intersection on a red light, and proceeded at a slow and safe speed after all lanes except the lane in which the plaintiff was driving had stopped to allow him to move ahead. The plaintiff was exceeding the speed limit. In dismissing the action, Vickers J. confirmed that the police officer could only proceed into the intersection with due attention and regard for the traffic present and for traffic he might anticipate at that time of the day. He concluded that the defendant had done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Frers v. De Moulin</w:t>
      </w:r>
      <w:r>
        <w:rPr>
          <w:rFonts w:ascii="arial" w:eastAsia="arial" w:hAnsi="arial" w:cs="arial"/>
          <w:color w:val="000000"/>
          <w:sz w:val="20"/>
          <w:lang w:val="en-US" w:eastAsia="en-US" w:bidi="ar-SA"/>
        </w:rPr>
        <w:t xml:space="preserve">, </w:t>
      </w:r>
      <w:hyperlink r:id="rId466" w:history="1">
        <w:r>
          <w:rPr>
            <w:rFonts w:ascii="arial" w:eastAsia="arial" w:hAnsi="arial" w:cs="arial"/>
            <w:i/>
            <w:color w:val="0077CC"/>
            <w:sz w:val="20"/>
            <w:u w:val="single"/>
            <w:shd w:val="clear" w:color="auto" w:fill="FFFFFF"/>
            <w:lang w:val="en-US" w:eastAsia="en-US" w:bidi="ar-SA"/>
          </w:rPr>
          <w:t>2002 BCSC 408</w:t>
        </w:r>
      </w:hyperlink>
      <w:r>
        <w:rPr>
          <w:rFonts w:ascii="arial" w:eastAsia="arial" w:hAnsi="arial" w:cs="arial"/>
          <w:color w:val="000000"/>
          <w:sz w:val="20"/>
          <w:lang w:val="en-US" w:eastAsia="en-US" w:bidi="ar-SA"/>
        </w:rPr>
        <w:t xml:space="preserve">, </w:t>
      </w:r>
      <w:hyperlink r:id="rId466" w:history="1">
        <w:r>
          <w:rPr>
            <w:rFonts w:ascii="arial" w:eastAsia="arial" w:hAnsi="arial" w:cs="arial"/>
            <w:i/>
            <w:color w:val="0077CC"/>
            <w:sz w:val="20"/>
            <w:u w:val="single"/>
            <w:shd w:val="clear" w:color="auto" w:fill="FFFFFF"/>
            <w:lang w:val="en-US" w:eastAsia="en-US" w:bidi="ar-SA"/>
          </w:rPr>
          <w:t>1 B.C.L.R. (4th) 131</w:t>
        </w:r>
      </w:hyperlink>
      <w:r>
        <w:rPr>
          <w:rFonts w:ascii="arial" w:eastAsia="arial" w:hAnsi="arial" w:cs="arial"/>
          <w:color w:val="000000"/>
          <w:sz w:val="20"/>
          <w:lang w:val="en-US" w:eastAsia="en-US" w:bidi="ar-SA"/>
        </w:rPr>
        <w:t>, was a claim by a police officer who was injured in an intersection collision while operating a motorcycle with his lights and siren activated. The police officer had entered the intersection against a red light. The defendant failed to see or hear him although cars in the other three lanes of traffic had stopped for the motorcycle.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L. Smith J. allowed the officer's claim, finding that the defendant had not been paying sufficient attention to the driving conditions, and that the presence of stopped cars in the other lanes ought to have alerted him to the hazard. Madam Justice Smith found the plaintiff contributorily negligent to the extent of 40% for proceeding into the intersection against the red light without first assuring himself that it was safe to do so. In her analysis, Smith J. accepted that section 177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gave the right-of-way to the emergency vehicle giving audible and visible emergency signals, and applied the test of whether the reasonably alert driver would perceive the signals. Her Ladyship concluded on the evidence before her that the plaintiff officer was sounding warnings in such a way that a reasonably alert driver could perceive them, and therefore had the right-of-way pursuant to section 177.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These principles were incorporated into the </w:t>
      </w:r>
      <w:r>
        <w:rPr>
          <w:rFonts w:ascii="arial" w:eastAsia="arial" w:hAnsi="arial" w:cs="arial"/>
          <w:i/>
          <w:color w:val="000000"/>
          <w:sz w:val="20"/>
          <w:lang w:val="en-US" w:eastAsia="en-US" w:bidi="ar-SA"/>
        </w:rPr>
        <w:t>RCMP Emergency Vehicle Operation Training Program Participant's Manual</w:t>
      </w:r>
      <w:r>
        <w:rPr>
          <w:rFonts w:ascii="arial" w:eastAsia="arial" w:hAnsi="arial" w:cs="arial"/>
          <w:color w:val="000000"/>
          <w:sz w:val="20"/>
          <w:lang w:val="en-US" w:eastAsia="en-US" w:bidi="ar-SA"/>
        </w:rPr>
        <w:t xml:space="preserve"> (April 2000), a program taken by Constable Kostiuk. In addition, that manual warned trainees of a number of factors including these:</w:t>
      </w:r>
      <w:r>
        <w:rPr>
          <w:rFonts w:ascii="arial" w:eastAsia="arial" w:hAnsi="arial" w:cs="arial"/>
          <w:sz w:val="20"/>
          <w:lang w:val="en-US" w:eastAsia="en-US" w:bidi="ar-SA"/>
        </w:rPr>
        <w:cr/>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Drivers are less likely to hear an approaching emergency vehicle due to better insulated vehicles along with improved sound systems and more powerful air-conditioning. Flashing emergency lights compete for drivers' attention with storefronts, billboards, traffic control devices and digital instrumentation as well as other vehicles on the streets.</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Driving at high speed can impair senses, including peripheral vision, depth perception and night vision.</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a police vehicle's speed increases the effectiveness of sirens diminishes as there just may not be enough time for pedestrians or other drivers to react promptly to the sound.</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normal perception/reaction time is about 1 1/2 seconds. At 50 mph [80 km/h] you are traveling 73 feet per second. In 1 1/2 seconds the car could travel 110 feet. If perception/reaction time were to double due to the various stress reactions occurring within the body, the vehicle would travel over 200 feet before the driver could apply his brakes.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An article included as an appendix to the manual, entitled </w:t>
      </w:r>
      <w:r>
        <w:rPr>
          <w:rFonts w:ascii="arial" w:eastAsia="arial" w:hAnsi="arial" w:cs="arial"/>
          <w:i/>
          <w:color w:val="000000"/>
          <w:sz w:val="20"/>
          <w:lang w:val="en-US" w:eastAsia="en-US" w:bidi="ar-SA"/>
        </w:rPr>
        <w:t>Rules of the Road: Some Perspectives on Emergency Driving</w:t>
      </w:r>
      <w:r>
        <w:rPr>
          <w:rFonts w:ascii="arial" w:eastAsia="arial" w:hAnsi="arial" w:cs="arial"/>
          <w:color w:val="000000"/>
          <w:sz w:val="20"/>
          <w:lang w:val="en-US" w:eastAsia="en-US" w:bidi="ar-SA"/>
        </w:rPr>
        <w:t>, contained this recommendation: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8. Come to a complete stop at all controlled intersections (e.g. red lights, stop signs) where you would not have the right-of-way without warning equipment.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Most accidents of any kind, but especially those involving emergency vehicles on emergency calls, occur at intersections. The practice of stopping at intersections has not appreciably hurt my agency's response times, although it has caused some shortening of brake life. But faithful adherence to it has resulted in countless instances in which vehicles would otherwise have been broadsided by motorists who either insisted on their right-of-way or did not perceive the warning equipment.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As a result of this accident, this recommendation has, as I understand it, now become RCMP policy. At the time of the accident, the policy for an officer approaching a controlled intersection was to slow sufficiently, and to stop if necessary, in order to ensure that it was safe to proceed through the intersection, consistent with section 6 of the </w:t>
      </w:r>
      <w:r>
        <w:rPr>
          <w:rFonts w:ascii="arial" w:eastAsia="arial" w:hAnsi="arial" w:cs="arial"/>
          <w:i/>
          <w:color w:val="000000"/>
          <w:sz w:val="20"/>
          <w:lang w:val="en-US" w:eastAsia="en-US" w:bidi="ar-SA"/>
        </w:rPr>
        <w:t>Regulation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2. </w:t>
      </w:r>
      <w:r>
        <w:rPr>
          <w:rFonts w:ascii="arial" w:eastAsia="arial" w:hAnsi="arial" w:cs="arial"/>
          <w:b/>
          <w:color w:val="000000"/>
          <w:sz w:val="20"/>
          <w:u w:val="single"/>
          <w:lang w:val="en-US" w:eastAsia="en-US" w:bidi="ar-SA"/>
        </w:rPr>
        <w:t>What was the emergency?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On the night of October 30-31, 2007, Constable Kostiuk was on her first night shift as a member of the Burnaby detachment of the RCMP. A member of the force since 2002, she had been transferred to Burnaby in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She testified that about 8:00 PM, a call came in reporting a suicidal female. Another officer was dispatched, and Constable Kostiuk attended at the location to back her up. The female in question was pregnant, and threatening to take a meat cleaver to her stomach. Her male roommate was the father of the baby, and had just come back from China having told his wife and parents of his complicated circumstances in Vancouver. On his return, he told the woman that their relationship was over. She was distraught. The police officers dealt with the situation by arresting the woman under the </w:t>
      </w:r>
      <w:r>
        <w:rPr>
          <w:rFonts w:ascii="arial" w:eastAsia="arial" w:hAnsi="arial" w:cs="arial"/>
          <w:i/>
          <w:color w:val="000000"/>
          <w:sz w:val="20"/>
          <w:lang w:val="en-US" w:eastAsia="en-US" w:bidi="ar-SA"/>
        </w:rPr>
        <w:t>Mental Health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288</w:t>
      </w:r>
      <w:r>
        <w:rPr>
          <w:rFonts w:ascii="arial" w:eastAsia="arial" w:hAnsi="arial" w:cs="arial"/>
          <w:color w:val="000000"/>
          <w:sz w:val="20"/>
          <w:lang w:val="en-US" w:eastAsia="en-US" w:bidi="ar-SA"/>
        </w:rPr>
        <w:t>, and taking her to Burnaby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Later that same night, at about 1:45 AM, a call came in advising that the woman in question was now back at her home, and had locked herself in her room. Her roommate reported that she expressly did not want the police to attend. Constable Kostiuk left immediately. Shortly after leaving, as she headed up Kingsway, she fully activated her emergency lights and siren. It was a quiet night, with minimal traffic.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It is always difficult for someone who was not there to assess the exigencies of the situation facing Constable Kostiuk. She believed the situation to be emergent, and in the circumstances, I accept that her conclusion was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3. </w:t>
      </w:r>
      <w:r>
        <w:rPr>
          <w:rFonts w:ascii="arial" w:eastAsia="arial" w:hAnsi="arial" w:cs="arial"/>
          <w:b/>
          <w:color w:val="000000"/>
          <w:sz w:val="20"/>
          <w:u w:val="single"/>
          <w:lang w:val="en-US" w:eastAsia="en-US" w:bidi="ar-SA"/>
        </w:rPr>
        <w:t>How did Cst. Kostiuk approach the intersection, and what did she see?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Constable Kostiuk turned onto Kingsway, heading northwest. She felt very aware and in control, notwithstanding what she described as the high stress of the situation. She recalls looking down at her speedometer and noting that her speed was about 80 km/h. She had green lights at the intersections, and things were going well. She had been taught to avoid tunnel vision, and to physically turn her head, which she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Constable Kostiuk testified that her emergency lights and siren were fully activated as she turned onto Kingsway. She turned the siren off briefly to get the address again from the dispatcher, and then turned it back on. The lights were kept on throughout.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As she approached Royal Oak, she remembers seeing that the light was red and observing headlights facing her, stopped at the intersection. On her right she passed a Safeway store, and then passed its parking lot. That parking lot occupied the space between the Safeway store and Royal Oak, and Constable Kostiuk looked through it for any cues indicating a possible threat. She said that the parking lot was empty, and she saw nothing. Slowing (she cannot say how much), she looked left and then quickly back to the right again, still seeing nothing. In doing so, Constable Kostiuk considered that she was acting in accordance with RCMP policy. She then accelerated through the intersection, which she believed to be clear. She testified that suddenly headlights appeared out of nowhere on her right, and then there was a heavy impact; she had no time even to touch the brake pedal. I accept that she did not see that vehicle until a split second before the collision, leaving her no time to react.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Mr. Dae Bae was the driver of the vehicle stopped at that intersection facing Constable Kostiuk as she approached it. It was his evidence that when he first saw the police car approaching, it was not driving quickly, and had no siren or emergency lights on. When it reached the Safeway store, its lights and siren were turned on, and it sped up. When the cruiser reached the intersection, it did not slow down, but sped up further and hit Mr. Haczewski's Chevrolet Cavalier, which then struck Mr. Bae's vehicle. The Cavalier's lights were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Jesse Wall was making deliveries to a 7-11 store on the northwest corner of the intersection at the time of the collision. He was inside the store, with the door open, when he heard a police siren, which he believed had just been turned on. I am unable to give any weight to his perception of when the siren was turned on, given that he was inside the store. What I do accept is his description of hearing first the siren, then the police car accelerating as its engine kicked down, followed by the collision a second or two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Two other witnesses gave evidence about the accident: Mr. Steve Cheung and Mr. Christopher Sargent. I did not find their testimony helpful and give little weight to it. Mr. Cheung was not in a position to see anything or hear very much, and Mr. Sargent's evidence was opinionated and conclusory. I prefer the evidence of the other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From the evidence of Constable Kostiuk and Mr. Bae, I find that the police cruiser's siren and lights were fully activated at least from the point of the Safeway store as Constable Kostiuk drove along Kingsway.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David M. Little, P. Eng., of Baker Materials Engineering Ltd., testified for the defence as an expert witness. He prepared two reports reconstructing the accident. The first is dated December 17, 2007, and was prepared for the RCMP as part of their investigation. The second is dated May 10, 2011, and was prepared for counsel for the defendants for use at trial. The second is much the same as the first, except that it expands on the question of the potential for either driver to avoid the collision based on the available site lines.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 Little noted that the intersection is not at right angles. Because Kingsway runs southeast to northwest, and Royal Oak runs on a north/south axis, they intersect at an oblique angle, and the vehicles would have approached each other at an angle of approximately 120 degrees. Their visibility to each other would have been compromised by a hedge on the Safeway parking lot close to the intersection and also by several poles and a Hydro utility box on that same corner. The hedge was high enough to block Mr. Haczewski's view of the emergency lights on the police cruiser, as well as the police cruiser's view of Mr. Haczewski's headlights.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With respect to the speed of the two vehicles, Mr. Little concluded, and I accept, that Constable Kostiuk was traveling at a speed of between 80 and 89 km/h at the moment of impact. He could not say at what speed she was traveling when she entered the intersection, except that it could not have been less than 76 km/h.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From the evidence of Mr. Little, Mr. Bae and Mr. Wall, I find that Constable Kostiuk accelerated into the intersection from a speed that was already high. Thus, to the extent that Constable Kostiuk slowed down before entering the intersection, as she testified, I conclude that she slowed down relatively little before accelerating to the point where she was traveling at about 80 km/h as she entered the intersection, and was still accelerating at the time of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As far as Mr. Haczewski's vehicle was concerned, Mr. Little put its speed at impact at between 50 and 58 km/h. The download from the car's airbag control module demonstrated that its speed was 50 km/h within a second of the moment of impact, and that its throttle position was 100%. This suggests that immediately before the collision, the driver reacted by flooring the gas pedal, but how much, if at all, the vehicle might have accelerated from 50 km/h before impact could not be demonstrated.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Based on these speeds, and the limited visibility in the area of the intersection, Mr. Little concluded in his first report that the time for the vehicles to reach impact from the point where they first became visible to each other was between 1.1 and 1.3 seconds. In his opinion, which I accept, this afforded both drivers little or no time to react, although Mr. Little observed that Mr. Haczewski was able to respond before the collision, but with little or no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This explains why, given the speed she was traveling, it appeared to Constable Kostiuk that Mr. Haczewski's vehicle appeared out of nowhere.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4. </w:t>
      </w:r>
      <w:r>
        <w:rPr>
          <w:rFonts w:ascii="arial" w:eastAsia="arial" w:hAnsi="arial" w:cs="arial"/>
          <w:b/>
          <w:color w:val="000000"/>
          <w:sz w:val="20"/>
          <w:u w:val="single"/>
          <w:lang w:val="en-US" w:eastAsia="en-US" w:bidi="ar-SA"/>
        </w:rPr>
        <w:t>Was Constable Kostiuk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Much was made during the trial of Constable Kostiuk's plea of guilty to a charge of driving without due care and attention.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On the evidence, it was clear that there existed a number of reasons for Constable Kostiuk to plead guilty to the lesser charge other than necessarily admitting her guilt - an unfortunate reality of plea-bargaining. Had she not accepted the plea bargain, she faced the potential of a conviction for dangerous driving causing death, a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xml:space="preserve"> offence. Such a conviction would have cost her her employment, given her a criminal record, and exposed her to a prison term: a particularly unpleasant prospect for a police officer.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Notwithstanding these circumstances, Constable Kostiuk very forthrightly agreed in her evidence that it was her understanding when she pleaded guilty that she thereby acknowledged that she had not used sufficient care as she approached the intersection that night.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 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On all of the evidence, I have no difficulty in concluding that Constable Kostiuk failed to exercise the degree of care required of a reasonable police officer, acting reasonably and within the statutory powers imposed upon her, in the circumstances she faced that night (see </w:t>
      </w:r>
      <w:r>
        <w:rPr>
          <w:rFonts w:ascii="arial" w:eastAsia="arial" w:hAnsi="arial" w:cs="arial"/>
          <w:i/>
          <w:color w:val="000000"/>
          <w:sz w:val="20"/>
          <w:lang w:val="en-US" w:eastAsia="en-US" w:bidi="ar-SA"/>
        </w:rPr>
        <w:t>Doern v. Philips Estate</w:t>
      </w:r>
      <w:r>
        <w:rPr>
          <w:rFonts w:ascii="arial" w:eastAsia="arial" w:hAnsi="arial" w:cs="arial"/>
          <w:color w:val="000000"/>
          <w:sz w:val="20"/>
          <w:lang w:val="en-US" w:eastAsia="en-US" w:bidi="ar-SA"/>
        </w:rPr>
        <w:t xml:space="preserve"> </w:t>
      </w:r>
      <w:hyperlink r:id="rId467" w:history="1">
        <w:r>
          <w:rPr>
            <w:rFonts w:ascii="arial" w:eastAsia="arial" w:hAnsi="arial" w:cs="arial"/>
            <w:i/>
            <w:color w:val="0077CC"/>
            <w:sz w:val="20"/>
            <w:u w:val="single"/>
            <w:shd w:val="clear" w:color="auto" w:fill="FFFFFF"/>
            <w:lang w:val="en-US" w:eastAsia="en-US" w:bidi="ar-SA"/>
          </w:rPr>
          <w:t>(1994), 2 B.C.L.R. (3d) 349</w:t>
        </w:r>
      </w:hyperlink>
      <w:r>
        <w:rPr>
          <w:rFonts w:ascii="arial" w:eastAsia="arial" w:hAnsi="arial" w:cs="arial"/>
          <w:color w:val="000000"/>
          <w:sz w:val="20"/>
          <w:lang w:val="en-US" w:eastAsia="en-US" w:bidi="ar-SA"/>
        </w:rPr>
        <w:t xml:space="preserve"> (S.C.) at para. 69, aff'd </w:t>
      </w:r>
      <w:hyperlink r:id="rId468" w:history="1">
        <w:r>
          <w:rPr>
            <w:rFonts w:ascii="arial" w:eastAsia="arial" w:hAnsi="arial" w:cs="arial"/>
            <w:i/>
            <w:color w:val="0077CC"/>
            <w:sz w:val="20"/>
            <w:u w:val="single"/>
            <w:shd w:val="clear" w:color="auto" w:fill="FFFFFF"/>
            <w:lang w:val="en-US" w:eastAsia="en-US" w:bidi="ar-SA"/>
          </w:rPr>
          <w:t>(1997), 43 B.C.L.R. (3d) 53</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As she headed up Kingsway in response to what she reasonably believed to be an emergency, Constable Kostiuk significantly exceeded the speed limit. On a quiet night with little traffic, that was justified. But circumstances changed when she approached the intersection with Royal Oak, a main street, facing a red light. She was not familiar with the intersection, and visibility was limited. She ought not to have entered it against the red light without first taking adequate steps to ensure that she could do so safely. She failed to do so. Reasonable care required her to slow right down before proceeding into that intersection, in order to ensure that it was in fact clear, and that she could enter it without risk of harm to the public. Instead, she accelerated into the intersection from what was already a high speed. In those circumstances, it was impossible for her to have any confidence that she could proceed safely, and the collision was the result. Such action was in no way justified by the exigencies of the emergency to which she was reacting.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5. </w:t>
      </w:r>
      <w:r>
        <w:rPr>
          <w:rFonts w:ascii="arial" w:eastAsia="arial" w:hAnsi="arial" w:cs="arial"/>
          <w:b/>
          <w:color w:val="000000"/>
          <w:sz w:val="20"/>
          <w:u w:val="single"/>
          <w:lang w:val="en-US" w:eastAsia="en-US" w:bidi="ar-SA"/>
        </w:rPr>
        <w:t>What could Albert Haczewski see and hear?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In his second report, Mr. Little revisited this question at the request of counsel for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About one month after the collision, the police re-enacted the accident. They arranged for a police car to approach Royal Oak along Kingsway as Constable Kostiuk had done, at high speed and with lights and siren engaged. They arranged for another vehicle to approach Kingsway along Royal Oak as Mr. Haczewski had done, and the passenger in that vehicle filmed what was visible on the approach to the intersection. Seven such sequences were filmed. Six of the seven sequences were consistent with Mr. Little's original conclusion. But one was different.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During the six consistent sequences, the videographer kept the camera pointing straight ahead along Royal Oak towards Kingsway. From this position, nothing was visible until the police car cleared the hedge, a second or so before impact would have occurred. During the seventh sequence, the camera operator rotated the camera to her left from her position in the front passenger seat and maintained it at that angle. When she did so, the police vehicle with its emergency lights could briefly be seen across the Safeway parking lot after it cleared the Safeway building, and </w:t>
      </w:r>
      <w:r>
        <w:rPr>
          <w:rFonts w:ascii="arial" w:eastAsia="arial" w:hAnsi="arial" w:cs="arial"/>
          <w:i/>
          <w:color w:val="000000"/>
          <w:sz w:val="20"/>
          <w:lang w:val="en-US" w:eastAsia="en-US" w:bidi="ar-SA"/>
        </w:rPr>
        <w:t>before</w:t>
      </w:r>
      <w:r>
        <w:rPr>
          <w:rFonts w:ascii="arial" w:eastAsia="arial" w:hAnsi="arial" w:cs="arial"/>
          <w:color w:val="000000"/>
          <w:sz w:val="20"/>
          <w:lang w:val="en-US" w:eastAsia="en-US" w:bidi="ar-SA"/>
        </w:rPr>
        <w:t xml:space="preserve"> it became blocked by the hedge. As noted above, I am satisfied that Constable Kostiuk's emergency lights were on by that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At that same point, Mr. Haczewski's vehicle would have been about 3.6 seconds from impact. Mr. Little concluded, and I accept, that this was enough time for a reasonably attentive driver to avoid the collision if, in fact, he had been able to perceive the police vehicle through the Safeway parking lot at that moment.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Whether that opportunity of perception had existed for Mr. Haczewski, Mr. Little could not say. He noted that this would depend upon several assumptions, three of which, in my view, are of particular importance, and were not proven.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first is that when the collision occurred, the parking lot was empty of any vehicles that could obstruct the site lines, as it was at the time of the re-enactment. The only evidence on this point is that of Constable Kostiuk, who testified that the lot was empty when she looked across it searching for cues. She must have done so before the hedge intervened to block her view of the lot altogether. Although I accept that this is what she now recalls, I am unable to give any weight to that evidence given the darkness, her speed, and the briefness of the glance she would have directed to the parking lot. I also note that although Mr. Haczewski's vehicle must have then been moving on the other side of it, she saw nothing before the hedge blocked her view even though she was specifically looking for cues such as movement.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second is that the A-pillar did not obstruct Mr. Haczewski's view of the police vehicle approaching on his left. This is important because in the re-enactment the camera was filming the view from the passenger seat, not the driver's seat. While this would make little difference when filming straight ahead, the difference is significant when filming at an angle given the different positions of driver and passenger. Consequently, on the evidence, we do not know that what the camera saw from the passenger seat is also what the driver could have seen.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third is that a flashing strobe light located at the time of the accident on the southeast corner of the intersection (but since removed) did not significantly distract Mr. Haczewski, thereby increasing the time it would take for a normally attentive driver to initiate a response. The evidence is silent on that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To these I would add a fourth factor. What a camera pointed fixedly in a particular direction records is not necessarily helpful in trying to discern what the driver ought to have seen. This is demonstrated by the fact that the camera picked up nothing of significance in six of the seven sequences when it was pointed straight ahead, which is where one would expect most drivers to be looking. Only when the camera was rotated to the left and aimed in the direction where those re-enacting the sequence knew in advance the police cruiser would be, was an earlier sighting obtained. Mr. Haczewski would not have had that advantage.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Mr. Little described this sequence as demonstrating nothing more than that there </w:t>
      </w:r>
      <w:r>
        <w:rPr>
          <w:rFonts w:ascii="arial" w:eastAsia="arial" w:hAnsi="arial" w:cs="arial"/>
          <w:i/>
          <w:color w:val="000000"/>
          <w:sz w:val="20"/>
          <w:lang w:val="en-US" w:eastAsia="en-US" w:bidi="ar-SA"/>
        </w:rPr>
        <w:t>could</w:t>
      </w:r>
      <w:r>
        <w:rPr>
          <w:rFonts w:ascii="arial" w:eastAsia="arial" w:hAnsi="arial" w:cs="arial"/>
          <w:color w:val="000000"/>
          <w:sz w:val="20"/>
          <w:lang w:val="en-US" w:eastAsia="en-US" w:bidi="ar-SA"/>
        </w:rPr>
        <w:t xml:space="preserve"> have been an </w:t>
      </w:r>
      <w:r>
        <w:rPr>
          <w:rFonts w:ascii="arial" w:eastAsia="arial" w:hAnsi="arial" w:cs="arial"/>
          <w:i/>
          <w:color w:val="000000"/>
          <w:sz w:val="20"/>
          <w:lang w:val="en-US" w:eastAsia="en-US" w:bidi="ar-SA"/>
        </w:rPr>
        <w:t>opportunity</w:t>
      </w:r>
      <w:r>
        <w:rPr>
          <w:rFonts w:ascii="arial" w:eastAsia="arial" w:hAnsi="arial" w:cs="arial"/>
          <w:color w:val="000000"/>
          <w:sz w:val="20"/>
          <w:lang w:val="en-US" w:eastAsia="en-US" w:bidi="ar-SA"/>
        </w:rPr>
        <w:t xml:space="preserve"> for Mr. Haczewski to have seen Constable Kostiuk's cruiser at an earlier moment. The onus of proof for this issue is on the defence. I am unable to conclude from the evidence, on a balance of probabilities, that Mr. Haczewski in fact had that opportunity, and that he </w:t>
      </w:r>
      <w:r>
        <w:rPr>
          <w:rFonts w:ascii="arial" w:eastAsia="arial" w:hAnsi="arial" w:cs="arial"/>
          <w:i/>
          <w:color w:val="000000"/>
          <w:sz w:val="20"/>
          <w:lang w:val="en-US" w:eastAsia="en-US" w:bidi="ar-SA"/>
        </w:rPr>
        <w:t>should</w:t>
      </w:r>
      <w:r>
        <w:rPr>
          <w:rFonts w:ascii="arial" w:eastAsia="arial" w:hAnsi="arial" w:cs="arial"/>
          <w:color w:val="000000"/>
          <w:sz w:val="20"/>
          <w:lang w:val="en-US" w:eastAsia="en-US" w:bidi="ar-SA"/>
        </w:rPr>
        <w:t xml:space="preserve"> have seen Constable Kostiuk's cruiser at any time earlier than that set out by Mr. Little in his first report, being a second or so before impact. In my view, on a balance of probabilities, Mr. Little's first conclusion was the correct one, and I accept it. Mr. Haczewski was not in a position in which an alert driver could reasonably be expected to see the danger until he and Constable Kostiuk had both cleared the hedge. At that point there was nothing he could reasonably have done to avoid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In coming to this conclusion, I also accept Mr. Little's opinion on the question of whether Mr. Haczewski could have been alerted to the presence of the police vehicle by a siren, before it became visible. He formed the view that the siren would have provided Mr. Haczewski with little or no warning. Tests undertaken during the night-time re-enactment revealed that the police cruiser's siren generated sound levels within the other vehicle similar to those found in normal conversation, and was not heard in any event until both vehicles were relatively close. Even then, the direction from which the sound came was not immediately apparent. I gather that as a result of these tests, the RCMP have since increased the volume of their sirens.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6. </w:t>
      </w:r>
      <w:r>
        <w:rPr>
          <w:rFonts w:ascii="arial" w:eastAsia="arial" w:hAnsi="arial" w:cs="arial"/>
          <w:b/>
          <w:color w:val="000000"/>
          <w:sz w:val="20"/>
          <w:u w:val="single"/>
          <w:lang w:val="en-US" w:eastAsia="en-US" w:bidi="ar-SA"/>
        </w:rPr>
        <w:t>Was Mr. Haczewski contributorily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The defendants submit that section 177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applied, and that Mr. Haczewski was therefore negligent in failing to yield the right-of-way to Constable Kostiuk's vehicle. I disagree.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The requirement that a person in Mr. Haczewski's position yield right-of-way to an emergency vehicle depends upon that vehicle giving an audible signal and showing a visible flashing red light. As Madam Justice Smith noted in </w:t>
      </w:r>
      <w:r>
        <w:rPr>
          <w:rFonts w:ascii="arial" w:eastAsia="arial" w:hAnsi="arial" w:cs="arial"/>
          <w:i/>
          <w:color w:val="000000"/>
          <w:sz w:val="20"/>
          <w:lang w:val="en-US" w:eastAsia="en-US" w:bidi="ar-SA"/>
        </w:rPr>
        <w:t>Frers</w:t>
      </w:r>
      <w:r>
        <w:rPr>
          <w:rFonts w:ascii="arial" w:eastAsia="arial" w:hAnsi="arial" w:cs="arial"/>
          <w:color w:val="000000"/>
          <w:sz w:val="20"/>
          <w:lang w:val="en-US" w:eastAsia="en-US" w:bidi="ar-SA"/>
        </w:rPr>
        <w:t>, the applicable test is whether the reasonably alert driver would perceive the signals. As discussed above, I have already concluded, on a balance of probabilities, that an alert driver in Mr. Haczewski's position would not have perceived the signals until both vehicles cleared the hedge, approximately one second before the collision. Since it was by then too late for either driver to react to the other, it follows that there was no failure to yield the right-of-way by Mr. Haczewski.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defendants argued next that Mr. Haczewski was nevertheless contributorily negligent because he had smoked marijuana that evening, which would have impaired his ability to react.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This argument was premised upon the expert evidence of W. K. Jeffery, B.Sc., M.Sc., a consultant in the area of forensic alcohol and drug toxicology. He was formerly the section head of the Toxicology Services Section of the RCMP Forensic Laboratory in Vancouver. His expertise was not challenged.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Blood and urine samples were taken from Mr. Haczewski for analysis following his tragic death. According to Mr. Jeffery, the results indicated that Mr. Haczewski had a fairly high concentration of tetrahydrocannabinol (THC) in his blood at the time of his death. The metabolite results suggested that he was but an infrequent user of the drug. In Mr. Jeffery's opinion, the concentrations indicated that Mr. Haczewski had likely smoked the cannabis product at some point between shortly after midnight and the time of the collision, although he conceded that calculating the time of smoking cannabis through post-mortem samples is controversial, and it could have been several hours earlier.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It was Mr. Jeffery's opinion that it is very likely that Mr. Haczewski was under the influence of marijuana at the time of the accident, and would have been experiencing some of the impairing effects of marijuana at that time. In cross-examination, Mr. Jeffery agreed that while the blood samples indicated how much Mr. Haczewski had smoked, they could not tell us what effect the marijuana had on him. This is because the pharmacological effects of marijuana vary significantly from individual to individual, and the data does not yet allow a correlation to be made between a THC blood level and a known state of intoxication. Mr. Jeffery therefore could not be certain that Mr. Haczewski would have been impaired. Nevertheless, he felt able to conclude that some effects would likely have been present, although he could not say to what extent.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standard of proof I must apply, of course, is probability, not certainty. Based upon Mr. Jeffery's opinions, I find it probable that a "naïve user" like Mr. Haczewski, who had smoked the amount of marijuana necessary to yield a THC blood level of 4.4 ng/m within the past two to four hours, would have been experiencing some of the typical effects of the drug in and around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 am unable to come to any conclusion about the extent of impairment. I nevertheless accept that marijuana has been shown to impair driving performance, and that to drive while under the influence of marijuana constitutes a failure to take reasonable care for one's own safety and for the safety of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Before such a breach of the standard of reasonable care can be equated to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however, I must be satisfied on a balance of probabilities that there existed a causal link between that breach and the accident in question: </w:t>
      </w:r>
      <w:r>
        <w:rPr>
          <w:rFonts w:ascii="arial" w:eastAsia="arial" w:hAnsi="arial" w:cs="arial"/>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295"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 xml:space="preserve">, </w:t>
      </w:r>
      <w:hyperlink r:id="rId295" w:history="1">
        <w:r>
          <w:rPr>
            <w:rFonts w:ascii="arial" w:eastAsia="arial" w:hAnsi="arial" w:cs="arial"/>
            <w:i/>
            <w:color w:val="0077CC"/>
            <w:sz w:val="20"/>
            <w:u w:val="single"/>
            <w:shd w:val="clear" w:color="auto" w:fill="FFFFFF"/>
            <w:lang w:val="en-US" w:eastAsia="en-US" w:bidi="ar-SA"/>
          </w:rPr>
          <w:t>[2007] 1 S.C.R. 333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Clements (Litigation Guardian of) v. Clements</w:t>
      </w:r>
      <w:r>
        <w:rPr>
          <w:rFonts w:ascii="arial" w:eastAsia="arial" w:hAnsi="arial" w:cs="arial"/>
          <w:color w:val="000000"/>
          <w:sz w:val="20"/>
          <w:lang w:val="en-US" w:eastAsia="en-US" w:bidi="ar-SA"/>
        </w:rPr>
        <w:t xml:space="preserve">, </w:t>
      </w:r>
      <w:hyperlink r:id="rId469" w:history="1">
        <w:r>
          <w:rPr>
            <w:rFonts w:ascii="arial" w:eastAsia="arial" w:hAnsi="arial" w:cs="arial"/>
            <w:i/>
            <w:color w:val="0077CC"/>
            <w:sz w:val="20"/>
            <w:u w:val="single"/>
            <w:shd w:val="clear" w:color="auto" w:fill="FFFFFF"/>
            <w:lang w:val="en-US" w:eastAsia="en-US" w:bidi="ar-SA"/>
          </w:rPr>
          <w:t>2010 BCCA 581</w:t>
        </w:r>
      </w:hyperlink>
      <w:r>
        <w:rPr>
          <w:rFonts w:ascii="arial" w:eastAsia="arial" w:hAnsi="arial" w:cs="arial"/>
          <w:color w:val="000000"/>
          <w:sz w:val="20"/>
          <w:lang w:val="en-US" w:eastAsia="en-US" w:bidi="ar-SA"/>
        </w:rPr>
        <w:t xml:space="preserve"> (leave to appeal to SCC granted, </w:t>
      </w:r>
      <w:hyperlink r:id="rId470" w:history="1">
        <w:r>
          <w:rPr>
            <w:rFonts w:ascii="arial" w:eastAsia="arial" w:hAnsi="arial" w:cs="arial"/>
            <w:i/>
            <w:color w:val="0077CC"/>
            <w:sz w:val="20"/>
            <w:u w:val="single"/>
            <w:shd w:val="clear" w:color="auto" w:fill="FFFFFF"/>
            <w:lang w:val="en-US" w:eastAsia="en-US" w:bidi="ar-SA"/>
          </w:rPr>
          <w:t>[2011] S.C.C.A. No. 61</w:t>
        </w:r>
      </w:hyperlink>
      <w:r>
        <w:rPr>
          <w:rFonts w:ascii="arial" w:eastAsia="arial" w:hAnsi="arial" w:cs="arial"/>
          <w:color w:val="000000"/>
          <w:sz w:val="20"/>
          <w:lang w:val="en-US" w:eastAsia="en-US" w:bidi="ar-SA"/>
        </w:rPr>
        <w:t>, [2011] 2 S.C.R. vi; appeal argued February 17, 2012, judgment reserved).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In this case, the evidence does not close that gap. It did not establish to what degree Mr. Haczewski's ability to drive would have been impaired. But more importantly, it </w:t>
      </w:r>
      <w:r>
        <w:rPr>
          <w:rFonts w:ascii="arial" w:eastAsia="arial" w:hAnsi="arial" w:cs="arial"/>
          <w:i/>
          <w:color w:val="000000"/>
          <w:sz w:val="20"/>
          <w:lang w:val="en-US" w:eastAsia="en-US" w:bidi="ar-SA"/>
        </w:rPr>
        <w:t>did</w:t>
      </w:r>
      <w:r>
        <w:rPr>
          <w:rFonts w:ascii="arial" w:eastAsia="arial" w:hAnsi="arial" w:cs="arial"/>
          <w:color w:val="000000"/>
          <w:sz w:val="20"/>
          <w:lang w:val="en-US" w:eastAsia="en-US" w:bidi="ar-SA"/>
        </w:rPr>
        <w:t xml:space="preserve"> establish that Mr. Haczewski had no real opportunity to react, regardless of his ability to do so. On the evidence, a normally alert driver would have fared no better than he did. As a result, it cannot be said that any impairment of Mr. Haczewski's abilities causally contributed to the accident. In fact, ironically, the evidence suggests that he reacted more promptly than Constable Kostiuk, given that he was able to floor the accelerator, while Constable Kostiuk was unable to react in any way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Counsel for the defendants submits that Mr. Haczewski's apparent decision to floor the gas pedal instead of the brake pedal may have been a "fatal error in judgment", possibly attributable to his marijuana use. There is no evidentiary basis for that submission whatsoever. Nothing in Mr. Little's report suggests that the outcome would have been different in the absence of Mr. Haczewski stepping on the accelerator; indeed, Mr. Little could not even be sure that his vehicle had in fact accelerated. Given Constable Kostiuk's own evidence that she had no time to apply her brake, it is difficult to see on what basis it could be argued that Mr. Haczewski ought to have done so. Moreover, in the face of the imminent catastrophe that confronted both drivers at that fateful moment, the law is clear that we are not to judge their responses too finely.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In these circumstances, the evidence falls short of establishing any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Mr. Haczewski, and the third party claim against his estate must be dismissed. It follows that Constable Kostiuk was wholly at fault. By section 11 of the </w:t>
      </w:r>
      <w:r>
        <w:rPr>
          <w:rFonts w:ascii="arial" w:eastAsia="arial" w:hAnsi="arial" w:cs="arial"/>
          <w:i/>
          <w:color w:val="000000"/>
          <w:sz w:val="20"/>
          <w:lang w:val="en-US" w:eastAsia="en-US" w:bidi="ar-SA"/>
        </w:rPr>
        <w:t>Police Act</w:t>
      </w:r>
      <w:r>
        <w:rPr>
          <w:rFonts w:ascii="arial" w:eastAsia="arial" w:hAnsi="arial" w:cs="arial"/>
          <w:color w:val="000000"/>
          <w:sz w:val="20"/>
          <w:lang w:val="en-US" w:eastAsia="en-US" w:bidi="ar-SA"/>
        </w:rPr>
        <w:t>, the Minister is vicariously liable for that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No evidence was led that would establish liability on the part of the Crown Provincial other than vicarious liability pursuant to the same provision. On the authority of the </w:t>
      </w:r>
      <w:r>
        <w:rPr>
          <w:rFonts w:ascii="arial" w:eastAsia="arial" w:hAnsi="arial" w:cs="arial"/>
          <w:i/>
          <w:color w:val="000000"/>
          <w:sz w:val="20"/>
          <w:lang w:val="en-US" w:eastAsia="en-US" w:bidi="ar-SA"/>
        </w:rPr>
        <w:t>Hill</w:t>
      </w:r>
      <w:r>
        <w:rPr>
          <w:rFonts w:ascii="arial" w:eastAsia="arial" w:hAnsi="arial" w:cs="arial"/>
          <w:color w:val="000000"/>
          <w:sz w:val="20"/>
          <w:lang w:val="en-US" w:eastAsia="en-US" w:bidi="ar-SA"/>
        </w:rPr>
        <w:t xml:space="preserve"> case, that is sufficient. No contrary authorities were provided. Accordingly, I find that liability has been established against both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1. </w:t>
      </w:r>
      <w:r>
        <w:rPr>
          <w:rFonts w:ascii="arial" w:eastAsia="arial" w:hAnsi="arial" w:cs="arial"/>
          <w:b/>
          <w:color w:val="000000"/>
          <w:sz w:val="20"/>
          <w:u w:val="single"/>
          <w:lang w:val="en-US" w:eastAsia="en-US" w:bidi="ar-SA"/>
        </w:rPr>
        <w:t>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Albert Haczewski, who was born in Montréal of Polish parents, died at the age of 27. He was employed by Telus Communications as a customer service representative. His widow, Paula Haczewski, and his parents, Jacek and Barbara Haczewski, all claim damages pursuant to the </w:t>
      </w:r>
      <w:r>
        <w:rPr>
          <w:rFonts w:ascii="arial" w:eastAsia="arial" w:hAnsi="arial" w:cs="arial"/>
          <w:i/>
          <w:color w:val="000000"/>
          <w:sz w:val="20"/>
          <w:lang w:val="en-US" w:eastAsia="en-US" w:bidi="ar-SA"/>
        </w:rPr>
        <w:t>Family Compensation Act</w:t>
      </w:r>
      <w:r>
        <w:rPr>
          <w:rFonts w:ascii="arial" w:eastAsia="arial" w:hAnsi="arial" w:cs="arial"/>
          <w:color w:val="000000"/>
          <w:sz w:val="20"/>
          <w:lang w:val="en-US" w:eastAsia="en-US" w:bidi="ar-SA"/>
        </w:rPr>
        <w:t xml:space="preserve"> for his wrongful death. These claims consist of:</w:t>
      </w:r>
      <w:r>
        <w:rPr>
          <w:rFonts w:ascii="arial" w:eastAsia="arial" w:hAnsi="arial" w:cs="arial"/>
          <w:sz w:val="20"/>
          <w:lang w:val="en-US" w:eastAsia="en-US" w:bidi="ar-SA"/>
        </w:rPr>
        <w:cr/>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past and future support, both financial and for household services;</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income tax gross up and management fees;</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love, guidance and affection;</w:t>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 and</w:t>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interest pursuant to the </w:t>
      </w:r>
      <w:r>
        <w:rPr>
          <w:rFonts w:ascii="arial" w:eastAsia="arial" w:hAnsi="arial" w:cs="arial"/>
          <w:i/>
          <w:color w:val="000000"/>
          <w:sz w:val="20"/>
          <w:lang w:val="en-US" w:eastAsia="en-US" w:bidi="ar-SA"/>
        </w:rPr>
        <w:t>Court Order Interest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Because they all share the same surname, I will refer to the plaintiffs by their first names, meaning no disrespect by doing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defendants maintain that only Paula is entitled to damages in the circumstances of this case, and that any award to her must take into account a number of significant contingencies. They further submit that any award must take into account a reduced life expectancy, because it was discovered during the autopsy performed on Albert Haczewski that there was evidence of a "single focus of moderate to severe atherosclerosis in one of the coronary arteries". The forensic pathologist quantified this as a "60-70% stenosis in the left coronary artery".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The leading case for the assessment of damages in fatal accident cases in this province is </w:t>
      </w:r>
      <w:r>
        <w:rPr>
          <w:rFonts w:ascii="arial" w:eastAsia="arial" w:hAnsi="arial" w:cs="arial"/>
          <w:i/>
          <w:color w:val="000000"/>
          <w:sz w:val="20"/>
          <w:lang w:val="en-US" w:eastAsia="en-US" w:bidi="ar-SA"/>
        </w:rPr>
        <w:t>Ruiz v. Bouaziz</w:t>
      </w:r>
      <w:r>
        <w:rPr>
          <w:rFonts w:ascii="arial" w:eastAsia="arial" w:hAnsi="arial" w:cs="arial"/>
          <w:color w:val="000000"/>
          <w:sz w:val="20"/>
          <w:lang w:val="en-US" w:eastAsia="en-US" w:bidi="ar-SA"/>
        </w:rPr>
        <w:t xml:space="preserve">, </w:t>
      </w:r>
      <w:hyperlink r:id="rId471" w:history="1">
        <w:r>
          <w:rPr>
            <w:rFonts w:ascii="arial" w:eastAsia="arial" w:hAnsi="arial" w:cs="arial"/>
            <w:i/>
            <w:color w:val="0077CC"/>
            <w:sz w:val="20"/>
            <w:u w:val="single"/>
            <w:shd w:val="clear" w:color="auto" w:fill="FFFFFF"/>
            <w:lang w:val="en-US" w:eastAsia="en-US" w:bidi="ar-SA"/>
          </w:rPr>
          <w:t>2001 BCCA 207</w:t>
        </w:r>
      </w:hyperlink>
      <w:r>
        <w:rPr>
          <w:rFonts w:ascii="arial" w:eastAsia="arial" w:hAnsi="arial" w:cs="arial"/>
          <w:color w:val="000000"/>
          <w:sz w:val="20"/>
          <w:lang w:val="en-US" w:eastAsia="en-US" w:bidi="ar-SA"/>
        </w:rPr>
        <w:t>, where the Court of Appeal said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[53] [</w:t>
      </w:r>
      <w:r>
        <w:rPr>
          <w:rFonts w:ascii="arial" w:eastAsia="arial" w:hAnsi="arial" w:cs="arial"/>
          <w:i/>
          <w:color w:val="000000"/>
          <w:sz w:val="20"/>
          <w:lang w:val="en-US" w:eastAsia="en-US" w:bidi="ar-SA"/>
        </w:rPr>
        <w:t>Skelding v. Skelding</w:t>
      </w:r>
      <w:r>
        <w:rPr>
          <w:rFonts w:ascii="arial" w:eastAsia="arial" w:hAnsi="arial" w:cs="arial"/>
          <w:color w:val="000000"/>
          <w:sz w:val="20"/>
          <w:lang w:val="en-US" w:eastAsia="en-US" w:bidi="ar-SA"/>
        </w:rPr>
        <w:t xml:space="preserve"> </w:t>
      </w:r>
      <w:hyperlink r:id="rId472" w:history="1">
        <w:r>
          <w:rPr>
            <w:rFonts w:ascii="arial" w:eastAsia="arial" w:hAnsi="arial" w:cs="arial"/>
            <w:i/>
            <w:color w:val="0077CC"/>
            <w:sz w:val="20"/>
            <w:u w:val="single"/>
            <w:shd w:val="clear" w:color="auto" w:fill="FFFFFF"/>
            <w:lang w:val="en-US" w:eastAsia="en-US" w:bidi="ar-SA"/>
          </w:rPr>
          <w:t>(1994), 95 B.C.L.R. (2d) 201</w:t>
        </w:r>
      </w:hyperlink>
      <w:r>
        <w:rPr>
          <w:rFonts w:ascii="arial" w:eastAsia="arial" w:hAnsi="arial" w:cs="arial"/>
          <w:color w:val="000000"/>
          <w:sz w:val="20"/>
          <w:lang w:val="en-US" w:eastAsia="en-US" w:bidi="ar-SA"/>
        </w:rPr>
        <w:t xml:space="preserve"> (C.A.)] supports the proposition that the normal tort measure of damages is to apply to fatal accident cases as it does to non-fatal accident cases. The basic principle is that the injured person is to be compensated for the full amount of his actual loss and no more, as Gibbs J.A explained at para. 18:</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may be that what has led to confusion in the reported judgments which do not apply the tort principles clarified in </w:t>
      </w:r>
      <w:r>
        <w:rPr>
          <w:rFonts w:ascii="arial" w:eastAsia="arial" w:hAnsi="arial" w:cs="arial"/>
          <w:i/>
          <w:color w:val="000000"/>
          <w:sz w:val="20"/>
          <w:lang w:val="en-US" w:eastAsia="en-US" w:bidi="ar-SA"/>
        </w:rPr>
        <w:t>Ratych v. Bloomer</w:t>
      </w:r>
      <w:r>
        <w:rPr>
          <w:rFonts w:ascii="arial" w:eastAsia="arial" w:hAnsi="arial" w:cs="arial"/>
          <w:color w:val="000000"/>
          <w:sz w:val="20"/>
          <w:lang w:val="en-US" w:eastAsia="en-US" w:bidi="ar-SA"/>
        </w:rPr>
        <w:t xml:space="preserve"> [</w:t>
      </w:r>
      <w:hyperlink r:id="rId473" w:history="1">
        <w:r>
          <w:rPr>
            <w:rFonts w:ascii="arial" w:eastAsia="arial" w:hAnsi="arial" w:cs="arial"/>
            <w:i/>
            <w:color w:val="0077CC"/>
            <w:sz w:val="20"/>
            <w:u w:val="single"/>
            <w:shd w:val="clear" w:color="auto" w:fill="FFFFFF"/>
            <w:lang w:val="en-US" w:eastAsia="en-US" w:bidi="ar-SA"/>
          </w:rPr>
          <w:t>(1990), 69 D.L.R. (4th) 25</w:t>
        </w:r>
      </w:hyperlink>
      <w:r>
        <w:rPr>
          <w:rFonts w:ascii="arial" w:eastAsia="arial" w:hAnsi="arial" w:cs="arial"/>
          <w:color w:val="000000"/>
          <w:sz w:val="20"/>
          <w:lang w:val="en-US" w:eastAsia="en-US" w:bidi="ar-SA"/>
        </w:rPr>
        <w:t xml:space="preserve"> (S.C.C.)] is a failure to distinguish between the right to be compensated for loss and the kind of loss which will be compensable. Where the injured person survives, the loss is customarily classified into the separate heads of non-pecuniary, lost wages past and future, future care and the like. Whereas, when the injured party does not survive, the loss for which the claimants are entitled to be compensated is, as Dickson J. said in </w:t>
      </w:r>
      <w:r>
        <w:rPr>
          <w:rFonts w:ascii="arial" w:eastAsia="arial" w:hAnsi="arial" w:cs="arial"/>
          <w:i/>
          <w:color w:val="000000"/>
          <w:sz w:val="20"/>
          <w:lang w:val="en-US" w:eastAsia="en-US" w:bidi="ar-SA"/>
        </w:rPr>
        <w:t>Keizer v. Hanna</w:t>
      </w:r>
      <w:r>
        <w:rPr>
          <w:rFonts w:ascii="arial" w:eastAsia="arial" w:hAnsi="arial" w:cs="arial"/>
          <w:color w:val="000000"/>
          <w:sz w:val="20"/>
          <w:lang w:val="en-US" w:eastAsia="en-US" w:bidi="ar-SA"/>
        </w:rPr>
        <w:t xml:space="preserve">, </w:t>
      </w:r>
      <w:hyperlink r:id="rId474" w:history="1">
        <w:r>
          <w:rPr>
            <w:rFonts w:ascii="arial" w:eastAsia="arial" w:hAnsi="arial" w:cs="arial"/>
            <w:i/>
            <w:color w:val="0077CC"/>
            <w:sz w:val="20"/>
            <w:u w:val="single"/>
            <w:shd w:val="clear" w:color="auto" w:fill="FFFFFF"/>
            <w:lang w:val="en-US" w:eastAsia="en-US" w:bidi="ar-SA"/>
          </w:rPr>
          <w:t>[1978] 2 S.C.R. 342</w:t>
        </w:r>
      </w:hyperlink>
      <w:r>
        <w:rPr>
          <w:rFonts w:ascii="arial" w:eastAsia="arial" w:hAnsi="arial" w:cs="arial"/>
          <w:color w:val="000000"/>
          <w:sz w:val="20"/>
          <w:lang w:val="en-US" w:eastAsia="en-US" w:bidi="ar-SA"/>
        </w:rPr>
        <w:t>, the amount which will provide at least the equal of what might have been expected to have been provided by the deceased person but for the accident. The assessment of the appropriate amount is to be "neither punitive nor influenced by sentimentality. It is largely an exercise of business judgment."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[54] In summary, in a family compensation claim, family members may claim damages proportioned to the pecuniary loss they suffered as a result of the loss of a relationship with a loved one. The loss of anticipated benefit that must be compensated has been called globally "dependency" and it must be assessed by the exercise of "business judgment."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[55] A precise formula for exercising that business judgment has proven elusive. Innumerable authorities have considered how to approach the assessment of the loss of dependency. Many were cited to us. One of the most succinct statements of the basis for awarding compensation under fatal accident legislation is that of Cartwright J. in </w:t>
      </w:r>
      <w:r>
        <w:rPr>
          <w:rFonts w:ascii="arial" w:eastAsia="arial" w:hAnsi="arial" w:cs="arial"/>
          <w:i/>
          <w:color w:val="000000"/>
          <w:sz w:val="20"/>
          <w:lang w:val="en-US" w:eastAsia="en-US" w:bidi="ar-SA"/>
        </w:rPr>
        <w:t>Proctor v. Dyck</w:t>
      </w:r>
      <w:r>
        <w:rPr>
          <w:rFonts w:ascii="arial" w:eastAsia="arial" w:hAnsi="arial" w:cs="arial"/>
          <w:color w:val="000000"/>
          <w:sz w:val="20"/>
          <w:lang w:val="en-US" w:eastAsia="en-US" w:bidi="ar-SA"/>
        </w:rPr>
        <w:t xml:space="preserve">, </w:t>
      </w:r>
      <w:hyperlink r:id="rId475" w:history="1">
        <w:r>
          <w:rPr>
            <w:rFonts w:ascii="arial" w:eastAsia="arial" w:hAnsi="arial" w:cs="arial"/>
            <w:i/>
            <w:color w:val="0077CC"/>
            <w:sz w:val="20"/>
            <w:u w:val="single"/>
            <w:shd w:val="clear" w:color="auto" w:fill="FFFFFF"/>
            <w:lang w:val="en-US" w:eastAsia="en-US" w:bidi="ar-SA"/>
          </w:rPr>
          <w:t>[1953] 1 S.C.R. 244</w:t>
        </w:r>
      </w:hyperlink>
      <w:r>
        <w:rPr>
          <w:rFonts w:ascii="arial" w:eastAsia="arial" w:hAnsi="arial" w:cs="arial"/>
          <w:color w:val="000000"/>
          <w:sz w:val="20"/>
          <w:lang w:val="en-US" w:eastAsia="en-US" w:bidi="ar-SA"/>
        </w:rPr>
        <w:t xml:space="preserve"> at 249:</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 entitle a claimant to damages under the </w:t>
      </w:r>
      <w:r>
        <w:rPr>
          <w:rFonts w:ascii="arial" w:eastAsia="arial" w:hAnsi="arial" w:cs="arial"/>
          <w:i/>
          <w:color w:val="000000"/>
          <w:sz w:val="20"/>
          <w:lang w:val="en-US" w:eastAsia="en-US" w:bidi="ar-SA"/>
        </w:rPr>
        <w:t>Fatal Accidents Act</w:t>
      </w:r>
      <w:r>
        <w:rPr>
          <w:rFonts w:ascii="arial" w:eastAsia="arial" w:hAnsi="arial" w:cs="arial"/>
          <w:color w:val="000000"/>
          <w:sz w:val="20"/>
          <w:lang w:val="en-US" w:eastAsia="en-US" w:bidi="ar-SA"/>
        </w:rPr>
        <w:t xml:space="preserve"> it is not essential that he should have been financially dependent upon the deceased or that the deceased should have been under any legal liability to provide for him or that he should have enjoyed any benefits from the deceased in his lifetime. It is sufficient if it is shown that the claimant had a reasonable expectation of deriving pecuniary advantage from the deceased's remaining alive which has been disappointed by his death.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[56] The legal goal, then, is to ascertain the true value of the pecuniary advantage each claimant lost because Mrs. Ruiz did not remain alive.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See also </w:t>
      </w:r>
      <w:r>
        <w:rPr>
          <w:rFonts w:ascii="arial" w:eastAsia="arial" w:hAnsi="arial" w:cs="arial"/>
          <w:i/>
          <w:color w:val="000000"/>
          <w:sz w:val="20"/>
          <w:lang w:val="en-US" w:eastAsia="en-US" w:bidi="ar-SA"/>
        </w:rPr>
        <w:t>McVea v. T.B.</w:t>
      </w:r>
      <w:r>
        <w:rPr>
          <w:rFonts w:ascii="arial" w:eastAsia="arial" w:hAnsi="arial" w:cs="arial"/>
          <w:color w:val="000000"/>
          <w:sz w:val="20"/>
          <w:lang w:val="en-US" w:eastAsia="en-US" w:bidi="ar-SA"/>
        </w:rPr>
        <w:t xml:space="preserve">, </w:t>
      </w:r>
      <w:hyperlink r:id="rId476" w:history="1">
        <w:r>
          <w:rPr>
            <w:rFonts w:ascii="arial" w:eastAsia="arial" w:hAnsi="arial" w:cs="arial"/>
            <w:i/>
            <w:color w:val="0077CC"/>
            <w:sz w:val="20"/>
            <w:u w:val="single"/>
            <w:shd w:val="clear" w:color="auto" w:fill="FFFFFF"/>
            <w:lang w:val="en-US" w:eastAsia="en-US" w:bidi="ar-SA"/>
          </w:rPr>
          <w:t>2002 BCSC 1407</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James v. Gillis</w:t>
      </w:r>
      <w:r>
        <w:rPr>
          <w:rFonts w:ascii="arial" w:eastAsia="arial" w:hAnsi="arial" w:cs="arial"/>
          <w:color w:val="000000"/>
          <w:sz w:val="20"/>
          <w:lang w:val="en-US" w:eastAsia="en-US" w:bidi="ar-SA"/>
        </w:rPr>
        <w:t xml:space="preserve">, </w:t>
      </w:r>
      <w:hyperlink r:id="rId477" w:history="1">
        <w:r>
          <w:rPr>
            <w:rFonts w:ascii="arial" w:eastAsia="arial" w:hAnsi="arial" w:cs="arial"/>
            <w:i/>
            <w:color w:val="0077CC"/>
            <w:sz w:val="20"/>
            <w:u w:val="single"/>
            <w:shd w:val="clear" w:color="auto" w:fill="FFFFFF"/>
            <w:lang w:val="en-US" w:eastAsia="en-US" w:bidi="ar-SA"/>
          </w:rPr>
          <w:t>2011 BCSC 826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With these principles in mind, I turn to review Albert Haczewski's background with a view to ascertaining the value of the pecuniary advantage that each plaintiff claims to have lost.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2. </w:t>
      </w:r>
      <w:r>
        <w:rPr>
          <w:rFonts w:ascii="arial" w:eastAsia="arial" w:hAnsi="arial" w:cs="arial"/>
          <w:b/>
          <w:color w:val="000000"/>
          <w:sz w:val="20"/>
          <w:u w:val="single"/>
          <w:lang w:val="en-US" w:eastAsia="en-US" w:bidi="ar-SA"/>
        </w:rPr>
        <w:t>Albert and his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Jacek was born in Poland on July 26, 1939. He was educated in Poland, earning a Master's degree in Mining Engineering at Kraków University.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Barbara was born in Poland on March 4, 1950. She met Jacek in 1975. She had previously married and divorced, and had a son, Tom Natanek, born in 1969.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Jacek and Barbara married in Paris in 1977, and emigrated to Montréal that same year. Two more sons, John and Albert, were born there: John in 1978, and Albert in 1980. The children were all raised as Roman Catholics, the religion of both parents.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Upon arriving in Canada, Jacek initially worked as a consulting engineer. He was laid off from this employment due to recession in 1979, and thereafter started a plumbing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Barbara had been trained in Poland in technical drafting, and worked in Montréal as a draftsperson.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In 1988, the family moved to Vancouver. Jacek continued to work in the plumbing business, and Barbara continued working as a draftsperson and designer for the Sandwell Engineering firm, having been transferred from the Montréal office to the Vancouver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John and Albert attended St. Francis de Sales Catholic Elementary School in Burnaby, where Albert first met his lifelong friend, Koyo Hara.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In 1991, Barbara was laid off by Sandwell Engineering. She worked for smaller firms as a designer in Vancouver and Calgary, and then worked for Fluor Daniel.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In 1999, Albert graduated from Burnaby South Secondary School. He and his parents then moved to Poland, where Jacek and Barbara had purchased a bed and breakfast property, the Arka Hotel, in Wisla, a recreational area. While they operated the bed and breakfast business, Albert attended Sosnowiec College in Upper Silesia, about 100 km away, where he earned a computer technician/ information technology technician diploma in 2001. On weekends, he would join his parents in Wisla and help run the bed and breakfast. In return, they helped pay for his tuition.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After earning his diploma, Albert attended Silesia University, but did not finish a degree there. Polish was not his first language, and he concluded that it would be better to finish his education in Canada. In the meantime, he taught English as a second language, and in 2004 he met Paula.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Paula was born in Lublin, Poland on February 14, 1983, and raised there. Her father is a Mercedes-Benz service manager. Her mother runs an alternative health clinic. Her parents have been married for over 30 years. Paula, too, was raised a Roman Catholic.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After high school, Paula attended Marie Curie-Sklodowskiej University in Lublin. She graduated in 2006 with a BA in applied linguistics.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After meeting in 2004, Paula and Albert quickly connected, and they soon began spending their weekends together, alternating between Sosnowiec and Lublin, which were 400 km apart. In June of 2005, Albert moved to Lublin where he worked as an office manager and computer service technician earning about $1,000 per month, a not inconsiderable income in Poland. This was sufficient to support both Paula and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In the summer of 2006, after Paula graduated with her degree, Albert and Paula moved Canada and settled in a house in Delta that Barbara had bought in 2005. Albert and Paula shared the house with Barbara's eldest son, Tom Natanek, his fiancée and his daughter. Albert and Paula paid no rent the first six months, and all of them shared the household chores.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In the fall of 2006, Albert was hired by Telus as a customer service representative. Albert and Paula married on December 2, 2006. Paula did not work throughout the time of their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Although Jacek remained in Wisla, Poland, Barbara began spending more time in Canada. In the summer of 2007, she purchased another house, in Calgary. Although he contributed nothing to the purchase, Albert was put on title as purchaser along with his mother.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3. </w:t>
      </w:r>
      <w:r>
        <w:rPr>
          <w:rFonts w:ascii="arial" w:eastAsia="arial" w:hAnsi="arial" w:cs="arial"/>
          <w:b/>
          <w:color w:val="000000"/>
          <w:sz w:val="20"/>
          <w:u w:val="single"/>
          <w:lang w:val="en-US" w:eastAsia="en-US" w:bidi="ar-SA"/>
        </w:rPr>
        <w:t>Albert's employment prospects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Albert began his employment with Telus as a customer service representative, tier 1. He initially earned $17/hour as a temporary employee. I find that by the time of his death, he had advanced to permanent employment, earning just under $20/hour. His supervisor, Corinne Perrimann, explained that as a tier 1 customer service representative his salary would increase from $17 to $24/hour in six month increments, of which he had achieved only the first before his death.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She described him as someone who, at first, seemed average and struggled a bit, but who enthusiastically took to training, and after a year on the job was exceeding his objectives and earning very positive performance reviews. Ms. Perrimann considered him to be reliable and dependable, with a good work ethic. It was evident to her that he valued his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Albert remained a tier 1 customer support representative at the time of his death, but he had discussed with Ms. Perrimann moving up into a technical support role. She felt that this was a realistic goal and a good choice for him. Telus supports training such as he would have required for this move so long as the training is related to career goals. Thus, for instance, if he had wanted to go to BCIT for training, Telus would pay the tuition, and he would undertake the studies on his own time. Ms. Perrimann would have recommended him for such training had his death not intervened. Albert had in fact discussed undertaking training at BCIT with Paula.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If he had obtained a position in technical support, his salary would have had an upper range of $35/hour, as opposed to the $24/hour for a tier 1 customer service representative.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On the basis of Ms. Perrimann's evidence, the Telus performance reviews, the evidence of Paula, letters from Albert's previous employers, and the expert vocational opinion of Dr. Dean Powers, I am satisfied that as of the time of his death, Albert was a valued employee of Telus with secure employment, and that he would have undertaken the training necessary to progress to a technical support position with Telus had he survived. His diploma from Sosnowiec College, after all, was in computer and information technology, not sales.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4. </w:t>
      </w:r>
      <w:r>
        <w:rPr>
          <w:rFonts w:ascii="arial" w:eastAsia="arial" w:hAnsi="arial" w:cs="arial"/>
          <w:b/>
          <w:color w:val="000000"/>
          <w:sz w:val="20"/>
          <w:u w:val="single"/>
          <w:lang w:val="en-US" w:eastAsia="en-US" w:bidi="ar-SA"/>
        </w:rPr>
        <w:t>The financial consequences of Albert's death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Mr. Darren Benning, an economist, was accepted as an expert in economics qualified to give opinion evidence with respect to the valuation of the loss to Paula of past and future financial support, household services, and income tax gross up amounts. His report was filed as an exhibit.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In arriving at his calculations, Mr. Benning relied upon a number of assumptions.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The first was that in the absence of the accident, and subject to the standard labour market contingencies, Albert would have continued his employment with Telus as a customer service representative for two years following the accident, after which he would have worked with Telus in a technical support position earning $30/per hour (2011 dollars) through to retirement at age 65. Mr. Benning considered this to be a conservative assumption, given Albert's prospects for earning more than that in his expected lifetime.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The second is that but for the accident, Paula would not have sought employment outside of the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The third is that but for the accident, Albert and Paula would have had two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The fourth is that but for the accident, Albert and Paula would have performed household services commensurate with the services typically performed by the average Canadian male and female in their employment and domestic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A further assumption made by Mr. Benning was that, in carrying out his calculations, it was appropriate to apply the average life expectancy for Canadian males of Albert's 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xml:space="preserve">  This last assumption led to the necessity of a pre-trial ruling concerning expert evidence. Counsel for the defendants served an expert report opining on Albert's life expectancy from Dr. Keith Chambers, a consulting clinical epidemiologist. That report was served well outside of the time permitted by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for a primary expert report, although only a day or two past the time permitted for the service of a reply expert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Counsel for the defendants took the position that the report was in reply to Mr. Benning's report, given Mr. Benning's use of an average life expectancy. I ruled that an expert opinion could not be a reply to an assumption, and that Dr. Chambers' report was therefore a primary expert report. I nevertheless allowed it into evidence on the basis that the plaintiffs would be granted whatever extension of time they required to obtain and serve a report in reply to Dr. Chambers' opinion. The plaintiffs duly obtained a report from Dr. Saul Isserow, a cardiologist. I discuss those reports and the issue of Albert's life expectancy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In addition to these assumptions, Mr. Benning considered, with respect to Paula's claim, the average contingency of remarriage applicable to BC females, and the average contingency of divorce applicable to BC males. The results were as follows:</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39" type="#_x0000_t75" style="width:432.06pt;height:212.28pt">
            <v:imagedata r:id="rId478" o:title=""/>
          </v:shape>
        </w:pict>
      </w:r>
      <w:r>
        <w:rPr>
          <w:rFonts w:ascii="arial" w:eastAsia="arial" w:hAnsi="arial" w:cs="arial"/>
          <w:sz w:val="20"/>
          <w:lang w:val="en-US" w:eastAsia="en-US" w:bidi="ar-SA"/>
        </w:rPr>
        <w:t xml:space="preserv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5. </w:t>
      </w:r>
      <w:r>
        <w:rPr>
          <w:rFonts w:ascii="arial" w:eastAsia="arial" w:hAnsi="arial" w:cs="arial"/>
          <w:b/>
          <w:color w:val="000000"/>
          <w:sz w:val="20"/>
          <w:u w:val="single"/>
          <w:lang w:val="en-US" w:eastAsia="en-US" w:bidi="ar-SA"/>
        </w:rPr>
        <w:t>Contingencies</w:t>
      </w:r>
      <w:r>
        <w:rPr>
          <w:rFonts w:ascii="arial" w:eastAsia="arial" w:hAnsi="arial" w:cs="arial"/>
          <w:sz w:val="20"/>
          <w:lang w:val="en-US" w:eastAsia="en-US" w:bidi="ar-SA"/>
        </w:rPr>
        <w:cr/>
      </w:r>
    </w:p>
    <w:p>
      <w:pPr>
        <w:numPr>
          <w:numId w:val="2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On my view of the evidence, it was a reasonable for Mr. Benning to assume that Albert would have continued his employment with Telus as a customer service representative for a period of approximately two years following the accident, following which he would have worked in a technical support position. The evidence does not, however, support the contention that Mr. Haczewski would have earned a rate of $30/hour thereafter. The evidence was that a rate of $30-$35/hour was the top of the range for that position. It follows that it would have taken Mr. Haczewski a period of time to achieve that peak earning level. The evidence does not indicate what the bottom of the range was, or what the expected progress of promotion would be.</w:t>
      </w:r>
      <w:r>
        <w:rPr>
          <w:rFonts w:ascii="arial" w:eastAsia="arial" w:hAnsi="arial" w:cs="arial"/>
          <w:sz w:val="20"/>
          <w:lang w:val="en-US" w:eastAsia="en-US" w:bidi="ar-SA"/>
        </w:rPr>
        <w:cr/>
      </w:r>
    </w:p>
    <w:p>
      <w:pPr>
        <w:numPr>
          <w:numId w:val="2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Employment for Paula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There is no doubt that during the time that Albert and Paula were together, Paula did not work and was supported entirely by Albert. I accept that they planned a family, and that it is unlikely that Paula would have worked outside the home at least until their children were past school-age. Thereafter, given Paula's education, the fact that her mother was a professional, and the exigencies of modern economic reality, I consider it likely that Paula would have started to work outside of the home at some point after the children had reached an age where this was practicable for them as a family. The proposition advanced by the plaintiffs, that Polish cultural values would have dictated that Albert support Paula entirely throughout their marriage, is significantly weakened by the fact that both their mothers have had independent careers.</w:t>
      </w:r>
      <w:r>
        <w:rPr>
          <w:rFonts w:ascii="arial" w:eastAsia="arial" w:hAnsi="arial" w:cs="arial"/>
          <w:sz w:val="20"/>
          <w:lang w:val="en-US" w:eastAsia="en-US" w:bidi="ar-SA"/>
        </w:rPr>
        <w:cr/>
      </w:r>
    </w:p>
    <w:p>
      <w:pPr>
        <w:numPr>
          <w:numId w:val="2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Divorce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The plaintiffs submit that given their Roman Catholic upbringing and their Polish heritage, there was very little risk of Paula and Albert divorcing in the future. Against this, I note that Albert's mother was divorced, and Paula described herself as not being particularly religious. Her pre-marital relationship with Albert does not appear to have been conducted strictly in accordance with Catholic doctrine. In all of the circumstances, considering the evidence of their family and their background, I conclude that a divorce contingency should indeed be applied, but I would reduce it slightly below that of the average for BC males.</w:t>
      </w:r>
      <w:r>
        <w:rPr>
          <w:rFonts w:ascii="arial" w:eastAsia="arial" w:hAnsi="arial" w:cs="arial"/>
          <w:sz w:val="20"/>
          <w:lang w:val="en-US" w:eastAsia="en-US" w:bidi="ar-SA"/>
        </w:rPr>
        <w:cr/>
      </w:r>
    </w:p>
    <w:p>
      <w:pPr>
        <w:numPr>
          <w:numId w:val="2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Remarriage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To lose Albert was, for Paula, a devastating tragedy. She now finds herself a widow, alone in a new country. After a year of mourning, she resumed dating, and has every intention of staying in Canada. She is 29 years old, and notwithstanding her loss, I can see no reason to vary from Mr. Benning's assumption that the probability that Paula will marry or enter into a common-law relationship is equivalent to the average contingency of remarriage applicable to BC females.</w:t>
      </w:r>
      <w:r>
        <w:rPr>
          <w:rFonts w:ascii="arial" w:eastAsia="arial" w:hAnsi="arial" w:cs="arial"/>
          <w:sz w:val="20"/>
          <w:lang w:val="en-US" w:eastAsia="en-US" w:bidi="ar-SA"/>
        </w:rPr>
        <w:cr/>
      </w:r>
    </w:p>
    <w:p>
      <w:pPr>
        <w:numPr>
          <w:numId w:val="2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Albert's life expectancy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This comes down to a battle of highly qualified and eminent experts.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The defendants argue that Albert's life expectancy must be reduced below the average assumed by Mr. Benning to take into account the increased risk of death arising from the atherosclerosis in his coronary artery found by the pathologist. They rely on the opinion of Dr. Keith Chambers, a family physician and consulting clinical epidemiologist.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The plaintiffs submit that the evidence does not support the existence of an increased risk of mortality for Albert, and that in any event, the average life expectancy already has built into it the risk of death from heart disease. They rely upon the opinion of Dr. Saul Isserow, a prominent cardiologist.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Not surprisingly, given their different areas of expertise, Dr. Chambers and Dr. Isserow approached the problem from different perspectives.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xml:space="preserve">  Dr. Chambers described coronary artery disease as progressive, so that given that the stenosis in Albert's coronary artery was already at 60-70%, it was just a question of time until the condition became symptomatic: a question not of </w:t>
      </w:r>
      <w:r>
        <w:rPr>
          <w:rFonts w:ascii="arial" w:eastAsia="arial" w:hAnsi="arial" w:cs="arial"/>
          <w:i/>
          <w:color w:val="000000"/>
          <w:sz w:val="20"/>
          <w:lang w:val="en-US" w:eastAsia="en-US" w:bidi="ar-SA"/>
        </w:rPr>
        <w:t>if,</w:t>
      </w:r>
      <w:r>
        <w:rPr>
          <w:rFonts w:ascii="arial" w:eastAsia="arial" w:hAnsi="arial" w:cs="arial"/>
          <w:color w:val="000000"/>
          <w:sz w:val="20"/>
          <w:lang w:val="en-US" w:eastAsia="en-US" w:bidi="ar-SA"/>
        </w:rPr>
        <w:t xml:space="preserve"> but of </w:t>
      </w:r>
      <w:r>
        <w:rPr>
          <w:rFonts w:ascii="arial" w:eastAsia="arial" w:hAnsi="arial" w:cs="arial"/>
          <w:i/>
          <w:color w:val="000000"/>
          <w:sz w:val="20"/>
          <w:lang w:val="en-US" w:eastAsia="en-US" w:bidi="ar-SA"/>
        </w:rPr>
        <w:t>when</w:t>
      </w:r>
      <w:r>
        <w:rPr>
          <w:rFonts w:ascii="arial" w:eastAsia="arial" w:hAnsi="arial" w:cs="arial"/>
          <w:color w:val="000000"/>
          <w:sz w:val="20"/>
          <w:lang w:val="en-US" w:eastAsia="en-US" w:bidi="ar-SA"/>
        </w:rPr>
        <w:t>. Unfortunately, with heart disease, the first symptom can also be the last, being sudden death.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Dr. Chambers did not, however, assume that sudden death would occur. Rather, he assumed that Mr. Haczewski would get treatment, consisting of either surgery (bypass), or medical. Accordingly, he considered it appropriate to rely on a study by Dr. Salim Yusuf et al., which reviewed published data on patients with coronary artery disease who were symptomatic and had undergone coronary artery bypass graft surgery, or medical treatment. Dr. Chambers considered that given Mr. Haczewski's young age, and the progressive nature of his disease, Mr. Haczewski would have become symptomatic at an earlier age than those in the group studied by Dr. Yusuf.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From Dr. Yusuf's study, Dr. Chambers concluded that if Mr. Haczewski did not become symptomatic until around age 50, the average age of those studied by Dr. Yusuf, then his life expectancy would still be reduced to 80% of normal from age 27. That is, as of age 27, he would be expected to live 40.8 further years, to age 67.8. Given, however, his view that Mr. Haczewski was at increased risk of developing overt heart disease at a younger age, as he already had a 60% to 70% blockage at age 27, Dr. Chambers considered it reasonable to assume that his condition would have progressed to overt disease by no later than age 40, yielding a life expectancy of 67% of normal, to age 61.2.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According to Dr. Chambers, Mr. Haczewski would have had a significant risk from age 27 to age 40 of progressive and possibly fatal disease, so that his estimate of a life expectancy of 67% of normal from age 27 may underestimate the true risk had he not died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Dr. Isserow came to a different conclusion. He is not an epidemiologist. He is a cardiologist and internist who is the Director of the Vancouver General Hospital Centre for Cardiovascular Health, and Director for Cardiology Services at UBC Hospital. In essence, it was Dr. Isserow's view that the Yusuf study relied upon by Dr. Chambers did not apply to Mr. Haczewski's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From Dr. Isserow's perspective, it is imperative to bear in mind that Mr. Haczewski was entirely asymptomatic, unlike any of the patients whose cases were studied by Dr. Yusuf.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Whereas Dr. Chambers considered it appropriate to conclude that Mr. Haczewski would ultimately become symptomatic, given the progressive nature of the disease, Dr. Isserow expressed the opinion that although atherosclerosis was indeed a progressive disease, its rate of progression is highly variable, ranging from quick to barely perceptible. He observed that all human beings who survive to adulthood die with atherosclerosis, but only some die from it. It was impossible to determine Mr. Haczewski's rate of progression because there was only one point on the curve to assess. Dr. Isserow further noted that the degree of stenosis is much more difficult to determine reliably at autopsy when blood is not flowing.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In Dr. Isserow's view, Dr. Yusuf's 1994 study, reviewing trials over the previous 40 years, is completely irrelevant. Medical treatment and surgical modalities have changed markedly since then, and the cohort studied by Dr. Yusuf was highly symptomatic, and therefore completely different from Mr. Haczewski. That it cannot be assumed that Mr. Haczewski would have become symptomatic is supported, in his view, by a Korean study which discovered, through CT angiography, an unexpectedly high prevalence of coronary artery disease in asymptomatic men. Dr. Isserow would not extrapolate anything from this study, but uses it and others to illustrate that there is a higher prevalence of atherosclerosis in asymptomatic younger men than previously thought, and which otherwise might never have been discovered.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Dr. Isserow agreed (as did Dr. Chambers) that atherosclerotic disease is the major killer in North American society, and as such is already built into the life expectancy tables. From Dr. Isserow's perspective, the finding on autopsy is not particularly unusual, as a significant number of patients who die of non-cardiac disease, up to 80%, will have coronary artery disease. In the circumstances, Dr. Isserow believes it entirely inappropriate to extrapolate anything from the Yusuf study, which in his view does not at all pertain to Mr. Haczewski's case. Dr. Isserow absolutely disagrees that Mr. Haczewski would have had a shorter than average life expectancy on the basis of that single finding of stenosis.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Dr. Isserow went on to explain that a stenotic lesion such as was discovered in Mr. Haczewski's left anterior descending coronary artery, is not generally the lesion that causes a heart attack. That heart attack is more likely to occur elsewhere. This is why if a patient who has angina is found to have an 80% lesion, and it is treated medically, then the angina is relieved, but the risk of a heart attack is not reduced. To do that, you have to treat the other lesions. So although the lesion discovered in Mr. Haczewski carries an adverse prognosis in a symptomatic individual, it is not likely to be the cause of a heart attack.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In these particular circumstances, I prefer the opinion of Dr. Isserow to that of Dr. Chambers, particularly given Dr. Isserow's specific, indeed renowned, expertise in heart disease. I consider, in short, that Dr. Isserow is in a better position than Dr. Chambers to assess the relevance of studies such as the Yusuf study upon which Dr. Chambers relied so heavily, and to comment upon the likelihood that Mr. Haczewski would have progressed to the point of symptomatic disease.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Both experts agreed that atherosclerotic disease is a major killer, and that, as such, it has already been built into the mortality tables used to assess average life expectancy. The question then becomes, in this case, whether the finding specific to Mr. Haczewski is such as to give rise to a sufficiently greater risk that we should deviate from the average. I found Dr. Isserow to be convincing in his explanation of why it is not: in essence, that Mr. Haczewski was asymptomatic; that it is impossible to say whether or at what rate his disease would have progressed; that the Yusuf study is irrelevant; and that Mr. Haczewski cannot in the circumstances be differentiated from the many who have been unexpectedly found to be suffering from asymptomatic atherosclerotic disease.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All of these asymptomatic persons would, of course, have been considered as part of the general population but for the serendipitous discovery of their unlooked-for condition. Some would accordingly have been expected, actuarially, to go on to suffer from a reduction of life expectancy due to heart disease, and others would not. I accept Dr. Isserow's view that, on the information that is available to us, it cannot be said that Mr. Haczewski was more probably one of the former than one of the latter.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xml:space="preserve">  It comes down to this. Given my acceptance of Dr. Isserow's opinion, the defendants have failed to prove, on a balance of probabilities, that the findings on autopsy justify a reduction in Mr. Haczewski's life expectancy below the average, which already takes into account the general risk of death from atherosclerotic disease. The circumstances therefore differ from those considered in cases such as </w:t>
      </w:r>
      <w:r>
        <w:rPr>
          <w:rFonts w:ascii="arial" w:eastAsia="arial" w:hAnsi="arial" w:cs="arial"/>
          <w:i/>
          <w:color w:val="000000"/>
          <w:sz w:val="20"/>
          <w:lang w:val="en-US" w:eastAsia="en-US" w:bidi="ar-SA"/>
        </w:rPr>
        <w:t>Lewis v. Todd</w:t>
      </w:r>
      <w:r>
        <w:rPr>
          <w:rFonts w:ascii="arial" w:eastAsia="arial" w:hAnsi="arial" w:cs="arial"/>
          <w:color w:val="000000"/>
          <w:sz w:val="20"/>
          <w:lang w:val="en-US" w:eastAsia="en-US" w:bidi="ar-SA"/>
        </w:rPr>
        <w:t xml:space="preserve"> </w:t>
      </w:r>
      <w:hyperlink r:id="rId479" w:history="1">
        <w:r>
          <w:rPr>
            <w:rFonts w:ascii="arial" w:eastAsia="arial" w:hAnsi="arial" w:cs="arial"/>
            <w:i/>
            <w:color w:val="0077CC"/>
            <w:sz w:val="20"/>
            <w:u w:val="single"/>
            <w:shd w:val="clear" w:color="auto" w:fill="FFFFFF"/>
            <w:lang w:val="en-US" w:eastAsia="en-US" w:bidi="ar-SA"/>
          </w:rPr>
          <w:t>(1980), 115 D.L.R. (3d) 257</w:t>
        </w:r>
      </w:hyperlink>
      <w:r>
        <w:rPr>
          <w:rFonts w:ascii="arial" w:eastAsia="arial" w:hAnsi="arial" w:cs="arial"/>
          <w:color w:val="000000"/>
          <w:sz w:val="20"/>
          <w:lang w:val="en-US" w:eastAsia="en-US" w:bidi="ar-SA"/>
        </w:rPr>
        <w:t xml:space="preserve"> at 272 (S.C.C.), </w:t>
      </w:r>
      <w:r>
        <w:rPr>
          <w:rFonts w:ascii="arial" w:eastAsia="arial" w:hAnsi="arial" w:cs="arial"/>
          <w:i/>
          <w:color w:val="000000"/>
          <w:sz w:val="20"/>
          <w:lang w:val="en-US" w:eastAsia="en-US" w:bidi="ar-SA"/>
        </w:rPr>
        <w:t>Frederick v. Ottawa Aero Services Ltd.</w:t>
      </w:r>
      <w:r>
        <w:rPr>
          <w:rFonts w:ascii="arial" w:eastAsia="arial" w:hAnsi="arial" w:cs="arial"/>
          <w:color w:val="000000"/>
          <w:sz w:val="20"/>
          <w:lang w:val="en-US" w:eastAsia="en-US" w:bidi="ar-SA"/>
        </w:rPr>
        <w:t xml:space="preserve"> </w:t>
      </w:r>
      <w:hyperlink r:id="rId480" w:history="1">
        <w:r>
          <w:rPr>
            <w:rFonts w:ascii="arial" w:eastAsia="arial" w:hAnsi="arial" w:cs="arial"/>
            <w:i/>
            <w:color w:val="0077CC"/>
            <w:sz w:val="20"/>
            <w:u w:val="single"/>
            <w:shd w:val="clear" w:color="auto" w:fill="FFFFFF"/>
            <w:lang w:val="en-US" w:eastAsia="en-US" w:bidi="ar-SA"/>
          </w:rPr>
          <w:t>(1963), 42 D.L.R. (2d) 122</w:t>
        </w:r>
      </w:hyperlink>
      <w:r>
        <w:rPr>
          <w:rFonts w:ascii="arial" w:eastAsia="arial" w:hAnsi="arial" w:cs="arial"/>
          <w:color w:val="000000"/>
          <w:sz w:val="20"/>
          <w:lang w:val="en-US" w:eastAsia="en-US" w:bidi="ar-SA"/>
        </w:rPr>
        <w:t xml:space="preserve"> (Ont. H.C.), aff'd (1964), 44 D.L.R. (2d) 628 (Ont. C.A.), aff'd, </w:t>
      </w:r>
      <w:hyperlink r:id="rId481" w:history="1">
        <w:r>
          <w:rPr>
            <w:rFonts w:ascii="arial" w:eastAsia="arial" w:hAnsi="arial" w:cs="arial"/>
            <w:i/>
            <w:color w:val="0077CC"/>
            <w:sz w:val="20"/>
            <w:u w:val="single"/>
            <w:shd w:val="clear" w:color="auto" w:fill="FFFFFF"/>
            <w:lang w:val="en-US" w:eastAsia="en-US" w:bidi="ar-SA"/>
          </w:rPr>
          <w:t>(1965), 48 D.L.R. (2d) 702</w:t>
        </w:r>
      </w:hyperlink>
      <w:r>
        <w:rPr>
          <w:rFonts w:ascii="arial" w:eastAsia="arial" w:hAnsi="arial" w:cs="arial"/>
          <w:color w:val="000000"/>
          <w:sz w:val="20"/>
          <w:lang w:val="en-US" w:eastAsia="en-US" w:bidi="ar-SA"/>
        </w:rPr>
        <w:t xml:space="preserve">n (S.C.C.), and </w:t>
      </w:r>
      <w:r>
        <w:rPr>
          <w:rFonts w:ascii="arial" w:eastAsia="arial" w:hAnsi="arial" w:cs="arial"/>
          <w:i/>
          <w:color w:val="000000"/>
          <w:sz w:val="20"/>
          <w:lang w:val="en-US" w:eastAsia="en-US" w:bidi="ar-SA"/>
        </w:rPr>
        <w:t>Duruisseau v. Jako</w:t>
      </w:r>
      <w:r>
        <w:rPr>
          <w:rFonts w:ascii="arial" w:eastAsia="arial" w:hAnsi="arial" w:cs="arial"/>
          <w:color w:val="000000"/>
          <w:sz w:val="20"/>
          <w:lang w:val="en-US" w:eastAsia="en-US" w:bidi="ar-SA"/>
        </w:rPr>
        <w:t xml:space="preserve">, </w:t>
      </w:r>
      <w:hyperlink r:id="rId482" w:history="1">
        <w:r>
          <w:rPr>
            <w:rFonts w:ascii="arial" w:eastAsia="arial" w:hAnsi="arial" w:cs="arial"/>
            <w:i/>
            <w:color w:val="0077CC"/>
            <w:sz w:val="20"/>
            <w:u w:val="single"/>
            <w:shd w:val="clear" w:color="auto" w:fill="FFFFFF"/>
            <w:lang w:val="en-US" w:eastAsia="en-US" w:bidi="ar-SA"/>
          </w:rPr>
          <w:t>[1992] B.C.J. No. 2297</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6. </w:t>
      </w:r>
      <w:r>
        <w:rPr>
          <w:rFonts w:ascii="arial" w:eastAsia="arial" w:hAnsi="arial" w:cs="arial"/>
          <w:b/>
          <w:color w:val="000000"/>
          <w:sz w:val="20"/>
          <w:u w:val="single"/>
          <w:lang w:val="en-US" w:eastAsia="en-US" w:bidi="ar-SA"/>
        </w:rPr>
        <w:t>Assessment of Paula's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xml:space="preserve">  In assessing the pecuniary advantage that Paula has lost through her husband's untimely death, I follow and accept, as an appropriate guide, the approach taken by Mr. Benning subject to the application of the contingencies I have discussed above. In doing so, I bear in mind that the assessment of damages under the </w:t>
      </w:r>
      <w:r>
        <w:rPr>
          <w:rFonts w:ascii="arial" w:eastAsia="arial" w:hAnsi="arial" w:cs="arial"/>
          <w:i/>
          <w:color w:val="000000"/>
          <w:sz w:val="20"/>
          <w:lang w:val="en-US" w:eastAsia="en-US" w:bidi="ar-SA"/>
        </w:rPr>
        <w:t>Family Compensation Act</w:t>
      </w:r>
      <w:r>
        <w:rPr>
          <w:rFonts w:ascii="arial" w:eastAsia="arial" w:hAnsi="arial" w:cs="arial"/>
          <w:color w:val="000000"/>
          <w:sz w:val="20"/>
          <w:lang w:val="en-US" w:eastAsia="en-US" w:bidi="ar-SA"/>
        </w:rPr>
        <w:t xml:space="preserve"> is never a matter of mathematical calculation, for "arithmetic is a good servant, but a bad master": </w:t>
      </w:r>
      <w:r>
        <w:rPr>
          <w:rFonts w:ascii="arial" w:eastAsia="arial" w:hAnsi="arial" w:cs="arial"/>
          <w:i/>
          <w:color w:val="000000"/>
          <w:sz w:val="20"/>
          <w:lang w:val="en-US" w:eastAsia="en-US" w:bidi="ar-SA"/>
        </w:rPr>
        <w:t>Daniels v. Jones</w:t>
      </w:r>
      <w:r>
        <w:rPr>
          <w:rFonts w:ascii="arial" w:eastAsia="arial" w:hAnsi="arial" w:cs="arial"/>
          <w:color w:val="000000"/>
          <w:sz w:val="20"/>
          <w:lang w:val="en-US" w:eastAsia="en-US" w:bidi="ar-SA"/>
        </w:rPr>
        <w:t xml:space="preserve">, [1961] 1 W.L.R. 1103, [1961] 3 All E.R. 24 at 28 (C.A.); </w:t>
      </w:r>
      <w:r>
        <w:rPr>
          <w:rFonts w:ascii="arial" w:eastAsia="arial" w:hAnsi="arial" w:cs="arial"/>
          <w:i/>
          <w:color w:val="000000"/>
          <w:sz w:val="20"/>
          <w:lang w:val="en-US" w:eastAsia="en-US" w:bidi="ar-SA"/>
        </w:rPr>
        <w:t>Cox v. Takihashi</w:t>
      </w:r>
      <w:r>
        <w:rPr>
          <w:rFonts w:ascii="arial" w:eastAsia="arial" w:hAnsi="arial" w:cs="arial"/>
          <w:color w:val="000000"/>
          <w:sz w:val="20"/>
          <w:lang w:val="en-US" w:eastAsia="en-US" w:bidi="ar-SA"/>
        </w:rPr>
        <w:t xml:space="preserve"> </w:t>
      </w:r>
      <w:hyperlink r:id="rId483" w:history="1">
        <w:r>
          <w:rPr>
            <w:rFonts w:ascii="arial" w:eastAsia="arial" w:hAnsi="arial" w:cs="arial"/>
            <w:i/>
            <w:color w:val="0077CC"/>
            <w:sz w:val="20"/>
            <w:u w:val="single"/>
            <w:shd w:val="clear" w:color="auto" w:fill="FFFFFF"/>
            <w:lang w:val="en-US" w:eastAsia="en-US" w:bidi="ar-SA"/>
          </w:rPr>
          <w:t>(1977), 5 B.C.L.R. 162</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Cox v. Fleming</w:t>
      </w:r>
      <w:r>
        <w:rPr>
          <w:rFonts w:ascii="arial" w:eastAsia="arial" w:hAnsi="arial" w:cs="arial"/>
          <w:color w:val="000000"/>
          <w:sz w:val="20"/>
          <w:lang w:val="en-US" w:eastAsia="en-US" w:bidi="ar-SA"/>
        </w:rPr>
        <w:t xml:space="preserve"> </w:t>
      </w:r>
      <w:hyperlink r:id="rId484" w:history="1">
        <w:r>
          <w:rPr>
            <w:rFonts w:ascii="arial" w:eastAsia="arial" w:hAnsi="arial" w:cs="arial"/>
            <w:i/>
            <w:color w:val="0077CC"/>
            <w:sz w:val="20"/>
            <w:u w:val="single"/>
            <w:shd w:val="clear" w:color="auto" w:fill="FFFFFF"/>
            <w:lang w:val="en-US" w:eastAsia="en-US" w:bidi="ar-SA"/>
          </w:rPr>
          <w:t>(1995), 15 B.C.L.R. (3d) 201</w:t>
        </w:r>
      </w:hyperlink>
      <w:r>
        <w:rPr>
          <w:rFonts w:ascii="arial" w:eastAsia="arial" w:hAnsi="arial" w:cs="arial"/>
          <w:color w:val="000000"/>
          <w:sz w:val="20"/>
          <w:lang w:val="en-US" w:eastAsia="en-US" w:bidi="ar-SA"/>
        </w:rPr>
        <w:t xml:space="preserve"> (C.A.).</w:t>
      </w:r>
      <w:r>
        <w:rPr>
          <w:rFonts w:ascii="arial" w:eastAsia="arial" w:hAnsi="arial" w:cs="arial"/>
          <w:sz w:val="20"/>
          <w:lang w:val="en-US" w:eastAsia="en-US" w:bidi="ar-SA"/>
        </w:rPr>
        <w:cr/>
      </w:r>
    </w:p>
    <w:p>
      <w:pPr>
        <w:numPr>
          <w:numId w:val="2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Past loss of financial support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Before the application of any contingencies, Mr. Benning calculated this amount at $79,754. This assumed, however, that Mr. Haczewski would have begun earning $30/hour by October of 2009. As discussed, while I accept that Mr. Haczewski would have commenced employment at a higher rate as of October of 2009, I find that the applicable rate would have been less than $30/hour between then and trial, reducing the amounts used by Mr. Benning for 2009, 2010 and 2011. No remarriage contingency is applicable in the circumstances, and I consider that a very low divorce contingency should be applied.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Taking all of these factors into account, I assess Paula's loss under this heading at $70,000.</w:t>
      </w:r>
      <w:r>
        <w:rPr>
          <w:rFonts w:ascii="arial" w:eastAsia="arial" w:hAnsi="arial" w:cs="arial"/>
          <w:sz w:val="20"/>
          <w:lang w:val="en-US" w:eastAsia="en-US" w:bidi="ar-SA"/>
        </w:rPr>
        <w:cr/>
      </w:r>
    </w:p>
    <w:p>
      <w:pPr>
        <w:numPr>
          <w:numId w:val="3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Future loss of financial support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Before applying divorce and remarriage contingencies, Mr. Benning calculated the value of this loss to be $581,523. In doing so, he employed three assumptions from which I differ. He used a top earning figure of $30/ hour. I find that the evidence supports a higher top figure, of at least $35/hour. He assumed earnings of $30/hour from the time of trial on, whereas I find that Mr. Haczewski would not have reached that level for an unspecified period of time after the trial. Finally, Mr. Benning assumed that Paula would not have worked outside the home. He acknowledged that if she were to earn approximately $20,000/year, then there would be about a 20% reduction in her dependency upon Albert's income. In my view, it is likely that Paula would have worked outside the home, but not for some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Once again taking all of these factors into account, I conclude that an appropriate assessment prior to the application of divorce and remarriage contingencies comes to $500,000, which I would reduce to $165,000 after considering the contingencies of divorce and remarriage.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c) Past and future loss of household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There was nothing in the evidence that persuades me that the assumptions and calculations of Mr. Benning are not appropriate, other than the fact that he has employed, as discussed above, what I consider to be a higher divorce contingency than the evidence warrants. In my view, the appropriate assessment of the past loss of household services is $14,000, and for future loss of household services, $45,000.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 Income tax gross up and management fees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There is no doubt that it would be appropriate to increase the award to Paula to counteract the effect of income tax on the future loss portion. Mr. Benning discussed the difference between a portfolio that earns interest only, and a mixed portfolio which could be managed to reduce tax consequences to the point where no gross up is required after the application of the contingency of remarriage.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On an interest-only portfolio, using the figures set out in the table reproduced above, Mr. Benning estimated a total gross up of $116,969, reduced to $3,701 after applying a remarriage contingency.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Mr. Benning agreed that over a longer time horizon, which is what we have here, a mixed portfolio is more likely to be employed. I accept that, but I do not understand why a remarriage or divorce contingency should be applied to any amount found to be necessary to counteract the effect of income tax on awards that have already been reduced by those same contingencies.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Accordingly, I require further submissions from counsel on Paula's claims for income tax gross up and management fees, taking into account my assessment of her future losses of financial support and household services, and my finding that a mixed portfolio will be employed.</w:t>
      </w:r>
      <w:r>
        <w:rPr>
          <w:rFonts w:ascii="arial" w:eastAsia="arial" w:hAnsi="arial" w:cs="arial"/>
          <w:sz w:val="20"/>
          <w:lang w:val="en-US" w:eastAsia="en-US" w:bidi="ar-SA"/>
        </w:rPr>
        <w:cr/>
      </w:r>
    </w:p>
    <w:p>
      <w:pPr>
        <w:numPr>
          <w:numId w:val="3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Loss of guidance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As plaintiffs' counsel concedes, this conventional award is generally reserved for claims by a child for the loss of guidance and direction that a deceased parent would have provided. He submits, however, that an award under this heading to Paula is justified by the fact that she was a person who found herself living in a foreign culture, and who relied on Albert to guide her in bridging that cultural gap.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xml:space="preserve">  Counsel was unable to direct me to any case where damages for loss of guidance have been awarded to a spouse under the </w:t>
      </w:r>
      <w:r>
        <w:rPr>
          <w:rFonts w:ascii="arial" w:eastAsia="arial" w:hAnsi="arial" w:cs="arial"/>
          <w:i/>
          <w:color w:val="000000"/>
          <w:sz w:val="20"/>
          <w:lang w:val="en-US" w:eastAsia="en-US" w:bidi="ar-SA"/>
        </w:rPr>
        <w:t>Family Compensation Act</w:t>
      </w:r>
      <w:r>
        <w:rPr>
          <w:rFonts w:ascii="arial" w:eastAsia="arial" w:hAnsi="arial" w:cs="arial"/>
          <w:color w:val="000000"/>
          <w:sz w:val="20"/>
          <w:lang w:val="en-US" w:eastAsia="en-US" w:bidi="ar-SA"/>
        </w:rPr>
        <w:t xml:space="preserve">, although section 3(1) of the Act provides that "the action must be for the benefit of the spouse, parent or child of the person whose death has been caused ...". On principle, entitlement should turn not merely on the nature of the relationship so long as it is on behalf of a spouse, parent or child, but rather on the evidence concerning the degree to which the claimant relied upon the deceased for guidance. Clearly, where the claimants are children who have lost a parent, that degree of reliance is likely to be very high. In such circumstances, the upper limit for the award has been set at $35,000: </w:t>
      </w:r>
      <w:r>
        <w:rPr>
          <w:rFonts w:ascii="arial" w:eastAsia="arial" w:hAnsi="arial" w:cs="arial"/>
          <w:i/>
          <w:color w:val="000000"/>
          <w:sz w:val="20"/>
          <w:lang w:val="en-US" w:eastAsia="en-US" w:bidi="ar-SA"/>
        </w:rPr>
        <w:t>Foster v. Perry</w:t>
      </w:r>
      <w:r>
        <w:rPr>
          <w:rFonts w:ascii="arial" w:eastAsia="arial" w:hAnsi="arial" w:cs="arial"/>
          <w:color w:val="000000"/>
          <w:sz w:val="20"/>
          <w:lang w:val="en-US" w:eastAsia="en-US" w:bidi="ar-SA"/>
        </w:rPr>
        <w:t xml:space="preserve">, </w:t>
      </w:r>
      <w:hyperlink r:id="rId485" w:history="1">
        <w:r>
          <w:rPr>
            <w:rFonts w:ascii="arial" w:eastAsia="arial" w:hAnsi="arial" w:cs="arial"/>
            <w:i/>
            <w:color w:val="0077CC"/>
            <w:sz w:val="20"/>
            <w:u w:val="single"/>
            <w:shd w:val="clear" w:color="auto" w:fill="FFFFFF"/>
            <w:lang w:val="en-US" w:eastAsia="en-US" w:bidi="ar-SA"/>
          </w:rPr>
          <w:t>2005 BCSC 1214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Stegemann v. Pasemko</w:t>
      </w:r>
      <w:r>
        <w:rPr>
          <w:rFonts w:ascii="arial" w:eastAsia="arial" w:hAnsi="arial" w:cs="arial"/>
          <w:color w:val="000000"/>
          <w:sz w:val="20"/>
          <w:lang w:val="en-US" w:eastAsia="en-US" w:bidi="ar-SA"/>
        </w:rPr>
        <w:t xml:space="preserve">, </w:t>
      </w:r>
      <w:hyperlink r:id="rId486" w:history="1">
        <w:r>
          <w:rPr>
            <w:rFonts w:ascii="arial" w:eastAsia="arial" w:hAnsi="arial" w:cs="arial"/>
            <w:i/>
            <w:color w:val="0077CC"/>
            <w:sz w:val="20"/>
            <w:u w:val="single"/>
            <w:shd w:val="clear" w:color="auto" w:fill="FFFFFF"/>
            <w:lang w:val="en-US" w:eastAsia="en-US" w:bidi="ar-SA"/>
          </w:rPr>
          <w:t>2007 BCSC 1062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xml:space="preserve">  Awards for loss of guidance were made to parents for the loss of their children in </w:t>
      </w:r>
      <w:r>
        <w:rPr>
          <w:rFonts w:ascii="arial" w:eastAsia="arial" w:hAnsi="arial" w:cs="arial"/>
          <w:i/>
          <w:color w:val="000000"/>
          <w:sz w:val="20"/>
          <w:lang w:val="en-US" w:eastAsia="en-US" w:bidi="ar-SA"/>
        </w:rPr>
        <w:t>Lian v. Money</w:t>
      </w:r>
      <w:r>
        <w:rPr>
          <w:rFonts w:ascii="arial" w:eastAsia="arial" w:hAnsi="arial" w:cs="arial"/>
          <w:color w:val="000000"/>
          <w:sz w:val="20"/>
          <w:lang w:val="en-US" w:eastAsia="en-US" w:bidi="ar-SA"/>
        </w:rPr>
        <w:t xml:space="preserve"> </w:t>
      </w:r>
      <w:hyperlink r:id="rId487" w:history="1">
        <w:r>
          <w:rPr>
            <w:rFonts w:ascii="arial" w:eastAsia="arial" w:hAnsi="arial" w:cs="arial"/>
            <w:i/>
            <w:color w:val="0077CC"/>
            <w:sz w:val="20"/>
            <w:u w:val="single"/>
            <w:shd w:val="clear" w:color="auto" w:fill="FFFFFF"/>
            <w:lang w:val="en-US" w:eastAsia="en-US" w:bidi="ar-SA"/>
          </w:rPr>
          <w:t>(1994), 93 B.C.L.R. (2d) 16</w:t>
        </w:r>
      </w:hyperlink>
      <w:r>
        <w:rPr>
          <w:rFonts w:ascii="arial" w:eastAsia="arial" w:hAnsi="arial" w:cs="arial"/>
          <w:color w:val="000000"/>
          <w:sz w:val="20"/>
          <w:lang w:val="en-US" w:eastAsia="en-US" w:bidi="ar-SA"/>
        </w:rPr>
        <w:t xml:space="preserve"> (S.C.) (rev'd on other grounds </w:t>
      </w:r>
      <w:hyperlink r:id="rId488" w:history="1">
        <w:r>
          <w:rPr>
            <w:rFonts w:ascii="arial" w:eastAsia="arial" w:hAnsi="arial" w:cs="arial"/>
            <w:i/>
            <w:color w:val="0077CC"/>
            <w:sz w:val="20"/>
            <w:u w:val="single"/>
            <w:shd w:val="clear" w:color="auto" w:fill="FFFFFF"/>
            <w:lang w:val="en-US" w:eastAsia="en-US" w:bidi="ar-SA"/>
          </w:rPr>
          <w:t>(1996), 15 B.C.L.R. (3d) 1</w:t>
        </w:r>
      </w:hyperlink>
      <w:r>
        <w:rPr>
          <w:rFonts w:ascii="arial" w:eastAsia="arial" w:hAnsi="arial" w:cs="arial"/>
          <w:color w:val="000000"/>
          <w:sz w:val="20"/>
          <w:lang w:val="en-US" w:eastAsia="en-US" w:bidi="ar-SA"/>
        </w:rPr>
        <w:t xml:space="preserve"> (C.A.) ($5,000), and </w:t>
      </w:r>
      <w:r>
        <w:rPr>
          <w:rFonts w:ascii="arial" w:eastAsia="arial" w:hAnsi="arial" w:cs="arial"/>
          <w:i/>
          <w:color w:val="000000"/>
          <w:sz w:val="20"/>
          <w:lang w:val="en-US" w:eastAsia="en-US" w:bidi="ar-SA"/>
        </w:rPr>
        <w:t>James v. Gillis</w:t>
      </w:r>
      <w:r>
        <w:rPr>
          <w:rFonts w:ascii="arial" w:eastAsia="arial" w:hAnsi="arial" w:cs="arial"/>
          <w:color w:val="000000"/>
          <w:sz w:val="20"/>
          <w:lang w:val="en-US" w:eastAsia="en-US" w:bidi="ar-SA"/>
        </w:rPr>
        <w:t xml:space="preserve"> ($7,500).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With respect to the loss of a spouse, the situation is somewhat different because of the very real prospect of remarriage, and this must be taken into account. In the circumstances of this case, I am satisfied that Paula was reliant upon Albert for guidance beyond the degree normally to be expected of a spouse, given his familiarity with Canadian culture, and her lack thereof. I am further satisfied that the loss of that guidance is unlikely to be replaced quickly, and will be most keen during these earlier years when she remains something of a stranger in a strange land. I assess her loss in this regard at $15,000. I emphasize that the law does not permit me to take into account the extraordinary grief and pain Paula has suffered. I am limited to assessing the loss of Albert's guidance, not the emotional consequences of his death.</w:t>
      </w:r>
      <w:r>
        <w:rPr>
          <w:rFonts w:ascii="arial" w:eastAsia="arial" w:hAnsi="arial" w:cs="arial"/>
          <w:sz w:val="20"/>
          <w:lang w:val="en-US" w:eastAsia="en-US" w:bidi="ar-SA"/>
        </w:rPr>
        <w:cr/>
      </w:r>
    </w:p>
    <w:p>
      <w:pPr>
        <w:numPr>
          <w:numId w:val="3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Paula claims special damages in the amount of $26,005, consisting primarily of funeral expenses. The defendants do not contest the amount, but submit that this claim should be reduced by $22,580, being the death benefit Paula received under Albert's ICBC policy. This would leave a net claim of $3,425.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xml:space="preserve">  The defendants' position is supported by </w:t>
      </w:r>
      <w:r>
        <w:rPr>
          <w:rFonts w:ascii="arial" w:eastAsia="arial" w:hAnsi="arial" w:cs="arial"/>
          <w:i/>
          <w:color w:val="000000"/>
          <w:sz w:val="20"/>
          <w:lang w:val="en-US" w:eastAsia="en-US" w:bidi="ar-SA"/>
        </w:rPr>
        <w:t>Gurniak v. Nordquist</w:t>
      </w:r>
      <w:r>
        <w:rPr>
          <w:rFonts w:ascii="arial" w:eastAsia="arial" w:hAnsi="arial" w:cs="arial"/>
          <w:color w:val="000000"/>
          <w:sz w:val="20"/>
          <w:lang w:val="en-US" w:eastAsia="en-US" w:bidi="ar-SA"/>
        </w:rPr>
        <w:t xml:space="preserve">, </w:t>
      </w:r>
      <w:hyperlink r:id="rId489" w:history="1">
        <w:r>
          <w:rPr>
            <w:rFonts w:ascii="arial" w:eastAsia="arial" w:hAnsi="arial" w:cs="arial"/>
            <w:i/>
            <w:color w:val="0077CC"/>
            <w:sz w:val="20"/>
            <w:u w:val="single"/>
            <w:shd w:val="clear" w:color="auto" w:fill="FFFFFF"/>
            <w:lang w:val="en-US" w:eastAsia="en-US" w:bidi="ar-SA"/>
          </w:rPr>
          <w:t>2003 SCC 59</w:t>
        </w:r>
      </w:hyperlink>
      <w:r>
        <w:rPr>
          <w:rFonts w:ascii="arial" w:eastAsia="arial" w:hAnsi="arial" w:cs="arial"/>
          <w:color w:val="000000"/>
          <w:sz w:val="20"/>
          <w:lang w:val="en-US" w:eastAsia="en-US" w:bidi="ar-SA"/>
        </w:rPr>
        <w:t xml:space="preserve">, </w:t>
      </w:r>
      <w:hyperlink r:id="rId489" w:history="1">
        <w:r>
          <w:rPr>
            <w:rFonts w:ascii="arial" w:eastAsia="arial" w:hAnsi="arial" w:cs="arial"/>
            <w:i/>
            <w:color w:val="0077CC"/>
            <w:sz w:val="20"/>
            <w:u w:val="single"/>
            <w:shd w:val="clear" w:color="auto" w:fill="FFFFFF"/>
            <w:lang w:val="en-US" w:eastAsia="en-US" w:bidi="ar-SA"/>
          </w:rPr>
          <w:t>[2003] 2 S.C.R. 652</w:t>
        </w:r>
      </w:hyperlink>
      <w:r>
        <w:rPr>
          <w:rFonts w:ascii="arial" w:eastAsia="arial" w:hAnsi="arial" w:cs="arial"/>
          <w:color w:val="000000"/>
          <w:sz w:val="20"/>
          <w:lang w:val="en-US" w:eastAsia="en-US" w:bidi="ar-SA"/>
        </w:rPr>
        <w:t xml:space="preserve">, and what is now section 83(2) of the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 and I accept it. Accordingly, I award special damages in the sum of $3,425.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7. </w:t>
      </w:r>
      <w:r>
        <w:rPr>
          <w:rFonts w:ascii="arial" w:eastAsia="arial" w:hAnsi="arial" w:cs="arial"/>
          <w:b/>
          <w:color w:val="000000"/>
          <w:sz w:val="20"/>
          <w:u w:val="single"/>
          <w:lang w:val="en-US" w:eastAsia="en-US" w:bidi="ar-SA"/>
        </w:rPr>
        <w:t>Assessment of the claims of Jacek and Barbara Haczewski</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a) Past and future loss of financial support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These plaintiffs ground a claim for past and future financial support upon the concept of filial piety. Counsel for the plaintiffs asserts that this concept has been recognized as common and prominent in Asian cultures (</w:t>
      </w:r>
      <w:r>
        <w:rPr>
          <w:rFonts w:ascii="arial" w:eastAsia="arial" w:hAnsi="arial" w:cs="arial"/>
          <w:i/>
          <w:color w:val="000000"/>
          <w:sz w:val="20"/>
          <w:lang w:val="en-US" w:eastAsia="en-US" w:bidi="ar-SA"/>
        </w:rPr>
        <w:t>Sum Estate v. Kan</w:t>
      </w:r>
      <w:r>
        <w:rPr>
          <w:rFonts w:ascii="arial" w:eastAsia="arial" w:hAnsi="arial" w:cs="arial"/>
          <w:color w:val="000000"/>
          <w:sz w:val="20"/>
          <w:lang w:val="en-US" w:eastAsia="en-US" w:bidi="ar-SA"/>
        </w:rPr>
        <w:t xml:space="preserve"> </w:t>
      </w:r>
      <w:hyperlink r:id="rId490" w:history="1">
        <w:r>
          <w:rPr>
            <w:rFonts w:ascii="arial" w:eastAsia="arial" w:hAnsi="arial" w:cs="arial"/>
            <w:i/>
            <w:color w:val="0077CC"/>
            <w:sz w:val="20"/>
            <w:u w:val="single"/>
            <w:shd w:val="clear" w:color="auto" w:fill="FFFFFF"/>
            <w:lang w:val="en-US" w:eastAsia="en-US" w:bidi="ar-SA"/>
          </w:rPr>
          <w:t>(1997), 44 B.C.L.R. (3d) 250</w:t>
        </w:r>
      </w:hyperlink>
      <w:r>
        <w:rPr>
          <w:rFonts w:ascii="arial" w:eastAsia="arial" w:hAnsi="arial" w:cs="arial"/>
          <w:color w:val="000000"/>
          <w:sz w:val="20"/>
          <w:lang w:val="en-US" w:eastAsia="en-US" w:bidi="ar-SA"/>
        </w:rPr>
        <w:t xml:space="preserve"> (C.A.)) but is equally so among Polish families, and that an award of $200,000 to Jacek and Barbara is justified. He made no submission concerning the impact of such an award on the amount of Paula's dependency, which would presumably have to be reduced to reflect income made available to the parents instead of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xml:space="preserve">  In the </w:t>
      </w:r>
      <w:r>
        <w:rPr>
          <w:rFonts w:ascii="arial" w:eastAsia="arial" w:hAnsi="arial" w:cs="arial"/>
          <w:i/>
          <w:color w:val="000000"/>
          <w:sz w:val="20"/>
          <w:lang w:val="en-US" w:eastAsia="en-US" w:bidi="ar-SA"/>
        </w:rPr>
        <w:t>Sum Estate</w:t>
      </w:r>
      <w:r>
        <w:rPr>
          <w:rFonts w:ascii="arial" w:eastAsia="arial" w:hAnsi="arial" w:cs="arial"/>
          <w:color w:val="000000"/>
          <w:sz w:val="20"/>
          <w:lang w:val="en-US" w:eastAsia="en-US" w:bidi="ar-SA"/>
        </w:rPr>
        <w:t xml:space="preserve"> case, a considerable amount of evidence was adduced concerning the traditional Confucian concept of filial piety, and the expectation of a symbolic financial contribution to the parents of between 10% and 20% of a child's gross income, regardless of the parents' need. The evidence further demonstrated that the deceased son had been following that doctrine at the time of his death at the age of 23. While working as a waiter, he paid his parents $300/month out of respect.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xml:space="preserve">  The case of </w:t>
      </w:r>
      <w:r>
        <w:rPr>
          <w:rFonts w:ascii="arial" w:eastAsia="arial" w:hAnsi="arial" w:cs="arial"/>
          <w:i/>
          <w:color w:val="000000"/>
          <w:sz w:val="20"/>
          <w:lang w:val="en-US" w:eastAsia="en-US" w:bidi="ar-SA"/>
        </w:rPr>
        <w:t>Ayeras et al. v. Front Runner Freight Ltd. et al.</w:t>
      </w:r>
      <w:r>
        <w:rPr>
          <w:rFonts w:ascii="arial" w:eastAsia="arial" w:hAnsi="arial" w:cs="arial"/>
          <w:color w:val="000000"/>
          <w:sz w:val="20"/>
          <w:lang w:val="en-US" w:eastAsia="en-US" w:bidi="ar-SA"/>
        </w:rPr>
        <w:t xml:space="preserve">, </w:t>
      </w:r>
      <w:hyperlink r:id="rId491" w:history="1">
        <w:r>
          <w:rPr>
            <w:rFonts w:ascii="arial" w:eastAsia="arial" w:hAnsi="arial" w:cs="arial"/>
            <w:i/>
            <w:color w:val="0077CC"/>
            <w:sz w:val="20"/>
            <w:u w:val="single"/>
            <w:shd w:val="clear" w:color="auto" w:fill="FFFFFF"/>
            <w:lang w:val="en-US" w:eastAsia="en-US" w:bidi="ar-SA"/>
          </w:rPr>
          <w:t>[1998] B.C.J. No. 1803</w:t>
        </w:r>
      </w:hyperlink>
      <w:r>
        <w:rPr>
          <w:rFonts w:ascii="arial" w:eastAsia="arial" w:hAnsi="arial" w:cs="arial"/>
          <w:color w:val="000000"/>
          <w:sz w:val="20"/>
          <w:lang w:val="en-US" w:eastAsia="en-US" w:bidi="ar-SA"/>
        </w:rPr>
        <w:t xml:space="preserve">, </w:t>
      </w:r>
      <w:hyperlink r:id="rId491" w:history="1">
        <w:r>
          <w:rPr>
            <w:rFonts w:ascii="arial" w:eastAsia="arial" w:hAnsi="arial" w:cs="arial"/>
            <w:i/>
            <w:color w:val="0077CC"/>
            <w:sz w:val="20"/>
            <w:u w:val="single"/>
            <w:shd w:val="clear" w:color="auto" w:fill="FFFFFF"/>
            <w:lang w:val="en-US" w:eastAsia="en-US" w:bidi="ar-SA"/>
          </w:rPr>
          <w:t>1998 CarswellBC 1644</w:t>
        </w:r>
      </w:hyperlink>
      <w:r>
        <w:rPr>
          <w:rFonts w:ascii="arial" w:eastAsia="arial" w:hAnsi="arial" w:cs="arial"/>
          <w:color w:val="000000"/>
          <w:sz w:val="20"/>
          <w:lang w:val="en-US" w:eastAsia="en-US" w:bidi="ar-SA"/>
        </w:rPr>
        <w:t xml:space="preserve"> (WL Can) (S.C.), was to like effect. The evidence established a cultural expectation of filial piety (the family was from the Philippines) as well as an expectation in the deceased's family of children supporting their parents.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The evidence in this case was much more limited. The only evidence of a cultural or familial expectation was Jacek's testimony that in Poland, there is a cultural "rule" that children will help their parents. He further testified that he invariably sent parcels and as much money as he could to his own parents when they were in Poland and he was in Canada. Barbara Haczewski candidly explained that while she hoped that Albert would contribute to her support later in life, she did not expect him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In fact, Albert had not contributed anything to the support of his parents other than assisting them with the running of their hotel in Poland in return for their support of his education. He sent no money to them while he was employed by Telus. His parents are not in any particular need of support (unlike Jacek's parents), and given that Albert and Paula were looking forward to raising a family supported entirely by Albert's income, I consider it unlikely that he would have set any significant amount aside for his parents in these circumstances. Although I do not doubt that he would have been prepared to assist his parents to some extent once he was established in a successful career, I am satisfied that his priority would have been his wife and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In my view, the evidence before me does not support more than a modest award to Albert's parents for the loss of his future financial support, and I assess that award at $20,000.</w:t>
      </w:r>
      <w:r>
        <w:rPr>
          <w:rFonts w:ascii="arial" w:eastAsia="arial" w:hAnsi="arial" w:cs="arial"/>
          <w:sz w:val="20"/>
          <w:lang w:val="en-US" w:eastAsia="en-US" w:bidi="ar-SA"/>
        </w:rPr>
        <w:cr/>
      </w:r>
    </w:p>
    <w:p>
      <w:pPr>
        <w:numPr>
          <w:numId w:val="3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Loss of guidance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On the basis of the principles I reviewed above in considering Paula's claim under this heading, I am unable to find any basis for an award to Jacek Haczewski, who has resided principally in Poland, and who spoke to his son approximately monthly. While I have no doubt that they had a close relationship, the loss of which Jacek feels keenly, the necessary element of guidance is missing from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Barbara Haczewski spent a good deal more time in Canada and, with her husband in Poland, was more reliant upon Albert for assistance, including his willingness to go on title with her when she purchased her house in Calgary, allowing her to reduce the down payment that was required. In all of the circumstances, I conclude on the evidence that she has suffered a loss of guidance, and I assess that loss at $7,000.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xml:space="preserve">  The plaintiffs submit that they are entitled to an award of special costs by reason of what they assert was an abuse of process by the defendants in refusing to admit liability notwithstanding Constable Kostiuk's guilty plea to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charge of driving without due care and attention. They rely on the decision of Mr. Justice Truscott in </w:t>
      </w:r>
      <w:r>
        <w:rPr>
          <w:rFonts w:ascii="arial" w:eastAsia="arial" w:hAnsi="arial" w:cs="arial"/>
          <w:i/>
          <w:color w:val="000000"/>
          <w:sz w:val="20"/>
          <w:lang w:val="en-US" w:eastAsia="en-US" w:bidi="ar-SA"/>
        </w:rPr>
        <w:t>Ulmer v. Weidmann</w:t>
      </w:r>
      <w:r>
        <w:rPr>
          <w:rFonts w:ascii="arial" w:eastAsia="arial" w:hAnsi="arial" w:cs="arial"/>
          <w:color w:val="000000"/>
          <w:sz w:val="20"/>
          <w:lang w:val="en-US" w:eastAsia="en-US" w:bidi="ar-SA"/>
        </w:rPr>
        <w:t xml:space="preserve">, </w:t>
      </w:r>
      <w:hyperlink r:id="rId492" w:history="1">
        <w:r>
          <w:rPr>
            <w:rFonts w:ascii="arial" w:eastAsia="arial" w:hAnsi="arial" w:cs="arial"/>
            <w:i/>
            <w:color w:val="0077CC"/>
            <w:sz w:val="20"/>
            <w:u w:val="single"/>
            <w:shd w:val="clear" w:color="auto" w:fill="FFFFFF"/>
            <w:lang w:val="en-US" w:eastAsia="en-US" w:bidi="ar-SA"/>
          </w:rPr>
          <w:t>2011 BCSC 130</w:t>
        </w:r>
      </w:hyperlink>
      <w:r>
        <w:rPr>
          <w:rFonts w:ascii="arial" w:eastAsia="arial" w:hAnsi="arial" w:cs="arial"/>
          <w:color w:val="000000"/>
          <w:sz w:val="20"/>
          <w:lang w:val="en-US" w:eastAsia="en-US" w:bidi="ar-SA"/>
        </w:rPr>
        <w:t>, where His Lordship considered a claim of damages for abuse of process arising from the defendant's failure to admit liability in a civil case arising from a motor vehicle accident for which he had been convicted of driving without due care and attention.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xml:space="preserve">  In that case, Truscott J. concluded that the conviction for driving without due care and attention amounted to a finding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defendant because his manner of driving was found to have departed from the standard of a reasonable man. The judge accordingly agreed that it was an abuse of process for the defendant to deny full liability as this constituted an attempt to relitigate the findings of the Provincial Court that were necessary for his conviction, thereby undermining the integrity of the judicial process. Mr. Justice Truscott found it was not an abuse of process, however, for the defendant to allege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plaintiff. In all of the circumstances, although he concluded that there was an abuse of process, Truscott J. declined to award any damages for it and denied the claim. He made no award of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xml:space="preserve">  As I understand the plaintiffs' submission (although it was not articulated in this way), it was similarly an abuse of process for the defendants to deny liability in this case, and this undermining of the integrity of the judicial process amounted to reprehensible conduct. Reprehensible conduct is the single standard required to support an award of special costs, and consists of conduct that is scandalous, outrageous, or constitutes misbehaviour, as well as milder forms of misconduct conduct worthy of reproof or rebuke: </w:t>
      </w:r>
      <w:r>
        <w:rPr>
          <w:rFonts w:ascii="arial" w:eastAsia="arial" w:hAnsi="arial" w:cs="arial"/>
          <w:i/>
          <w:color w:val="000000"/>
          <w:sz w:val="20"/>
          <w:lang w:val="en-US" w:eastAsia="en-US" w:bidi="ar-SA"/>
        </w:rPr>
        <w:t>Garcia v. Crestbrook Forest Industries Ltd.</w:t>
      </w:r>
      <w:r>
        <w:rPr>
          <w:rFonts w:ascii="arial" w:eastAsia="arial" w:hAnsi="arial" w:cs="arial"/>
          <w:color w:val="000000"/>
          <w:sz w:val="20"/>
          <w:lang w:val="en-US" w:eastAsia="en-US" w:bidi="ar-SA"/>
        </w:rPr>
        <w:t xml:space="preserve"> </w:t>
      </w:r>
      <w:hyperlink r:id="rId493" w:history="1">
        <w:r>
          <w:rPr>
            <w:rFonts w:ascii="arial" w:eastAsia="arial" w:hAnsi="arial" w:cs="arial"/>
            <w:i/>
            <w:color w:val="0077CC"/>
            <w:sz w:val="20"/>
            <w:u w:val="single"/>
            <w:shd w:val="clear" w:color="auto" w:fill="FFFFFF"/>
            <w:lang w:val="en-US" w:eastAsia="en-US" w:bidi="ar-SA"/>
          </w:rPr>
          <w:t>(1994), 119 D.L.R. (4th) 740</w:t>
        </w:r>
      </w:hyperlink>
      <w:r>
        <w:rPr>
          <w:rFonts w:ascii="arial" w:eastAsia="arial" w:hAnsi="arial" w:cs="arial"/>
          <w:color w:val="000000"/>
          <w:sz w:val="20"/>
          <w:lang w:val="en-US" w:eastAsia="en-US" w:bidi="ar-SA"/>
        </w:rPr>
        <w:t xml:space="preserve"> at 745-747 (B.C.C.A.); </w:t>
      </w:r>
      <w:r>
        <w:rPr>
          <w:rFonts w:ascii="arial" w:eastAsia="arial" w:hAnsi="arial" w:cs="arial"/>
          <w:i/>
          <w:color w:val="000000"/>
          <w:sz w:val="20"/>
          <w:lang w:val="en-US" w:eastAsia="en-US" w:bidi="ar-SA"/>
        </w:rPr>
        <w:t>Leung v. Leung</w:t>
      </w:r>
      <w:r>
        <w:rPr>
          <w:rFonts w:ascii="arial" w:eastAsia="arial" w:hAnsi="arial" w:cs="arial"/>
          <w:color w:val="000000"/>
          <w:sz w:val="20"/>
          <w:lang w:val="en-US" w:eastAsia="en-US" w:bidi="ar-SA"/>
        </w:rPr>
        <w:t xml:space="preserve"> </w:t>
      </w:r>
      <w:hyperlink r:id="rId81" w:history="1">
        <w:r>
          <w:rPr>
            <w:rFonts w:ascii="arial" w:eastAsia="arial" w:hAnsi="arial" w:cs="arial"/>
            <w:i/>
            <w:color w:val="0077CC"/>
            <w:sz w:val="20"/>
            <w:u w:val="single"/>
            <w:shd w:val="clear" w:color="auto" w:fill="FFFFFF"/>
            <w:lang w:val="en-US" w:eastAsia="en-US" w:bidi="ar-SA"/>
          </w:rPr>
          <w:t>(1993), 77 B.C.L.R. (2d) 314</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International Hi-Tech Industries Inc. v. FANUC Robotics Canada Ltd.</w:t>
      </w:r>
      <w:r>
        <w:rPr>
          <w:rFonts w:ascii="arial" w:eastAsia="arial" w:hAnsi="arial" w:cs="arial"/>
          <w:color w:val="000000"/>
          <w:sz w:val="20"/>
          <w:lang w:val="en-US" w:eastAsia="en-US" w:bidi="ar-SA"/>
        </w:rPr>
        <w:t xml:space="preserve">, </w:t>
      </w:r>
      <w:hyperlink r:id="rId494" w:history="1">
        <w:r>
          <w:rPr>
            <w:rFonts w:ascii="arial" w:eastAsia="arial" w:hAnsi="arial" w:cs="arial"/>
            <w:i/>
            <w:color w:val="0077CC"/>
            <w:sz w:val="20"/>
            <w:u w:val="single"/>
            <w:shd w:val="clear" w:color="auto" w:fill="FFFFFF"/>
            <w:lang w:val="en-US" w:eastAsia="en-US" w:bidi="ar-SA"/>
          </w:rPr>
          <w:t>2007 BCSC 1724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In my view, the circumstances of this case are quite different from those considered by Truscott J. Constable Kostiuk was not found guilty, but rather entered into a plea agreement which resulted in a guilty plea to a lesser included charge. In these circumstances, it cannot be said that the defendants were attempting to relitigate findings already made via the judicial process. As I noted above, there were certainly reasons for entering into the plea other than admitting guilt, although, to her credit, Constable Kostiuk did not attempt to resile from the admission.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xml:space="preserve">  As a matter of law, Constable Kostiuk's guilty plea was admissible into evidence as an admission that gave rise to a strong but rebuttable presumption that she in fact committed the offence: </w:t>
      </w:r>
      <w:r>
        <w:rPr>
          <w:rFonts w:ascii="arial" w:eastAsia="arial" w:hAnsi="arial" w:cs="arial"/>
          <w:i/>
          <w:color w:val="000000"/>
          <w:sz w:val="20"/>
          <w:lang w:val="en-US" w:eastAsia="en-US" w:bidi="ar-SA"/>
        </w:rPr>
        <w:t>Wagstaff v. Johnson</w:t>
      </w:r>
      <w:r>
        <w:rPr>
          <w:rFonts w:ascii="arial" w:eastAsia="arial" w:hAnsi="arial" w:cs="arial"/>
          <w:color w:val="000000"/>
          <w:sz w:val="20"/>
          <w:lang w:val="en-US" w:eastAsia="en-US" w:bidi="ar-SA"/>
        </w:rPr>
        <w:t xml:space="preserve">, </w:t>
      </w:r>
      <w:hyperlink r:id="rId495" w:history="1">
        <w:r>
          <w:rPr>
            <w:rFonts w:ascii="arial" w:eastAsia="arial" w:hAnsi="arial" w:cs="arial"/>
            <w:i/>
            <w:color w:val="0077CC"/>
            <w:sz w:val="20"/>
            <w:u w:val="single"/>
            <w:shd w:val="clear" w:color="auto" w:fill="FFFFFF"/>
            <w:lang w:val="en-US" w:eastAsia="en-US" w:bidi="ar-SA"/>
          </w:rPr>
          <w:t>2001 BCSC 1375</w:t>
        </w:r>
      </w:hyperlink>
      <w:r>
        <w:rPr>
          <w:rFonts w:ascii="arial" w:eastAsia="arial" w:hAnsi="arial" w:cs="arial"/>
          <w:color w:val="000000"/>
          <w:sz w:val="20"/>
          <w:lang w:val="en-US" w:eastAsia="en-US" w:bidi="ar-SA"/>
        </w:rPr>
        <w:t xml:space="preserve"> at para. 36; </w:t>
      </w:r>
      <w:r>
        <w:rPr>
          <w:rFonts w:ascii="arial" w:eastAsia="arial" w:hAnsi="arial" w:cs="arial"/>
          <w:i/>
          <w:color w:val="000000"/>
          <w:sz w:val="20"/>
          <w:lang w:val="en-US" w:eastAsia="en-US" w:bidi="ar-SA"/>
        </w:rPr>
        <w:t>D.L.M. v. Battle</w:t>
      </w:r>
      <w:r>
        <w:rPr>
          <w:rFonts w:ascii="arial" w:eastAsia="arial" w:hAnsi="arial" w:cs="arial"/>
          <w:color w:val="000000"/>
          <w:sz w:val="20"/>
          <w:lang w:val="en-US" w:eastAsia="en-US" w:bidi="ar-SA"/>
        </w:rPr>
        <w:t xml:space="preserve">, </w:t>
      </w:r>
      <w:hyperlink r:id="rId496" w:history="1">
        <w:r>
          <w:rPr>
            <w:rFonts w:ascii="arial" w:eastAsia="arial" w:hAnsi="arial" w:cs="arial"/>
            <w:i/>
            <w:color w:val="0077CC"/>
            <w:sz w:val="20"/>
            <w:u w:val="single"/>
            <w:shd w:val="clear" w:color="auto" w:fill="FFFFFF"/>
            <w:lang w:val="en-US" w:eastAsia="en-US" w:bidi="ar-SA"/>
          </w:rPr>
          <w:t>2005 BCSC 1502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Cromarty v. Monteith</w:t>
      </w:r>
      <w:r>
        <w:rPr>
          <w:rFonts w:ascii="arial" w:eastAsia="arial" w:hAnsi="arial" w:cs="arial"/>
          <w:color w:val="000000"/>
          <w:sz w:val="20"/>
          <w:lang w:val="en-US" w:eastAsia="en-US" w:bidi="ar-SA"/>
        </w:rPr>
        <w:t xml:space="preserve"> </w:t>
      </w:r>
      <w:hyperlink r:id="rId497" w:history="1">
        <w:r>
          <w:rPr>
            <w:rFonts w:ascii="arial" w:eastAsia="arial" w:hAnsi="arial" w:cs="arial"/>
            <w:i/>
            <w:color w:val="0077CC"/>
            <w:sz w:val="20"/>
            <w:u w:val="single"/>
            <w:shd w:val="clear" w:color="auto" w:fill="FFFFFF"/>
            <w:lang w:val="en-US" w:eastAsia="en-US" w:bidi="ar-SA"/>
          </w:rPr>
          <w:t>(1957), 8 D.L.R. (2d) 112</w:t>
        </w:r>
      </w:hyperlink>
      <w:r>
        <w:rPr>
          <w:rFonts w:ascii="arial" w:eastAsia="arial" w:hAnsi="arial" w:cs="arial"/>
          <w:color w:val="000000"/>
          <w:sz w:val="20"/>
          <w:lang w:val="en-US" w:eastAsia="en-US" w:bidi="ar-SA"/>
        </w:rPr>
        <w:t xml:space="preserve">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As it turned out, although there were grounds for arguing that the presumption ought to be rebutted in this case, the evidence to support that argument did not materialize. As such, it might indeed be suggested that the defendants ought to have admitted liability, leaving for determination the question of whether Albert Haczewski was contributorily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xml:space="preserve">  Given the issues raised by the particular circumstances of this case, however, in terms of the emergency response and the applicable statutory provisions and regulations, as well as the plea bargain arrangement into which Constable Kostiuk entered, I am unable to conclude that the defendants' approach constituted reprehensible conduct that would justify an award of special costs. This is not a case like </w:t>
      </w:r>
      <w:r>
        <w:rPr>
          <w:rFonts w:ascii="arial" w:eastAsia="arial" w:hAnsi="arial" w:cs="arial"/>
          <w:i/>
          <w:color w:val="000000"/>
          <w:sz w:val="20"/>
          <w:lang w:val="en-US" w:eastAsia="en-US" w:bidi="ar-SA"/>
        </w:rPr>
        <w:t>Plishka-Humphreys (Guardian ad litem of) v. Bolen</w:t>
      </w:r>
      <w:r>
        <w:rPr>
          <w:rFonts w:ascii="arial" w:eastAsia="arial" w:hAnsi="arial" w:cs="arial"/>
          <w:color w:val="000000"/>
          <w:sz w:val="20"/>
          <w:lang w:val="en-US" w:eastAsia="en-US" w:bidi="ar-SA"/>
        </w:rPr>
        <w:t xml:space="preserve">, </w:t>
      </w:r>
      <w:hyperlink r:id="rId498" w:history="1">
        <w:r>
          <w:rPr>
            <w:rFonts w:ascii="arial" w:eastAsia="arial" w:hAnsi="arial" w:cs="arial"/>
            <w:i/>
            <w:color w:val="0077CC"/>
            <w:sz w:val="20"/>
            <w:u w:val="single"/>
            <w:shd w:val="clear" w:color="auto" w:fill="FFFFFF"/>
            <w:lang w:val="en-US" w:eastAsia="en-US" w:bidi="ar-SA"/>
          </w:rPr>
          <w:t>2012 BCSC 235</w:t>
        </w:r>
      </w:hyperlink>
      <w:r>
        <w:rPr>
          <w:rFonts w:ascii="arial" w:eastAsia="arial" w:hAnsi="arial" w:cs="arial"/>
          <w:color w:val="000000"/>
          <w:sz w:val="20"/>
          <w:lang w:val="en-US" w:eastAsia="en-US" w:bidi="ar-SA"/>
        </w:rPr>
        <w:t>, where the facts read into the record by Crown Counsel in the defendant's presence at the time of the sentencing hearing made nonsense of any attempt to rebut the presumption of an admission of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xml:space="preserve">  I observe as well that an admission would have made little difference to the conduct of the trial given the issue raised as to whether there was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Albert Haczewski, and whether liability ought therefore to be apportioned. Although the defendants did not succeed on that issue, they cannot be criticized for raising it given the state of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Subject, then, to any circumstances such as Offers to Settle of which I am presently unaware, the plaintiffs are entitled to ordinary costs at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I find the defendants liable for the wrongful death of Albert Haczewski. Their third party claim against his estate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xml:space="preserve">  Pursuant to her claim under the </w:t>
      </w:r>
      <w:r>
        <w:rPr>
          <w:rFonts w:ascii="arial" w:eastAsia="arial" w:hAnsi="arial" w:cs="arial"/>
          <w:i/>
          <w:color w:val="000000"/>
          <w:sz w:val="20"/>
          <w:lang w:val="en-US" w:eastAsia="en-US" w:bidi="ar-SA"/>
        </w:rPr>
        <w:t>Family Compensation Act</w:t>
      </w:r>
      <w:r>
        <w:rPr>
          <w:rFonts w:ascii="arial" w:eastAsia="arial" w:hAnsi="arial" w:cs="arial"/>
          <w:color w:val="000000"/>
          <w:sz w:val="20"/>
          <w:lang w:val="en-US" w:eastAsia="en-US" w:bidi="ar-SA"/>
        </w:rPr>
        <w:t>, I award the following damages to Paula Haczewski: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706"/>
        <w:gridCol w:w="1568"/>
        <w:gridCol w:w="355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Loss of past financial support:</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$70,000</w:t>
            </w:r>
          </w:p>
        </w:tc>
        <w:tc>
          <w:tcPr>
            <w:tcW w:w="3482"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Loss of future financial support:</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$165,000</w:t>
            </w:r>
          </w:p>
        </w:tc>
        <w:tc>
          <w:tcPr>
            <w:tcW w:w="3482"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60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Loss of past household services</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$14,000</w:t>
            </w:r>
          </w:p>
        </w:tc>
        <w:tc>
          <w:tcPr>
            <w:tcW w:w="348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915"/>
        <w:gridCol w:w="1359"/>
        <w:gridCol w:w="355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81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Loss of future household services</w:t>
            </w:r>
          </w:p>
        </w:tc>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$45,000</w:t>
            </w:r>
          </w:p>
        </w:tc>
        <w:tc>
          <w:tcPr>
            <w:tcW w:w="348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660"/>
        <w:gridCol w:w="2614"/>
        <w:gridCol w:w="355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58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Loss of guidance</w:t>
            </w:r>
          </w:p>
        </w:tc>
        <w:tc>
          <w:tcPr>
            <w:tcW w:w="256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$15,000</w:t>
            </w:r>
          </w:p>
        </w:tc>
        <w:tc>
          <w:tcPr>
            <w:tcW w:w="348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124"/>
        <w:gridCol w:w="366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01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Special damages</w:t>
            </w:r>
          </w:p>
        </w:tc>
        <w:tc>
          <w:tcPr>
            <w:tcW w:w="358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$3,425</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928"/>
        <w:gridCol w:w="3346"/>
        <w:gridCol w:w="355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86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w:t>
            </w:r>
          </w:p>
        </w:tc>
        <w:tc>
          <w:tcPr>
            <w:tcW w:w="327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$312,425</w:t>
            </w:r>
          </w:p>
        </w:tc>
        <w:tc>
          <w:tcPr>
            <w:tcW w:w="348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Plus pre-judgment interest on the past losses pursuant to the provisions of the </w:t>
      </w:r>
      <w:r>
        <w:rPr>
          <w:rFonts w:ascii="arial" w:eastAsia="arial" w:hAnsi="arial" w:cs="arial"/>
          <w:i/>
          <w:color w:val="000000"/>
          <w:sz w:val="20"/>
          <w:lang w:val="en-US" w:eastAsia="en-US" w:bidi="ar-SA"/>
        </w:rPr>
        <w:t>Court Order Interest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79</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The parties are to make further submissions on the appropriate amount, if any, to be awarded to Paula for income tax gross-up and management fees, based upon my findings. They should contact the registry to arrange for a one hour hearing for this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xml:space="preserve">  With respect to their </w:t>
      </w:r>
      <w:r>
        <w:rPr>
          <w:rFonts w:ascii="arial" w:eastAsia="arial" w:hAnsi="arial" w:cs="arial"/>
          <w:i/>
          <w:color w:val="000000"/>
          <w:sz w:val="20"/>
          <w:lang w:val="en-US" w:eastAsia="en-US" w:bidi="ar-SA"/>
        </w:rPr>
        <w:t>Family Compensation Act</w:t>
      </w:r>
      <w:r>
        <w:rPr>
          <w:rFonts w:ascii="arial" w:eastAsia="arial" w:hAnsi="arial" w:cs="arial"/>
          <w:color w:val="000000"/>
          <w:sz w:val="20"/>
          <w:lang w:val="en-US" w:eastAsia="en-US" w:bidi="ar-SA"/>
        </w:rPr>
        <w:t xml:space="preserve"> claims, I award the following damages to Jacek and Barbara Haczewski: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705"/>
        <w:gridCol w:w="1464"/>
        <w:gridCol w:w="366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60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Loss of future financial support:</w:t>
            </w:r>
          </w:p>
        </w:tc>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$20,000</w:t>
            </w:r>
          </w:p>
        </w:tc>
        <w:tc>
          <w:tcPr>
            <w:tcW w:w="358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496"/>
        <w:gridCol w:w="1673"/>
        <w:gridCol w:w="366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40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Loss of guidance (Barbara):</w:t>
            </w:r>
          </w:p>
        </w:tc>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$7,000</w:t>
            </w:r>
          </w:p>
        </w:tc>
        <w:tc>
          <w:tcPr>
            <w:tcW w:w="358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The plaintiffs are entitled to their ordinary costs at Scale B unless it is necessary for the parties to raise matters of which I am presently unaware. In that event, appropriate arrangements should be made with the registry.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J.C. GRAUER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40" style="position:absolute;z-index:25178419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99"/>
          <w:headerReference w:type="default" r:id="rId500"/>
          <w:footerReference w:type="even" r:id="rId501"/>
          <w:footerReference w:type="default" r:id="rId502"/>
          <w:headerReference w:type="first" r:id="rId503"/>
          <w:footerReference w:type="first" r:id="rId50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05" w:history="1">
        <w:r>
          <w:rPr>
            <w:rFonts w:ascii="arial" w:eastAsia="arial" w:hAnsi="arial" w:cs="arial"/>
            <w:b/>
            <w:bCs/>
            <w:i/>
            <w:color w:val="0077CC"/>
            <w:kern w:val="32"/>
            <w:sz w:val="28"/>
            <w:szCs w:val="32"/>
            <w:u w:val="single"/>
            <w:shd w:val="clear" w:color="auto" w:fill="FFFFFF"/>
            <w:lang w:val="en-US" w:eastAsia="en-US" w:bidi="ar-SA"/>
          </w:rPr>
          <w:t>347671 B.C. Ltd. v. Heenan Blaikie, [2000] B.C.J. No. 2378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Baker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6, 7, 24 and 27,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November 29,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C981357</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[2000] B.C.J. No. 2378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2000 BCSC 1714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83 B.C.L.R. (3d) 120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10 B.L.R. (3d) 146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 C.C.L.T. (3d) 290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101 A.C.W.S. (3d) 425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[2000] B.C.T.C. 923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347671 B.C. Ltd., Anthem Capital Corp., Cornerstone Entertainment Group Inc., J.P. Management Ltd., PCG Richards Law Corporation, Joseph Segal and John H.G. Dustan, plaintiffs, and Heenan Blaikie,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(138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41" style="position:absolute;z-index:2516828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55" w:name="Keywords_21"/>
      <w:bookmarkEnd w:id="155"/>
      <w:r>
        <w:rPr>
          <w:rFonts w:ascii="arial" w:eastAsia="arial" w:hAnsi="arial" w:cs="arial"/>
          <w:b/>
          <w:color w:val="000000"/>
          <w:sz w:val="20"/>
          <w:lang w:val="en-US" w:eastAsia="en-US" w:bidi="ar-SA"/>
        </w:rPr>
        <w:t xml:space="preserve">Baristers and solicitors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Standard of care.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56" w:name="Case Summary_20"/>
            <w:bookmarkEnd w:id="15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347671 BC and others for damages against the law firm Heenan Blaikie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Vanderheyden, a principal of Headquarters, instructed Evrensel of Heenan to prepare an Offering Memorandum for a Partnership. Headquarters acquired the rights to present a Concert on New Year's Eve. CMO/Planwest entered into a loan Agreement with Headquarters. A Security Agreement in which Headquarters/Marquee and the Partnership agreed to grant security to CMO/Planwest to secure the loan from CMO/Planwest was prepared. The Security Agreement was registered on July 9. Headquarters subsequently needed to find alternative sources of funds to finance promotion of the Concert. A Term Sheet was prepared by Evrensel to provide information to potential investors. Evrensel assumed that no money, other than the $10,000, had been loaned to Headquarters by CMO/Planwest. He did not search the Personal Property Security Act registry. Richardson was approached to help find private investors. He was told that Evrensel was Headquarters' lawyer and that he could rely on him to know what issues of concern there might be. Richardson said that he told Evrensel that neither he nor his investors would be hiring their own lawyer and that the investors would be relying on him to document their security. He said that Evrensel assured him that there were no prior charges and that he was in a position to know. Shapero confirmed this. The Concert was a financial failure.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57" w:name="Holdings of Court_13"/>
            <w:bookmarkEnd w:id="157"/>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Blaikie owed the plaintiffs a duty of care not to make negligent misrepresentations about the security that Headquarters could give them. Blaikie made representations to the plaintiffs that were untrue and misleading. The plaintiffs relied on the representations to their detriment. There was a special relationship between Blaikie and the plaintiffs. Harm to the plaintiffs was foreseeable as a result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Blaikie. The information was given deliberately. Blaikie voluntarily assumed responsibility for the accuracy of the statements made by Richardson to the plaintiffs. Blaikie was negligent in failing to inquire to ascertain the true state of affairs. But for the representations, the plaintiffs would not have entered into the investment contracts or loaned money to Headquarters. The plaintiffs' reliance was reasonable and detrimental. They were not contributorily negligent.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58" w:name="Legislation Cited_18"/>
      <w:bookmarkEnd w:id="15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42" style="position:absolute;z-index:2517340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Personal Property Security Act.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59" w:name="Counsel_23"/>
      <w:bookmarkEnd w:id="15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43" style="position:absolute;z-index:2517852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Michael P. Carroll, Q.C., for the plaintiffs. John D. Truscott, Q.C., for the defendant.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60" w:name="Judgment_23"/>
      <w:bookmarkEnd w:id="160"/>
      <w:r>
        <w:pict>
          <v:line id="_x0000_s1144" style="position:absolute;z-index:25183436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6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61" w:name="BAKER J."/>
            <w:bookmarkEnd w:id="161"/>
            <w:r>
              <w:rPr>
                <w:rFonts w:ascii="arial" w:eastAsia="arial" w:hAnsi="arial" w:cs="arial"/>
                <w:b/>
                <w:color w:val="000000"/>
                <w:sz w:val="30"/>
                <w:lang w:val="en-US" w:eastAsia="en-US" w:bidi="ar-SA"/>
              </w:rPr>
              <w:t>BAKER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New Year's Eve, 1996, three singers known as "The Three Tenors" performed a musical concert in Vancouver. Earlier in 1996, each of the plaintiffs loaned $50,000 to finance the marketing and promotion of the Concert. The plaintiffs say that in deciding to loan the money, they relied on a negligent misrepresentation made by the defendant law firm concerning the security available for their loans. The Three Tenors Concert was a financial failure, and the plaintiffs' investment was lost. The plaintiffs seek damages from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Headquarters Entertainment Corp. ("Headquarters") is a British Columbia company. Tina Vanderheyden is one of the principals of Headquarters. In 1996, Headquarters' Chief Financial Officer was Edward Shapero. By 1996, Ms. Vanderheyden had been involved in the entertainment industry in Canada for many years, and had for several years retained the services of the defendant law firm Heenan Blaikie, and, in particular, Arthur Evrensel, a Heenan Blaikie partner.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Arthur Evrensel was admitted to the Bar in Quebec in 1985 and joined the British Columbia Bar in 1990. His corporate solicitor's practise is concentrated in areas of law relating to the entertainment industry - securities, administrative law, and intellectual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February 1996, Ms. Vanderheyden, on behalf of Headquarters, instructed Mr. Evrensel to prepare an offering memorandum ("the Offering Memorandum" or "the Memorandum") for a partnership to be known as Headquarters Entertainment (1995) Limited Partnership ("the Partnership"). The General Partner was to be Marquee Theatricals Inc. ("Marquee"), a wholly owned subsidiary of Headquarters. The Partnership's objective was to invest in live theatre productions. Mr. Evrensel prepared several drafts of the Offering Memorandum for Headquarters.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May 1996, Headquarters acquired the rights to present The Three Tenors Concert on New Year's Eve 1996 at B.C. Place Stadium in Vancouver. Mr. Evrensel was instructed to prepare an amendment to the Offering Memorandum to add the Three Tenors Concert to the list of the Partnership's proposed projects.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Evrensel prepared an amendment to the Offering Memorandum, dated June 5, 1996. The following paragraph appeared in the amended Memorandum: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Partnership intends to invest a sum of $500,000 US in the production of the Concert, which would be used as working capital to finance the local costs until sponsorship and other ancillary revenues are received. The Partnership will recoup its $500,000 US as a priority recoupment </w:t>
      </w:r>
      <w:r>
        <w:rPr>
          <w:rFonts w:ascii="arial" w:eastAsia="arial" w:hAnsi="arial" w:cs="arial"/>
          <w:color w:val="000000"/>
          <w:sz w:val="20"/>
          <w:u w:val="single"/>
          <w:lang w:val="en-US" w:eastAsia="en-US" w:bidi="ar-SA"/>
        </w:rPr>
        <w:t>from ancillary revenues generated from merchandising and program sales the night of the Concert, as well as from Headquarters Entertainment Corp.'s share of profits</w:t>
      </w:r>
      <w:r>
        <w:rPr>
          <w:rFonts w:ascii="arial" w:eastAsia="arial" w:hAnsi="arial" w:cs="arial"/>
          <w:color w:val="000000"/>
          <w:sz w:val="20"/>
          <w:lang w:val="en-US" w:eastAsia="en-US" w:bidi="ar-SA"/>
        </w:rPr>
        <w:t>. In consideration for its investment, the Partnership will receive, in addition to recouping its investment from ancillary revenues, an amount equal to 15% of Headquarters Entertainment Corp.'s share of profits from the Concert. (underlining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Offering Memorandum named C.M. Oliver Capital Corporation ("CMO") and Planvest Pacific Financial Corporation ("Planvest") as non-exclusive agents for the sale of the Partnership units, in accordance with an agency agreement referred to in the Memorandum.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Offering Memorandum prepared by Mr. Evrensel also referred to a Funding and Participation Agreement ("the F&amp;P Agreement"), an initial version of which was dated April 8, 1996. The parties to the F&amp;P Agreement were Headquarters, CMO and Planvest. In the Offering Memorandum, Headquarters acknowledged that pursuant to the F&amp;P Agreement, CMO/Planvest had advanced $10,000 US to Headquarters as a loan and had agreed to lend Headquarters a further $300,000 US, to be repaid from the net proceeds of the Offering.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At a meeting on April 17, 1996, Mr. Evrensel proposed a number of changes to the F&amp;P Agreement. Either on that day, or shortly after, CMO/Planvest gave Headquarters the first installment of the promised $300,000 US loan in the form of a cheque, dated April 17, 1996, in the amount of $125,000 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Several drafts of the F&amp;P Agreement were prepared after April 17, 1996. Also in evidence are several drafts of a contract ("the Security Agreement") originally drafted by Noreen Bent, counsel for CMO/Planvest, in which Headquarters/Marquee and the Partnership agreed to grant security to CMO/Planvest to secure the loan from CMO/Planvest.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early June 1996, Mr. Evrensel, on behalf of Headquarters, negotiated with Noreen Bent to obtain amendments to the F&amp;P Agreement and the Security Agreement. Mr. Evrensel received his instructions from Mr. Shapero in relation to this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 version of the Security Agreement dated June 3, 1996 was reviewed by Mr. Evrensel. Mr. Evrensel proposed changes to the wording of the Security Agreement to make specific reference to the fact that the Partnership would be entitled to a portion of the "ancillary revenues" generated "from merchandising and program sales" on the night of the Three Tenors Concert.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Evrensel also proposed changes to the wording of the charging provision of the Security Agreement, to clarify that Headquarters/Marquee and the Partnership jointly were agreeing to assign to CMO/Planvest a security interest in "the ancillary revenues" as well as an interest in Headquarters' share of the profits from the Concert.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Ms. Bent accepted Mr. Evrensel's proposed changes and prepared another draft of the Security Agreement, which she sent to Mr. Evrensel by facsimile on June 4, 1996. On the facsimile cover sheet, Ms. Bent referred to the Offering Memorandum prepared by Mr. Evrensel; the fact that under the Offering Memorandum the Partnership was to receive the "ancillary revenues", and 15% of Headquarters' profits; and that CMO was acquiring a security interest in the ancillary revenues and the 15% profit.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Evrensel responded to this facsimile by sending Ms. Bent, also by facsimile, a copy of amendments to the Offering Memorandum confirming the Partnership's entitlement to a portion of Headquarters' revenues from the Concert.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Ms. Bent replied. The second paragraph of her memorandum to Mr. Evrensel read: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this basis, we will not hold up the further advance until the assignment is executed. We will, however need at least a faxed signature from Tina on the enclosed amended security agreement before the cheque is forwarded.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the third and final paragraph of her facsimile to Mr. Evrensel, Ms. Bent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enclosing a marked copy and a clean copy of the security agreement for your review. Please confirm that the revised version is acceptable so that we can have Tina sign it tomorrow and we can forward the cheque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Evrensel suggested further changes to the Security Agreement. Ms. Bent accepted these revisions also and sent Mr. Evrensel a final version of the Security Agreement by facsimile on June 5, 1996, together with a memorandum asking him to arrange for execution.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F&amp;P Agreement and the Security Agreement were signed by CMO, Planvest, Headquarters and Marquee, probably on June 5, 1996. The F&amp;P Agreement is dated for reference April 8, 1996 and the Security Agreement is dated June 4, 1996. It is probable that Ms. Vanderheyden signed the documents in her office and then delivered them directly to Ms. Bent. CMO/Planvest gave Headquarters a cheque for $175,000 US, dated June 5, 1996, to make up the balance of the promised $300,000 US loan. On June 6, 1996, Noreen Bent sent Mr. Evrensel an executed copy of the F&amp;P Agreement, but Mr. Evrensel did not receive an executed copy of the Security Agreement. Planvest registered the Security Agreement under the Personal Property Security Act on July 9,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On June 20, 1996, CMO informed Headquarters that it did not believe there was a sufficient market for the Partnership units and that CMO was not willing to proceed with the Offering. Although Headquarters employees continued to work on the Offering Memorandum until late June, it was never finalized and the Offering did not proceed.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Without the expected proceeds from the Offering, Headquarters needed to inmediately find alternative sources of funds to finance promotion for the Three Tenors Concert. Ms. Vanderheyden and Mr. Shapero decided to try to raise $500,000 from private investors. Mr. Shapero drafted a document titled "Three Tenors Concert Investment Proposal Term Sheet", which he sent to Mr. Evrensel by facsimile on July 11, 1996. It is a three-page document. The second and third pages contain financial projections. On the first page, the following paragraph appears: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Repayment January 1997</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recoupment of 100% of investment in first priority position from net revenues generated from merchandise, program sales and 100% of HQE profits.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On Mr. Shapero's instructions, Mr. Evrensel prepared a document called "Term Sheet", dated July 17, 1996, which would be used to provide information to potential investors.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Term Sheet prepared by Mr. Evrensel stated that Headquarters was seeking to raise $500,000 to finance marketing and promotion for the Three Tenors Concert; units were available to investors at $1,000 a unit, but investors were required to purchase a minimum of 50 units. Attached to the Term Sheet was an "Investment Contract", also prepared by Mr. Evrensel, which investors would be required to sign.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Under the heading "Investor Allocations and Distributions" on page 3 of the Term Sheet, the following appeared: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Investors shall be entitled to a distribution on January 31, 1997, </w:t>
      </w:r>
      <w:r>
        <w:rPr>
          <w:rFonts w:ascii="arial" w:eastAsia="arial" w:hAnsi="arial" w:cs="arial"/>
          <w:color w:val="000000"/>
          <w:sz w:val="20"/>
          <w:u w:val="single"/>
          <w:lang w:val="en-US" w:eastAsia="en-US" w:bidi="ar-SA"/>
        </w:rPr>
        <w:t>to recoup in first position, 100% of the amount of their respective investment, from the net revenues generated from the ancillary revenues at the Concert, including merchandising sales, program sales, proceeds of the television license fee for the Concert and 100% of Headquarters profits until recoupment by the investors of 100% of the amount of their respective investment</w:t>
      </w:r>
      <w:r>
        <w:rPr>
          <w:rFonts w:ascii="arial" w:eastAsia="arial" w:hAnsi="arial" w:cs="arial"/>
          <w:color w:val="000000"/>
          <w:sz w:val="20"/>
          <w:lang w:val="en-US" w:eastAsia="en-US" w:bidi="ar-SA"/>
        </w:rPr>
        <w:t>. Thereafter, investors shall be entitled to 30% of Headquarters share of profits until investors receive an additional 50% of the amount of their respective investment. Thereafter, investors shall be entitled to 10% of Headquarters share of profits from the above described activities... (underlining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Under the heading on the fourth page "Repayment of Capital", the following words appeared: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Repayment of 100% of investment </w:t>
      </w:r>
      <w:r>
        <w:rPr>
          <w:rFonts w:ascii="arial" w:eastAsia="arial" w:hAnsi="arial" w:cs="arial"/>
          <w:color w:val="000000"/>
          <w:sz w:val="20"/>
          <w:u w:val="single"/>
          <w:lang w:val="en-US" w:eastAsia="en-US" w:bidi="ar-SA"/>
        </w:rPr>
        <w:t>in priority position from net revenues (ancillary revenues) generated from merchandise, program sales and 100% of HQE profits.</w:t>
      </w:r>
      <w:r>
        <w:rPr>
          <w:rFonts w:ascii="arial" w:eastAsia="arial" w:hAnsi="arial" w:cs="arial"/>
          <w:color w:val="000000"/>
          <w:sz w:val="20"/>
          <w:lang w:val="en-US" w:eastAsia="en-US" w:bidi="ar-SA"/>
        </w:rPr>
        <w:t xml:space="preserve"> Merchandising sales will generate the revenues to repay the investors capital. The projection below demonstrates that at 67% ticket sales, the merchandising revenues are projected at... (underlining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Evrensel testified that at the time he prepared the Term Sheet, he did not take into account the earlier Security Agreement he had helped to draft, because Mr. Shapero had given him instructions to prepare the Term Sheet and so Mr. Evrensel assumed that no money, other than the original $10,000 US, had been loaned to Headquarters by CMO/Planvest. He did not ask Mr. Shapero, Ms. Vanderheyden or Ms. Bent if his assumption was correct, and did not search the Personal Property Security Act registry to determine if Headquarters had given any prior security over the revenue sources offered as security in the Term Sheet.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first page of the Term Sheet drafted by Mr. Evrensel included a caution to investors in the following terms: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investment described herein is strictly for sophisticated investors only and potential investors are urged to consult their own professional advisors. The investment described herein is speculative. The investment should be considered only by those who are able to make investments which are high risk. Potential investors should consider the merits of the investment as well as the expected benefits and should consult their own professional advisors to assess the income tax, legal and other aspects of the investment.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 similar caution was included in bold print at the top of page 2 of the Term Sheet, and was repeated at the bottom of page 2, under the heading "Risk Factors".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Ms. Vanderheyden and Mr. Shapero approached David Richardson of Investor First Financial Inc. ("Investor First") and asked him to help them find private investors to loan Headquarters $500,000. Investor First had been recommended to Headquarters by Martin Johnson, whom, Mr. Richarson understood, had first learned of the Three Tenors Concert financing proposal from Mr. Evrensel.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David Richardson is the President of Investor First. Investor First's business was the syndication of real estate partnerships and income tax shelters for sophisticated investors. The time line given to Mr. Richardson to find investors was short, because the money Headquarters needed to raise was to be used to promote and market the Concert, which was to take place in less than six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Mr. Richardson initially received from Headquarters, probably from Mr. Shapero, a description of the proposed investment and some charts and graphs showing projected equity coverage and profit potential. Mr. Richardson looked at the revenue projections Headquarters had prepared and felt that the investment was sound.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Ms. Vanderheyden told Mr. Richardson that Mr. Evrensel was Headquarters' lawyer. She said that Mr. Evrensel had handled all Headquarters' legal work and that he was intimately familiar with all aspects of security with respect to Headquarters and that Mr. Richardson could rely on Mr. Evrensel to know what issues of concern there might be. Ms. Vanderheyden told Mr. Richardson he could call Mr. Evrensel to obtain a copy of the Term Sheet Mr. Evrensel had prepared.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 Richardson testified that either he or his secretary called Mr. Evrensel's office and left a message that Mr. Richardson wanted a copy of the Term Sheet. Mr. Evrensel initially got no response from Mr. Evrensel.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Evrensel's secretary left Mr. Evrensel a message on July 18, 1996, stating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Mary Jane of David Richardson's office from Investor First Financial is looking for a copy of the Investment terms for the Three Tenors. She was told you were the person to ask. They are putting together financing, etc. and would like to receive a copy.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 Evrensel assumed that Mr. Richardson was a broker who was going to sell or commission units in Headquarters' offering. After several calls to Mr. Evrensel's office without response, Mr. Richardson complained to Ms. Vanderheyden. Ms. Vanderheyden called Mr. Evrensel and asked him to provide a copy of the Term Sheet to Mr. Richardson. Mr. Evrensel testified that he may have discussed Mr. Richardson with Ms. Vanderheyden, but could not recall having done so. Mr. Richardson eventually received a phone call from Mr. Evrensel and on July 19, Mr. Evrensel sent Mr. Richardson a copy of the Term Sheet.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 Richardson had already talked to some potential investors about the proposed investment, utilizing the information he had received from Mr. Shapero and Ms. Vanderheyden. When he received the Term Sheet prepared by Mr. Evrensel on July 19, Mr. Richardson was not satisfied. One of Mr. Richardson's potential investors who had some familiarity with the entertainment industry had also raised a concern about the possibility that on the night of the concert, the proceeds from the sale of programs and other items might leave town. Mr. Richardson wanted to have the proceeds held by an independent third party to ensure they would be available to be paid to the investors. He called Ms. Vanderheyden and Mr. Shapero and told them the term sheet was not adequate. He also told them that he needed to be able to assure his potential investors that they would be in first place when it came to distribution of the ancillary revenues.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 Shapero told Mr. Richardson that the investors would receive a first charge over the ancillary revenues, but said "I'm not a lawyer". He said that he would be going to Mr. Evrensel's office the next morning and would telephone Mr. Richardson from Mr. Evrensel's office so that Mr. Richardson could get assurances directly from Mr. Evrensel that the investors would get what the term sheet said they would get - a first charge on the ancillary revenues and Headquarters' profits.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Ms. Vanderheyden called Mr. Evrensel. She told him to please speak with Dave Richardson to assure him that the term sheet was correct and that the investors would be in first position to be paid out of the ancillary revenues and profits. She told Mr. Evrensel that Mr. Richardson needed to hear this from Mr. Evrensel directly. Mr. Evrensel told Ms. Vanderheyden he would connect with Mr. Richardson.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Mr. Richardson and Mr. Shapero both testified that during a meeting between Mr. Shapero and Mr. Evrensel in Mr. Evrensel's office, a telephone conversation took place between Mr. Richardson and Mr. Evrensel. Mr. Evrensel has no recollection of a telephone conversation with Mr. Richardson. Mr. Richardson's time sheets indicate he had a meeting with Mr. Shapero on July 24, 1996. Mr. Evrensel made no notes of anything that occurred during the meeting. The only record of the meeting and work done on behalf of Headquarters on July 24, 1996 is a time sheet entry made by Mr. Evrensel, recording one hour of billable activity, described 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Meeting with Ed Shapero; revise draft of Term Sheet.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 Richardson testified that Mr. Evrensel called him when Mr. Shapero was in Mr. Evrensel's office. He testified that he told Mr. Evrensel that neither he nor his investors would be hiring their own lawyer, that there was not enough time for him to retain outside counsel for the investors, and that the investors would be relying on Mr. Evrensel to document their security. Mr. Richardson says he told Mr. Evrensel that a couple of his investors had asked him to "do a search" but he had told them that First Investors was not going to finance that and that he would ask Headquarters if they were prepared to do a search.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Richardson testified that Mr. Evrensel clearly and unequivocally assured him that there were no prior charges, that he had done all Headquarters legal work and was in a position to know, and that once he made the changes to the documents that he had discussed with Mr. Richardson and Mr. Shapero, the investors would be protected. Mr. Evrensel said that a revised Term Sheet would be available the next day so that Mr. Richardson could give it to his potential investors.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Mr. Shapero supports Mr. Richardson's testimony. He says that one of the reasons he met with Mr. Evrensel was to have Mr. Evrensel provide assurances to Mr. Richardson about the priority his investors would have over the ancillary revenues and profits. He said that he was in Mr. Evrensel's office when Mr. Evrensel talked to Mr. Richardson on the telephone. He says that Mr. Evrensel assured Mr. Richardson, as he had earlier assured Mr. Shapero, that the investors would have first claim to be paid out of the ancillary revenues and Headquarters' profits.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evidence is a telecopier cover page from Mr. Evrensel, sent on July 24, 1996, which bears the typewritten words "To: Edward Shapero, c/o Headquarters" and the handwritten words "&amp; Dave Richardson", on the recipient line. The "Message" line read: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Dear Ed: Re: Term Sheet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Further to our meeting this morning, attached is a revised draft of the Term Sheet for your review and comment.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Most of the revisions Mr. Evrensel made to the term sheet after the meeting with Mr. Shapero are not relevant to this action. However, on the 4th page of the Term Sheet two new terms were included,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Custodian of Revenues: B.C. Pavilion Corporation has agreed to be the custodian of the proceeds of the ancillary revenues at the Concert and has been directed by Headquarters to pay the first $500,000 of such proceeds directly to the investors, pro rata to the amount of their respective investment amount.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Security interests: Pursuant to the investment Contract, Headquarters shall grant to each investor a security interest in the stream of revenue described herein to the extent of each investor's entitlement.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 accept the evidence of Mr. Richardson and Mr. Shapero and I conclude that a telephone conversation did take place between Mr Evrensel and Mr. Richardson while Mr. Shapero was in Mr. Evensel's office on July 24, 1996. With one exception, I also accept the evidence of Mr. Richardson about the content of the conversation.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Mr. Richardson testified that when he spoke with Mr. Evrensel, he specifically mentioned that one of his investors had asked about having a search done. Mr. Richardson says that Mr. Evrensel said a search was unnecessary. I am not persuaded that Mr. Evrensel told Mr. Richardson that a search was unnecessary or that there was discussion about a search at all. Excerpts from Mr. Richardson's examination for discovery, to which he was referred in cross-examination, indicate that in recounting his recollections of his discussions with Mr. Evrensel at the time he was examined for discovery, he did not mention Mr. Evrensel saying a search was unnecessary.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 believe that after the examination for discovery, perhaps inadvertently, Mr. Richardson's testimony on this point changed, likely through a process of reconstruction based on information about the Personal Property Security Act Registry and search process obtained during the examination for discovery and the course of this litigation. Mr. Richardson also recalled at trial having discussed a "search" with Mr. Norton, the principal of the plaintiff J.P. Management Ltd., but Mr. Norton did not corroborate this. Having observed Mr. Richardson testify, particularly during cross-examination, I am satisfied that he was an honest witness doing his best to recall accurately events that occurred four years earlier, but I conclude he was mistaken about having discussed a search with Mr. Evrensel. My rejection of Mr. Richardson's testimony about this one point did not cause me to doubt his credibility in general, or reject his testimony about the balance of his discussions with Mr. Evrensel.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 am satisfied that, whatever precise words were used, what Mr. Richardson said to Mr. Evrensel conveyed the inquiry "As the lawyer who has been doing all of the legal work for Headquarters in connection with this production, do you know of any reason why Headquarters cannot deliver to my investors what the Term Sheet promises - repayment in first position out of the ancillary revenues and Headquarters' profits?", and that Mr. Evrensel told Mr. Richardson he knew of no reason.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 conclude that Mr. Evrensel did not tell Mr. Richardson about the earlier F&amp;P Agreement, or the Security Agreement in favour of CMO/Planvest, and that he did tell Mr. Richardson that his investors would be in first position in relation to the revenues that the Term Sheet referred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Although Mr. Evrensel had no recollection of his conversation with Mr. Richardson, he testified that he would not have provided an assurance that Mr. Richdarson's investors would have a first charge at the time they advanced their funds or when the time came to distribute the concert proceeds. He said that he would not have given this assurance because you cannot be sure a first charge has been obtained unless a search is done at the time of the closing of a loan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 accept Mr. Evrensel's evidence that he generally does not provide opinions about the priority of charges registered or registrable under the Personal Property Security Act, and that had he been asked specifically about the priority of charges registered under the Personal Property Security Act, he would probably have couched his advice in the terms he suggests. However, the evidence of Mr. Shapero and Mr. Richardson indicates the assurances requested and obtained by Mr. Richardson were not phrased in terms lawyers would use when discussing formal closings and the registration of security instruments under the Personal Property Security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From Mr. Richardson's testimony, supported by Mr. Shapero's testimony, I conclude that the information provided to Mr. Richardson by Mr. Evrensel indicated that Headquarters had the present ability to deliver to the investors what the Term Sheet said they would get - the right to "recoup" their investment from the ancillary revenues and Headquarters' profits "in first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There is no reason to believe Mr. Evrensel would not have provided oral assurances to Mr. Richardson that were consistent with the representations in the Term Sheet he had earlier drafted and sent to Mr. Richardson. Mr. Evrensel made changes to the Term Sheet after his meeting with Mr. Shapero and the telephone conversation with Mr. Richardson on July 24, 1996, but did not remove the references in the Term Sheet to the investors being "in first position" or "in priority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Because Mr. Evrensel does not recall his conversation with Mr. Richardson at all, both he and the court can only speculate about why he did not tell Mr. Richardson about the earlier F&amp;P and Security Agreements entered into between Headquarters and CMO/Planvest, and the fact that Headquarters had earlier granted security over the same sources of revenue to CMO/Planvest. Mr. Evrensel agreed in cross-examination that he knew, at all relevant times, that if advances had been made under the Security Agreement between CMO/Oliver and Planvest, that the offer of first position in the Term Sheet was inconsistent with the Security Agreement. Mr. Evrensel knew, at the very least, that CMO/Planvest had advanced $10,000 US to Headquarters, because an acknowledgement of this fact was contained in the F&amp;P Agreement, which Mr. Evrensel had helped to draft and knew had been executed.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Mr. Richardson testified that he told each of the plaintiffs about the assurances he had received from Mr. Evrensel. When he received the revised Term Sheet from Mr. Evrensel he reviewed it and circulated it to his potential investors, including all of the plaintiffs. Any investor who expressed interest was subsequently sent a copy of the Investment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 accept the evidence of Mr. Richardson that he told each of the plaintiffs about the assurances he had obtained from Mr. Evrensel, before each of them lent money to Headquarters for the Three Tenors Concert.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Each of the individual plaintiffs, and a representative of each of the corporate plaintiffs, testified about information provided to them by Mr. Richardson concerning the representations made by Mr. Evrensel, and their reliance on those representations.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John Norton is the principal of J.P. Management Ltd., a company he created as a vehicle for investment. Mr. Norton is a lawyer with experience in corporate transactions. Mr. Norton first learned about the Three Tenors Concert investment opportunity from Mr. Richardson during a visit to Mr. Richardson's office on an unrelated matter. Mr. Norton had not previously invested in a project through Investor First. Mr. Norton recalls that Mr. Richardson described the potential investment to him and that he was initially given some written material. Later he called Mr. Richardson and asked for a complete set of the documents relating to the investment. On July 31 Mr. Richardson sent him a copy of the revised Term Sheet, the Investment Contract, and the financial forecast attached to the Term Sheet. Mr. Norton recalls discussing the investment with Mr. Richardson, and emphasizing the importance of the investors having a "first charge" over the proceeds securing their investment. Mr. Norton recalls suggesting to Mr. Richardson that the investors should have their own lawyer. He believes this discussion took place before he received the final version of the Term Sheet.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Mr. Norton signed the Investment Contract and returned it and his cheque for $50,000 to Mr. Richardson together with a letter dated July 31, 1996. In his letter to Mr. Richardson he asked to be informed when the cheque was going to be cashed, so he could cash in a term deposit to cover the cheque. He also included the following paragraph:</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 spoken (sic) Ed Daughney and we both believe that you should obtain legal counsel to act for the investors and we are agreeable to pay the costs of such services on a pro rata basis. Please feel free to call me for a reference.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Mr. Norton testified that he had a telephone conversation with Mr. Richardson. He believes the conversation took place a few days after he sent the investment contract to Mr. Richardson with his July 31, 1996 letter. Mr. Richardson told him that he had spoken to Mr. Evrensel of Heenan Blaikie and that Mr. Evrensel was going to make sure it was a first charge. Mr. Norton says that he knew Mr. Evrensel's law firm and that he was satisfied with that assurance. He says that he would not have proceeded with the investment without Mr. Evrensel's assurance that the investors were getting a first charge.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Someone in Mr. Norton's office, probably his secretary, did register J.P. Management Ltd.'s Investment Contract under the Personal Property Security Act, on August 2, 1996. However, there is no evidence that a search of prior charges was requested or obtained. Mr. Norton did not learn about the prior charge given by Headquarters to CMO/Planvest until December 1996 when Mr. Norton became concerned by media reports that the Three Tenors concert was not selling well and that Headquarters was considering cancelling the concert. He spoke to Ed Daughney and suggested that the investors engage an accounting firm to monitor the financial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In December a lawyer was also hired to represent the investors and to attempt to stop Headquarters from cancelling the concert. On December 11, 1996 the investors' lawyer obtained a search of the Personal Property Security Act register and informed the investors of the CMO/Planvest Security Agreement that had been registered on July 9,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Mr. Norton was candid in his evidence that in July 1996 he did not think there was much chance that the Three Tenors Concert would be a failure. He says that "everyone" was saying that the Three Tenors were recognized around the world and that you couldn't lose. He read the projections provided by Headquarters indicating that the investors' capital would be recouped if only 67% of the tickets sold.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However, I am satisfied that Mr. Norton did rely on the assurances, provided by Mr. Evrensel to Mr. Richardson, and conveyed to Mr. Norton about the priority the investors would have over certain revenues for the repayment of their loans. I am also satisfied that had Mr. Norton not received those assurances, he would not have caused J.P. Management Ltd. to invest in the Concert, or at the very least would have retained his own lawyer, or insisted that Investor First do so, in order to make independent inquiries.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Charles Kenneth Kelly is a principal of Cornerstone Entertainment Group Inc., a company owned by his wife. Mr. Kelly was approached by Mr. Richardson. He knew Mr. Richardson, although he had never invested with him before. He also knew Headquarters and had successfully invested in Headquarters projects previously. He knew Ms. Vanderheyden well and in fact shared office space with Headquarters.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Unlike the other plaintiffs, Mr. Kelly also knew that CMO had been involved in a plan to finance Headquarters. He understood that the arrangements had fallen through. Mr. Kelly recalled discussions with Mr. Richardson about the proposed investment in the Three Tenors concert in September 1996. Mr. Kelly thought the deal looked interesting, but he was leaving on holidays and told Mr. Richardson to get back to him after his return if all of the investment units had not yet sold.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Mr. Kelly looked over the term sheet and considered the information Mr. Richardson had given him concerning Mr. Evrensel's assurances about the first charge that the investors would have. He said that he knew that Mr. Evrensel had been involved in the CMO financing arrangements that had fallen through. Mr. Kelly knew of Mr. Evrensel's reputation through his wife, who is in the entertainment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When Mr. Kelly returned from his vacation he spoke with Mr Richardson and learned that units in the investment were still available. He signed the investment contract on September 12,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Edward Daughney is the principal of 347671 B.C. Ltd. He knew Mr. Richardson and had invested in two previous projects with Investor First. Mr. Daughney learned of the potential investment in July when Mr. Richardson called to tell him a piece of the financing of the Three Tenors Concert was available, that $500,000 was to be raised in units of $50,000, and that the investment was to be repaid out of the revenue from the sale of programs and other ancillary items at the concert.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He read the Term Sheet, with particular emphasis on the paragraph indicating that the investors would be "in first position" in relation to revenues generated from ancillary sales. He discussed the investment with John Norton and they discussed hiring a lawyer. Mr. Daughney recalled speaking with Mr. Richardson about getting a lawyer to ensure that the document did give the investors a first charge on the ancillary revenues. He said that he and Mr. Richardson agreed that either Mr. Richardson would get direct assurances from Headquarters' lawyer that the investors would get a first charge, or Mr. Richardson would hire a lawyer for the investors.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Mr. Richardson called Mr. Daughney back after he had spoken with Mr. Evrensel. He told Mr. Daughney that Headquarter's lawyer was Arthur Evrensel, who was a well-known entertainment lawyer, and that Mr. Evrensel had provided assurances that the investors would get what the Term Sheet said they would get.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Mr. Daughney accepted Mr. Evrensel's assurances and signed the investment contract on August 1, 1996. Mr. Daughney testified that but for the assurances from Mr. Evrensel, he would not have made the investment.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Mr. Daughney did not register his investment contract in the Personal Property Security Act registry until December 3, 1996. In December he heard media reports about the possible cancellation of the concert. He called Mr. Norton. Mr. Norton told him it was possible to register the investment contract under the Personal Property Security Act, so Mr. Daughney instructed a solicitor to register his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Joseph Segal had heard about the plan to hold the Three Tenors Concert in Vancouver and then learned, from Mr. Richardson, about the opportunity to invest. Mr. Segal knew Mr. Richardson socially and knew the nature of Investor First's business. He got copies of the Term Sheet and Investment Contract and the financing schedules from Mr. Richardson. Mr. Segal relied on the statement in the Term Sheet that the investors would have first call on the ancillary revenues. He testified he was also told by Mr. Richardson that Mr. Richardson had obtained assurances from Headquarters' lawyer about the security. Mr. Segal could not recall the lawyer's name. Mr. Segal testified that without those assurances he would not have invested. Mr. Segal signed the investment contract on August 7,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John Dustan also personally invested $50,000. Ms. Dustan is an experienced businessman. The company of which he is Chairman and Chief Operating Officer managed $1.5 billion of pension funds. Mr. Dustan knew Mr. Richardson and had invested in projects with Investor First in the past. Mr. Dustan read the Term Sheet. He considered the investment to be low risk - he knew that Three Tenors Concerts in other parts of the world had sold out, and that only 67% of the tickets had to be sold in Vancouver in order to realize a profit for the investors, based on the projections provided with the Term Sheet.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Mr. Dustan took particular note of the paragraph in the Term Sheet that stated that investors would be entitled to "recoup in first position". He drew a circle around the words "in first position" on his copy of the Term Sheet. He understood that those words meant no one had a right to the proceeds of ancillary sales ahead of the investors; that the investors would be as secure as they could 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Mr. Dustan had a conversation with Alison Lawton, an employee of Investor First. Following their conversation he sent her a facsimile posing several questions about the investment. None of these questions pertained to the priority of the security. Mr. Dustan also had a conversation with David Richardson in which Mr. Richardson told him that the Term Sheet had been prepared by a prominent entertainment lawyer and that this lawyer had provided assurances to Mr. Richardson that the investors would be in first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Mr. Dustan testified that without the assurances provided by Mr. Evrensel he would not have invested. Mr. Dustan signed the investment contract on July 31,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Peter Richards, a lawyer and the principal of PCG Richards Law Corporation, testified he was also told by Mr. Richardson about the information and assurances provided by Mr. Evrensel and that he relied on Mr. Evrensel's representations in agreeing to loan money to Headquarters for the Three Tenors Concert.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In The Queen v. Cognos Incorporated, </w:t>
      </w:r>
      <w:hyperlink r:id="rId58" w:history="1">
        <w:r>
          <w:rPr>
            <w:rFonts w:ascii="arial" w:eastAsia="arial" w:hAnsi="arial" w:cs="arial"/>
            <w:i/>
            <w:color w:val="0077CC"/>
            <w:sz w:val="20"/>
            <w:u w:val="single"/>
            <w:shd w:val="clear" w:color="auto" w:fill="FFFFFF"/>
            <w:lang w:val="en-US" w:eastAsia="en-US" w:bidi="ar-SA"/>
          </w:rPr>
          <w:t>[1993] 1 S.C.R. 87</w:t>
        </w:r>
      </w:hyperlink>
      <w:r>
        <w:rPr>
          <w:rFonts w:ascii="arial" w:eastAsia="arial" w:hAnsi="arial" w:cs="arial"/>
          <w:color w:val="000000"/>
          <w:sz w:val="20"/>
          <w:lang w:val="en-US" w:eastAsia="en-US" w:bidi="ar-SA"/>
        </w:rPr>
        <w:t>, the Supreme Court affirmed that the tort of negligent misrepresentation is an established principle of Canadian tort law, and that damages may be recovered if caused by a misrepresentation made in a negligent manner. The Queen v. Cognos involved an action in tort to recover damages caused by negligent misrepresentations made in the course of a hiring interview by an employer, through its representative, to a prospective employee, about the nature and existence of the employment opportunity.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In order to succeed in a claim for damages for the tort of negligent misrepresentation, the court said in Cognos, the plaintiff must establish:</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duty of care based on a "special relationship" between the representor and representee; (2) the representation in question must be untrue, inaccurate, or misleading; (3) the representor must have acted negligently in making said representation; (4) the representee must have relied, in a reasonable manner, on said negligent misrepresentation; and (5) the reliance must have been detrimental to the representee in the sense that damages resulted. p. 110.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A successful plaintiff in an action for negligent misrepresentation is entitled to be put in the position he or she would have been in if the misrepresentation had not been made. See Rainbow Industrial Caterers Ltd. v. CN, </w:t>
      </w:r>
      <w:hyperlink r:id="rId506" w:history="1">
        <w:r>
          <w:rPr>
            <w:rFonts w:ascii="arial" w:eastAsia="arial" w:hAnsi="arial" w:cs="arial"/>
            <w:i/>
            <w:color w:val="0077CC"/>
            <w:sz w:val="20"/>
            <w:u w:val="single"/>
            <w:shd w:val="clear" w:color="auto" w:fill="FFFFFF"/>
            <w:lang w:val="en-US" w:eastAsia="en-US" w:bidi="ar-SA"/>
          </w:rPr>
          <w:t>[1991] 3 S.C.R. 3</w:t>
        </w:r>
      </w:hyperlink>
      <w:r>
        <w:rPr>
          <w:rFonts w:ascii="arial" w:eastAsia="arial" w:hAnsi="arial" w:cs="arial"/>
          <w:color w:val="000000"/>
          <w:sz w:val="20"/>
          <w:lang w:val="en-US" w:eastAsia="en-US" w:bidi="ar-SA"/>
        </w:rPr>
        <w:t xml:space="preserve"> at p. 14. The plaintiff must establish what that position would have been on a balance of probabilities.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For the reasons that follow, I conclude that the plaintiffs have proved, on a balance of probabilities, that the defendant owed them a duty of care not to make negligent misrepresentations about the security that Headquarters could give to them; that the defendant made representations to the investors, communicated to and by Mr. Richardson, that were untrue, inaccurate and misleading; that the defendant made the representations negligently; that the plaintiffs relied on the representations; and that they did so to their detriment.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In The Queen v. Cognos, at p. 116, Justice Iaccobucci referred to the debate in academic circles about the proper test to be applied to determine when a "special relationship" exists between a representor and a representee such that a duty of care will be found to exist.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Justice Iaccobucci referred to the test of "foreseeable and reasonable reliance" on the representations. Another analysis, he said, focused on the voluntary assumption of responsibility on the part of the representor. Justice Iaccobucci referred to the decision of the House of Lords in Caparo Industries Plc. v. Dickman, [1990] 1 All E.R. 568, in which the House of Lords identified three criteria to determine whether a duty of care exists - foreseeability of damage, proximity of relationship, and the reasonableness or otherwise of imposing a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In Hercules Management Ltd. v. Ernst &amp; Young, </w:t>
      </w:r>
      <w:hyperlink r:id="rId59" w:history="1">
        <w:r>
          <w:rPr>
            <w:rFonts w:ascii="arial" w:eastAsia="arial" w:hAnsi="arial" w:cs="arial"/>
            <w:i/>
            <w:color w:val="0077CC"/>
            <w:sz w:val="20"/>
            <w:u w:val="single"/>
            <w:shd w:val="clear" w:color="auto" w:fill="FFFFFF"/>
            <w:lang w:val="en-US" w:eastAsia="en-US" w:bidi="ar-SA"/>
          </w:rPr>
          <w:t>[1997] 2 S.C.R. 165</w:t>
        </w:r>
      </w:hyperlink>
      <w:r>
        <w:rPr>
          <w:rFonts w:ascii="arial" w:eastAsia="arial" w:hAnsi="arial" w:cs="arial"/>
          <w:color w:val="000000"/>
          <w:sz w:val="20"/>
          <w:lang w:val="en-US" w:eastAsia="en-US" w:bidi="ar-SA"/>
        </w:rPr>
        <w:t xml:space="preserve"> at 184, the Court revisited this subject. In Hercules, Justice La Forest said that the existence of a duty of care, in Canadian law, is to be determined through the application of the two-part test established in Anns v. Merton London Borough Council, [1978] A.C. 728 (H.L.) at pp. 751-52: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First one has to ask whether, as between the alleged wrongdoer and the person who has suffered damage there is a sufficient relationship of proximity or neighbourhood such that, in the reasonable contemplation of the former, carelessness on his part may be likely to cause damage to the latter - in which case a prima facie duty of care arises. Secondly, if the first question is answered affirmatively, it is necessary to consider whether there are any considerations which ought to negative, or to reduce or limit the scope of the duty or the class of person to whom it is owed or the damages to which a breach of it may give rise...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Justice La Forest elaborated upon the first branch of the Anns test at p. 188 of his Reasons,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cases of negligent misrepresentation, the relationship between the plaintiff and the defendant arises through reliance by the plaintiff on the defendant's words. Thus, if "proximity" is meant to distinguish the cases where the defendant has a responsibility to take reasonable care of the plaintiff from those where he or she has no such responsibility, then in negligent misrepresentation cases, it must pertain to some aspect of the relationship of reliance. To my mind, proximity can be seen to inhere between a defendant-representor and a plaintiff-representee when two criteria relating to reliance may be said to exist on the facts: (a) the defendant ought reasonably to foresee that the plaintiff will rely on his or her representation; and (b) reliance by the plaintiff would, in the particular circumstances of the case, be reasonable ... the plaintiff and the defendant can be said to be in a "special relationship" whenever these two factors inhere.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At p. 198 of Hercules Management, Justice La Forest returned to the second aspect of the Anns test.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other words, in cases where the defendant knows the identity of the plaintiff (or of a class of plaintiffs) and where the defendant's statements are used for the specific purpose or transaction for which they were made, policy considerations surrounding indeterminate liability will not be of any concern since the scope of liability can readily be circumscribed.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At pp. 201-202, Justice La Forest adopted five general indicia of reliance, as follows:</w:t>
      </w:r>
      <w:r>
        <w:rPr>
          <w:rFonts w:ascii="arial" w:eastAsia="arial" w:hAnsi="arial" w:cs="arial"/>
          <w:sz w:val="20"/>
          <w:lang w:val="en-US" w:eastAsia="en-US" w:bidi="ar-SA"/>
        </w:rPr>
        <w:cr/>
      </w:r>
    </w:p>
    <w:p>
      <w:pPr>
        <w:numPr>
          <w:numId w:val="1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had a direct or indirect financial interest in the transaction in respect of which the representation was made.</w:t>
      </w:r>
    </w:p>
    <w:p>
      <w:pPr>
        <w:numPr>
          <w:numId w:val="1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was a professional or someone who possessed special skill, judgment, or knowledge.</w:t>
      </w:r>
    </w:p>
    <w:p>
      <w:pPr>
        <w:numPr>
          <w:numId w:val="1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advice or information was provided in the course of the defendant's business.</w:t>
      </w:r>
    </w:p>
    <w:p>
      <w:pPr>
        <w:numPr>
          <w:numId w:val="1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information or advice was given deliberately, and not on a social occasion.</w:t>
      </w:r>
    </w:p>
    <w:p>
      <w:pPr>
        <w:numPr>
          <w:numId w:val="1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information or advice was given in response to a specific inquiry or request.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Justice La Forest emphasized that these indicia are not a strict "test" of reasonableness, and that it is not necessary that all five be present. In Hercules Management, the Court concluded that four of the five criteria were present and that accordingly "...this aspect of the prima facie duty is unquestionably satisfied on the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The circumstances in which a lawyer, acting on behalf of one client, will be found to owe a duty of care to a party who was, at the time the representations were made, engaged in, or proposing to engage in, a commercial transaction with the lawyer's client, must indeed be rare. A lawyer's duty to his own client must be treated as paramount, and will generally preclude a finding that the lawyer also owed a duty to another whose interests could be considered to be in conflict with the interests of the lawyer's own client. Reliance by one party to a transaction on representations made by the legal advisor of another party will, I would suggest, usually be considered to be unreasonable. In general, it would appear inimical for a lawyer acting for a borrower to owe a concurrent duty to a lender. This point was made in Kamahap Enterprises Ltd. v. Chu's Central Market Ltd., </w:t>
      </w:r>
      <w:hyperlink r:id="rId409" w:history="1">
        <w:r>
          <w:rPr>
            <w:rFonts w:ascii="arial" w:eastAsia="arial" w:hAnsi="arial" w:cs="arial"/>
            <w:i/>
            <w:color w:val="0077CC"/>
            <w:sz w:val="20"/>
            <w:u w:val="single"/>
            <w:shd w:val="clear" w:color="auto" w:fill="FFFFFF"/>
            <w:lang w:val="en-US" w:eastAsia="en-US" w:bidi="ar-SA"/>
          </w:rPr>
          <w:t>(1989) 40 B.C.L.R. (2d) 288</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 facts in Kamahap were, however, quite different from the facts in the case at bar. In that case, a vendor sued a purchaser for damages arising out of a failed agreement for the sale of land. The purchaser counterclaimed, and issued a third party notice against the vendor's solicitors, alleging that the solicitors had negligently advised the vendor on the course of action it should adopt, after the purported exercise of a right of first refusal, with the result that the vendor did not complete, and so caused the purchaser loss. In Kamahap, it was conceded that the purchaser had not relied on anything said or done by the vendor's solicitors. Rather the claim was that the vendor's solicitor owed a duty to the purchaser, as well as the vendor, not to give negligent advice to the vendor. Without reliance by the purchaser, the Court said, no duty of care could arise.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At p. 296, Justice Taylor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in my view, impossible that person employed by, or acting for, a vendor in giving effect to such a transaction - they having no reason to believe they are relied on by the purchaser and the purchaser also having no reasonable basis for such reliance - could owe a duty to that party which their principal did not have. Had they such a duty they could not safely care also for the interests of their principal, which is, of course, their real function.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However, liability was imposed on a solicitor in Klingspon v. Ramsay, </w:t>
      </w:r>
      <w:hyperlink r:id="rId507" w:history="1">
        <w:r>
          <w:rPr>
            <w:rFonts w:ascii="arial" w:eastAsia="arial" w:hAnsi="arial" w:cs="arial"/>
            <w:i/>
            <w:color w:val="0077CC"/>
            <w:sz w:val="20"/>
            <w:u w:val="single"/>
            <w:shd w:val="clear" w:color="auto" w:fill="FFFFFF"/>
            <w:lang w:val="en-US" w:eastAsia="en-US" w:bidi="ar-SA"/>
          </w:rPr>
          <w:t>(1985) 65 B.C.L.R. 132</w:t>
        </w:r>
      </w:hyperlink>
      <w:r>
        <w:rPr>
          <w:rFonts w:ascii="arial" w:eastAsia="arial" w:hAnsi="arial" w:cs="arial"/>
          <w:color w:val="000000"/>
          <w:sz w:val="20"/>
          <w:lang w:val="en-US" w:eastAsia="en-US" w:bidi="ar-SA"/>
        </w:rPr>
        <w:t>. This case, interestingly, was decided by Justice Taylor, who four years later wrote the decision for the Court in Kamahap. In Klingspon, the plaintiff, a woman in her 40's, had invested her savings in a company engaged in developing a golf course. At the time the investment was made, the company was in serious financial difficulties, and ultimately the plaintiff's investment was lost. The plaintiff had not obtained any professional advice concerning the wisdom of her investment. She had, however, seen the company's financial statements.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The plaintiff went to the borrowers' lawyer's offices to close the investment deal. She received a promissory note signed by the borrower, and shares, and signed a receipt that stated that the defendant lawyer had not offered her any advice "other than as to the good standing of the company". When her investment was lost, she sued the lawyer for negligent misrepresentation, alleging that he had led her to believe that the investment was sound.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At the time of the closing in his office, the borrower's lawyer knew, but the plaintiff did not, that his client was in substantial default under two agreements for sale, and that the redemption period set in an action to cancel one of the agreements for sale was due to expire in two weeks. Mechanics lien claims had also been filed and there was an outstanding unsatisfied judgment against the borrower.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At trial, the lawyer could not recall his conversation with Ms. Klingspon. He testified, however, that he was invariably careful not to give advice to investors as to the soundness of his client or the wisdom of the proposed investment. He said that whatever he and the plaintiff had discussed would have gone no further than a general exchange of pleasantries.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The court rejected much of Ms. Klingspon's testimony - in particular, her assertion that the lawyer had told her that the investment was free from risk, that her money would be secure, and that the project would go ahead. The court accepted, however, that she had asked some questions about the company and that the lawyer had responded in: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way that a person would respond who wished to avoid expressing any opinion of a project and yet not appear to have any doubts".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The court concluded the lawyer had responded with remarks of a general sort intended not to dissuade the plaintiff, but had given no specific assurances.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Despite the fact that the defendant lawyer acted for the borrower, and not for Ms. Klingspon, he was found to owe her a duty of care, in the circumstances. He was found to have been negligent and liable for 25% of the plaintiff's loss. Justice Taylor said, at p. 137: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present case is one in which the investment was, to the lawyer's knowledge, unsound, and it must have been apparent to him both that the person with whom he was dealing could have no real understanding of the dangers involved and that she was seeking reassurance. I find he had in such circumstances a duty to impress on that person by plain, unambiguous words that he could give no assurance concerning the solvency of the undertaking or the security of the investment.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xml:space="preserve">  In 392980 Ontario Ltd. v. City of Welland, </w:t>
      </w:r>
      <w:hyperlink r:id="rId508" w:history="1">
        <w:r>
          <w:rPr>
            <w:rFonts w:ascii="arial" w:eastAsia="arial" w:hAnsi="arial" w:cs="arial"/>
            <w:i/>
            <w:color w:val="0077CC"/>
            <w:sz w:val="20"/>
            <w:u w:val="single"/>
            <w:shd w:val="clear" w:color="auto" w:fill="FFFFFF"/>
            <w:lang w:val="en-US" w:eastAsia="en-US" w:bidi="ar-SA"/>
          </w:rPr>
          <w:t>(1984) 6 D.L.R. (4th) 151</w:t>
        </w:r>
      </w:hyperlink>
      <w:r>
        <w:rPr>
          <w:rFonts w:ascii="arial" w:eastAsia="arial" w:hAnsi="arial" w:cs="arial"/>
          <w:color w:val="000000"/>
          <w:sz w:val="20"/>
          <w:lang w:val="en-US" w:eastAsia="en-US" w:bidi="ar-SA"/>
        </w:rPr>
        <w:t>, (Ont. H.Ct.) a solicitor who was an employee of the City, was found liable to a developer for a negligent misrepresentation made in a letter to the developer about the zoning of land the developer was considering purchasing. In that case, not all of the indicia of reliance were present - the court found that the advice had not been given in response to a specific request, for example - but the solicitor was nevertheless held to owe a duty of care to the plaintiff, and to be liable for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xml:space="preserve">  A solicitor acting for a borrower was found to be liable to the lender in Allied Finance and Investments Ltd. v. Haddow &amp; Co., [1983] 2 N.Z.L.R. 22 (C.A.). In Clarence Const. Ltd. v. Lavellee </w:t>
      </w:r>
      <w:hyperlink r:id="rId509" w:history="1">
        <w:r>
          <w:rPr>
            <w:rFonts w:ascii="arial" w:eastAsia="arial" w:hAnsi="arial" w:cs="arial"/>
            <w:i/>
            <w:color w:val="0077CC"/>
            <w:sz w:val="20"/>
            <w:u w:val="single"/>
            <w:shd w:val="clear" w:color="auto" w:fill="FFFFFF"/>
            <w:lang w:val="en-US" w:eastAsia="en-US" w:bidi="ar-SA"/>
          </w:rPr>
          <w:t>[1982] 2 W.W.R. 760</w:t>
        </w:r>
      </w:hyperlink>
      <w:r>
        <w:rPr>
          <w:rFonts w:ascii="arial" w:eastAsia="arial" w:hAnsi="arial" w:cs="arial"/>
          <w:color w:val="000000"/>
          <w:sz w:val="20"/>
          <w:lang w:val="en-US" w:eastAsia="en-US" w:bidi="ar-SA"/>
        </w:rPr>
        <w:t xml:space="preserve"> (B.C.C.A.), a solicitor acting for a purchaser was found to be liable to a vendor for failure to inform the vendor of a change in the nature of a postponement agreement that was prejudicial to the unrepresented vendor. See also Connell v. Odlum, [1992] 2 N.Z.L.R. 257,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xml:space="preserve">  See however, Midland Mortgage Corp. v. Jawl &amp; Bundon </w:t>
      </w:r>
      <w:hyperlink r:id="rId510" w:history="1">
        <w:r>
          <w:rPr>
            <w:rFonts w:ascii="arial" w:eastAsia="arial" w:hAnsi="arial" w:cs="arial"/>
            <w:i/>
            <w:color w:val="0077CC"/>
            <w:sz w:val="20"/>
            <w:u w:val="single"/>
            <w:shd w:val="clear" w:color="auto" w:fill="FFFFFF"/>
            <w:lang w:val="en-US" w:eastAsia="en-US" w:bidi="ar-SA"/>
          </w:rPr>
          <w:t>(1999) 62 B.C.L.R. (3d) 239</w:t>
        </w:r>
      </w:hyperlink>
      <w:r>
        <w:rPr>
          <w:rFonts w:ascii="arial" w:eastAsia="arial" w:hAnsi="arial" w:cs="arial"/>
          <w:color w:val="000000"/>
          <w:sz w:val="20"/>
          <w:lang w:val="en-US" w:eastAsia="en-US" w:bidi="ar-SA"/>
        </w:rPr>
        <w:t xml:space="preserve"> (C.A.). In Midland, the Court allowed an appeal by lawyers for a borrower who had been found liable to a trust company for having negligently represented to the trust company that all conditions precedent in a commitment letter had been complied with.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xml:space="preserve">  In later Reasons on a second point, </w:t>
      </w:r>
      <w:hyperlink r:id="rId511" w:history="1">
        <w:r>
          <w:rPr>
            <w:rFonts w:ascii="arial" w:eastAsia="arial" w:hAnsi="arial" w:cs="arial"/>
            <w:i/>
            <w:color w:val="0077CC"/>
            <w:sz w:val="20"/>
            <w:u w:val="single"/>
            <w:shd w:val="clear" w:color="auto" w:fill="FFFFFF"/>
            <w:lang w:val="en-US" w:eastAsia="en-US" w:bidi="ar-SA"/>
          </w:rPr>
          <w:t>(1999) 64 B.C.L.R. (3d) 1</w:t>
        </w:r>
      </w:hyperlink>
      <w:r>
        <w:rPr>
          <w:rFonts w:ascii="arial" w:eastAsia="arial" w:hAnsi="arial" w:cs="arial"/>
          <w:color w:val="000000"/>
          <w:sz w:val="20"/>
          <w:lang w:val="en-US" w:eastAsia="en-US" w:bidi="ar-SA"/>
        </w:rPr>
        <w:t>, the Court found that the plaintiff, who had obtained independent advice from another lawyer, had failed to establish that the developer's lawyer owed a duty of care to the plaintiff. The Court held that the defendant lawyer had not undertaken to use his skill for the trust company's benefit. In addition, the Court concluded that the duty which the trust company alleged was owed to it, would, if carried out, have required the lawyer to breach his duties in contract and tort to his own client. The court also said, however, at p. 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What duty of care a solicitor may owe to a third person in circumstances where by doing or not doing some act he will not be in breach of his duty to his client to implement his client's instructions in accordance with the client's proper expectation is not in issue in this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Having considered these authorities, I am satisfied that the case at bar is one of those unusual cases in which the defendant did owe a duty to a person who not only was not his client, but was engaged in a commercial transaction with his client.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There was, in my view, a "special relationship" between the defendant and the plaintiffs. Mr. Richardson made it known to the defendant that in light of the tight time frame, neither he nor his investors would be hiring their own lawyer. He told the defendant that both he and the investors he represented would rely on the information and assurances provided by Mr. Evrensel. It was entirely foreseeable that if the defendant was negligent in the information about the nature of the security available to the plaintiffs, harm to the plaintiffs would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The defendant law firm had a financial interest in the transaction, although only in the sense that the defendant was being paid by Headquarters to assist with the transaction. As I said earlier, the defendant recorded, and presumably billed Headquarters for the time Mr. Evrensel spent in the meeting with Mr. Shapero on July 24, 1996, during which the conversation between Mr. Evrensel and Mr. Richardson took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Mr. Evrensel is a professional who possessed special skill and had special knowledge about the transactions. The representations were made in the course of the defendant's business. The information was given deliberately, in response to a specific request, and not on a social occasion. All five indicia of reliance identified by Justice La Forest in Hercules Management were present in the circumstances of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As I said earlier, a law firm will generally owe a duty only to its client, and that duty may preclude a relationship of "proximity" with another party, particularly another party whose interests conflict with that of the client. However, in this case, Headquarters, first in the person of Ms. Vanderheyden, and then Mr. Shapero, gave Mr. Evrensel permission to speak with Mr. Richardson and to provide the information and assurances Mr. Richardson wished to obtain directly from Mr. Evrensel. In these circumstances, the defendant was not bound by solicitor-client privilege, nor would it have been acting contrary to its client's interests in disclosing the information about the earlier transactions with which Mr. Evrensel had been involved.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The defendant was in a unique position to know whether Headquarters had previously given any security over the ancillary revenues. Mr. Evrensel had acted on behalf of Headquarters in the negotiations with Ms. Bent over the form and content of the F&amp;P Agreement and the Security Agreement. Mr. Evrensel testified that he knew that if money had been advanced under the earlier Security Agreement, the security being offered to Investor First's clients was in conflict with the earlier Agreement. It was foreseeable to Mr. Evrensel that the plaintiffs would sustain damages if the representations he made proved to be false.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I further find that the defendant voluntarily assumed responsibility for the accuracy of the statements made to Mr. Richardson, and through Mr. Richardson, to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Mr. Evrensel could have declined Headquarters' request to speak to Mr. Richardson. When Mr. Evrensel spoke with Mr. Richardson on the telephone, he could have told him that he was unable to provide any information whatsoever, and that Mr. Richardson and his clients should retain their own lawyer. He could have referred Mr. Richardson to the passages in the Term Sheet advising potential investors to consult their own professional advisors. He could have qualified the information he provided. He could have recommended to Mr. Richardson that Investor First or the investors, or both, conduct a search of the Personal Property Security Act registry to determine if Headquarters had granted any prior charges over the ancillary revenues. He could have disclosed the existence of the earlier Security Agreement that he had helped to draft, but state that he did not know whether funds had been advanced and advise the plaintiffs to make their own inquiries. On the evidence I have accepted, the defendant did none of these things.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I do not consider it unreasonable, in the circumstances of this case, to impose a duty of care on the defendant. To do so does not expose the defendant, or others in the position of the defendant, to indeterminate liability, or liability to an unknown and indeterminate class of potential plaintiffs. This is also not a case in which information provided for one purpose was used for another purpose. Mr. Richardson made known to Mr. Evrensel the purpose of his inquiries and Mr. Evrensel knew the persons, or at least the class of persons - the investors Mr. Richardson represented - who would be relying on the information he was providing, and the purpose for which they intended to use the information, which was to assess the advisability of investing in the Three Tenors Concert on the terms set out in the Term Sheet.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In my view, regardless of the test for "duty of care" to be applied, the result which the facts of this case dictate would be the same. The defendant owed a duty of care to the plaintiffs not to mislead them or misrepresent the facts about the ability of Headquarters to give to the plaintiffs a first charge, or "first position" over revenues from the Three Tenors Concert.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WAS A REPRESENTATION MADE AND WAS IT</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UNTRUE, INACCURATE, OR MISLEADING?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I have concluded that Mr. Evrensel represented to Mr. Richardson that the information in the Term Sheet was, to his knowledge, accurate - that Headquarters had the ability to give the investors security which would place them in first position to recoup their investment from the ancillary revenues from sales at the Concert.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Counsel for the defendant submits that the Court should conclude that all Mr. Evrensel told Mr. Richardson was that the documents he had prepared contained a clause giving the lenders a first charge over the ancillary revenues. Defendant's counsel says that if a representation was made, it was only a representation about what the documents did or would say.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I reject this characterization of the evidence. Mr. Richardson did not need to ask Mr. Evrensel what the documents said - he had received the July 19 draft Term Sheet and he could read any later draft for himself. Mr. Richardson was not asking Mr. Evrensel about what the Term Sheet or the Investment Contract would say, or about what Headquarters might do in future to erode the investors' security. He asked for and obtained, on the evidence, Mr. Evrensel's assurance that Headquarters could give the investors the security described in the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Mr. Evrensel failed to disclose the existence of the F&amp;P and Security Agreements in favour of CMO/Oliver, and the very real possibiity, known to him, that another creditor had already obtained a charge over the same sources of revenue Headquarters was offering to the First Investors lenders. The defendant was not required to provide assurances about what Headquarters could or might do in future. It knew of an existing impediment.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If Mr. Evrensel had told Mr. Richardson only that the documentation he was preparing would contain a grant by Headquarters of a first charge over the ancillary revenues, without more, I would still have concluded that the statement was a misrepresentation. In the circumstances established by the evidence, such a statement would have been entirely misleading.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xml:space="preserve">  In The Queen v. Cognos, the Court pointed out that where information is provided, a failure to divulge other relevant information, with the result that the information provided, while accurate, is misleading, will amount to negligent misrepresentation. At p. 123, Justice Iacobucci quoted Justice Wilson in V. K. Mason Construction Ltd. v. Bank of Nova Scotia, </w:t>
      </w:r>
      <w:hyperlink r:id="rId512" w:history="1">
        <w:r>
          <w:rPr>
            <w:rFonts w:ascii="arial" w:eastAsia="arial" w:hAnsi="arial" w:cs="arial"/>
            <w:i/>
            <w:color w:val="0077CC"/>
            <w:sz w:val="20"/>
            <w:u w:val="single"/>
            <w:shd w:val="clear" w:color="auto" w:fill="FFFFFF"/>
            <w:lang w:val="en-US" w:eastAsia="en-US" w:bidi="ar-SA"/>
          </w:rPr>
          <w:t>[1985] 1 S.C.R. 271</w:t>
        </w:r>
      </w:hyperlink>
      <w:r>
        <w:rPr>
          <w:rFonts w:ascii="arial" w:eastAsia="arial" w:hAnsi="arial" w:cs="arial"/>
          <w:color w:val="000000"/>
          <w:sz w:val="20"/>
          <w:lang w:val="en-US" w:eastAsia="en-US" w:bidi="ar-SA"/>
        </w:rPr>
        <w:t>, at p. 284,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statement was negligent because it was made without revealing that the Bank was giving an assurance based solely on a loan arrangement which Mason had already said was insufficient assurance to it of the existence of adequate financing.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In 392980 Ontario Ltd. v. City of Welland, discussed and cited earlier, the court also held that an accurate, but misleading statement can constitute misrepresentation. At p. 162, Justice Southey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judgment, the duty of care enunciated in Hedley Byrne is violated when a person who knows he is being trusted makes a statement that is literally true, or true on one interpretation, but knows or ought to know that the person to whom the statement is made will reasonably and probably give it another meaning or interpretation that is incorrect, and will act in reliance on that other meaning or interpretation to his detriment.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Counsel for the defendant also argued that if a false statement was made, it was the representation of Headquarters, and not of the defendant. Defendant's counsel submitted that when a lawyer communicates information provided to him by his client, on behalf of his client, the lawyer cannot be considered to be making a personal representation about the accuracy of the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This submission must fail in light of the authorities referred to earlier in which lawyers have been found personally liable. I would, in any event, have had grave doubts about the proposition that a lawyer who knows, or has reason to believe, that the information he has been given by his client is false, may nevertheless represent the false state of affairs to others he knows will rely upon it, without risking tort liability. My review of the authorities referred to earlier suggests that a lawyer may have a duty, as a matter of tort law, as well as ethics, to refrain from communicating information on behalf of a client, that he knows, or reasonably ought to know, is false or misleading.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However, I need not decide the point, because in the circumstances of this case, I have concluded that when Mr. Evrensel spoke with Mr. Richardson, the defendant was not merely acting as Headquarters' agent. Mr. Richardson had already received assurances from Headquarters' principals that Headquarters could give the investors a first charge over the ancillary revenues. Mr. Richardson wanted more, and so did his investors. Mr. Richardson sought and obtained assurances from Mr. Evrensel, based on Mr. Evrensel's personal knowledge of Headquarters' affairs, and his professional skill, that Headquarters could deliver the security it was offering to the investors.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WAS THE DEFENDANT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I also find that the defendant acted negligently in making the misrepresentation. Mr. Evrensel's testimony was that he did not know if the Security Agreement in favour of CMO/Planvest had been executed, and that he assumed that CMO/Planvest had not advanced funds to Headquarters.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Mr. Evrensel assumed no funds had been advanced because later in June, CMO/Planvest had declined to proceed with Headquarter's proposed Partnership Offering.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Given the defendant's knowledge of the earlier transactions, however, the defendant was negligent in failing to make inquiries to ascertain the true state of affairs. An inquiry directed to Mr. Shapero or Ms. Vanderheyden would have revealed the fact that CMO/Oliver had advanced $300,000 US to Headquarters under the Security Agreement. Mr. Evrensel knew, at the very least, that $10,000 US had been advanced. Its receipt was acknowledged in the F&amp;P Agreement, and Mr. Evrensel knew that Agreement had been executed, since Ms. Bent had sent him a copy of the executed F&amp;P Agreement on June 6, 1996. He knew that the Security Agreement had been finalized, that Ms. Bent was expecting it would be executed on June 5, 1996, and that the advance of further funds under the Agreement was expected to occur simultaneously with execution.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To fail to disclose to Mr. Richardson what Mr. Evrensel knew about the earlier Security Agreement, even if he was uncertain about whether it had been executed, or funds advanced, was a breach by the defendant of the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DID THE PLAINTIFFS RELY, IN A REASONABLE</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MANNER, ON THE NEGLIGENT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I have concluded that each and all of the plaintiffs relied on the information provided by Mr. Evrensel in deciding to loan money to Headquarters for the Three Tenors Concert.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The plaintiffs need not prove that it was the defendant's representations alone that induced them to enter into the investment contracts. Several of the witnesses were candid about the fact that in addition to the assurances of Mr. Evrensel, they also considered the statements about priority in the Term Sheet, the financial projections included with the Term Sheet, and their own knowledge about the success of the Three Tenors performances in other parts of the world.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I am satisfied, however, that but for the representations made by the defendant, the plaintiffs would not have entered into the investment contracts, or loaned money to Headquarters.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I also concluded that the plaintiffs' reliance, in the circumstances, was reasonable. The oral assurances provided by Mr. Evrensel were consistent with the representations made by Headquarters in the Term Sheet prepared by Mr. Evrensel, and also consistent with the information Mr. Richardson had earlier been given by Ms. Vanderheyden and Mr. Shapero. To Mr. Richardson's knowledge, conveyed to the investors, the defendant is an established, reputable firm. Mr. Evrensel had a reputation as an experienced entertainment lawyer. Mr. Richardson had been told by Ms. Vanderheyden that Mr. Evrensel had been doing all of Headquarters legal work and would know if there were any "skeletons" in Headquarters' financial closet. Mr. Evrensel confirmed his knowledge of Headquarters' affairs in his conversation with Mr. Richardson. In fact, as I have found, the defendant did have in its possession the information that ought to have been disclosed to Mr. Richardson and the plaintiffs, but negligently failed to disclose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The funds Headquarters was borrowing were needed to market and promote the concert. There was a short time frame in which to complete the deal. Although the Term Sheet itself recommended that potential investors consult their own professional advisors, Mr. Evrensel did not decline to answer the questions and provide the information and assurances requested by Mr. Richardson on behalf of the plaintiffs. Mr. Richardson had told the defendant why he wanted the information and what he intended to use it for. In these circumstances, I find reliance by the plaintiffs to be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I also find that the plaintiffs were not contributorily negligent in failing to conduct their own search of the Personal Property Security Act registry before signing the investment contracts and delivering their funds to Headquarters. To the defendant's knowledge, the plaintiffs were not contemplating or arranging for lawyers to represent them, with a formal closing of the loan transaction, cheques and documents being exchanged on undertakings, registration in the Personal Property Security Act registry and post-registration searches. As I said earlier, the time frame was short. While it would have been prudent for the plaintiffs to hire their own solicitors, or, in the case of the corporate plaintiffs whose principals are lawyers, act as their own solicitors, I am not convinced they were negligent in the circumstances in failing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There can be no doubt, in my view, that their failure to actually register their investment contracts in the Personal Property Security Act registry did not cause or contribute to their loss, since the existence of the prior registered charge in favour of CMO/Oliver made registration of the later investment contracts irrelevant. J.P. Management Ltd., which did register its contract promptly, suffered the same loss as the other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DID THE PLAINTIFFS SUFFER DETRIMENT AS A RESULT OF THEIR RELIANCE ON THE DEFENDANT'S MISREPRESENTATIONS?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In light of my conclusion on the issue of reliance, there can be no doubt that the plaintiffs' reliance was detrimental. Had they known the true state of affairs, they would not have loaned their money to Headquarters, and therefore, would not have lost their investment.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In tort, the measure of damages is not based on the position the plaintiffs would have been in if the representation had been true. The plaintiffs are entitled to be placed in the position they would have been if the representation had not been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The plaintiffs are entitled to recover damages equal to the investment made, less the sum each plaintiff has already received out of the proceeds realized from the Concert. As agreed, the sum to be credited to each plaintiff is the gross sum payable to each before deduction for certain legal fees earlier paid to plaintiffs' counsel, a figure agreed upon by counsel at trial. The plaintiffs are also entitled to be paid court order interest on the net award from January 1, 1997 to the date of judgment, one set of costs payable on Scale 3, and actual and necessary disbursements.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BAKER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45" style="position:absolute;z-index:25188044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13"/>
          <w:headerReference w:type="default" r:id="rId514"/>
          <w:footerReference w:type="even" r:id="rId515"/>
          <w:footerReference w:type="default" r:id="rId516"/>
          <w:headerReference w:type="first" r:id="rId517"/>
          <w:footerReference w:type="first" r:id="rId51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19" w:history="1">
        <w:r>
          <w:rPr>
            <w:rFonts w:ascii="arial" w:eastAsia="arial" w:hAnsi="arial" w:cs="arial"/>
            <w:b/>
            <w:bCs/>
            <w:i/>
            <w:color w:val="0077CC"/>
            <w:kern w:val="32"/>
            <w:sz w:val="28"/>
            <w:szCs w:val="32"/>
            <w:u w:val="single"/>
            <w:shd w:val="clear" w:color="auto" w:fill="FFFFFF"/>
            <w:lang w:val="en-US" w:eastAsia="en-US" w:bidi="ar-SA"/>
          </w:rPr>
          <w:t>929505 Alberta Ltd. (c.o.b. Clint Bayless) v. Mullen Trucking Inc., [2005] B.C.J. No. 306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Ross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10 - 12,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18,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S024359</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[2005] B.C.J. No. 306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2005 BCSC 206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137 A.C.W.S. (3d) 657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929505 Alberta Ltd., doing business as Clint Bayless, plaintiff, and Mullen Trucking Inc., 221633 B.C. Ltd., doing business as Bboyd Aggra Wash, David Gordon Haywood, Les Smith and Ian Derruigh,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46" style="position:absolute;z-index:2516838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62" w:name="Keywords_22"/>
      <w:bookmarkEnd w:id="162"/>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of care — Causation — Causal connection.</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63" w:name="Case Summary_21"/>
            <w:bookmarkEnd w:id="16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929505 Alberta against the defendants for damages to a crane. The defendants were a trucking company and the facility where the damage occurred. Prior to trial 929505 settled with the trucking company. 929505 had imported 10 used cranes from Bangkok. Some of them arrived soiled and had to be washed before they could be cleared to enter Canada. 929505 arranged to have the cranes washed at the facility. They were then to be transported to Edmonton by the trucking company. The owner of the facility discovered that one of the cranes, that was the subject of the litigation, was inoperative because neither its brakes or steering worked. It was decided to lift it onto a truck using a crane in the facility. The crane was loaded onto the truck. It was unhooked from the facility crane rigging and appeared to be properly centered and secured by wooden blocks. However, it rolled off the truck before it could be further secured and was damaged.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64" w:name="Holdings of Court_14"/>
            <w:bookmarkEnd w:id="164"/>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929505 failed to establish that the crane was damaged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facility or of anyone associated with it. The facility owed a duty of care regarding the loading of the crane. 929505 failed to establish that the facility breached its duty. The crane was safely loaded before it was unhooked.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65" w:name="Legislation Cited_19"/>
      <w:bookmarkEnd w:id="16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47" style="position:absolute;z-index:2517350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Occupational Health and Safety Regulation, Regulation 14.50.</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66" w:name="Counsel_24"/>
      <w:bookmarkEnd w:id="16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48" style="position:absolute;z-index:2517862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In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221633 B.C. Ltd., doing business as Bboyd Aggra Wash, David Gordon Haywood and Les Smith: Katherine E. Ducey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67" w:name="Judgment_24"/>
      <w:bookmarkEnd w:id="167"/>
      <w:r>
        <w:pict>
          <v:line id="_x0000_s1149" style="position:absolute;z-index:251835392"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4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68" w:name="ROSS J."/>
            <w:bookmarkEnd w:id="168"/>
            <w:r>
              <w:rPr>
                <w:rFonts w:ascii="arial" w:eastAsia="arial" w:hAnsi="arial" w:cs="arial"/>
                <w:b/>
                <w:color w:val="000000"/>
                <w:sz w:val="30"/>
                <w:lang w:val="en-US" w:eastAsia="en-US" w:bidi="ar-SA"/>
              </w:rPr>
              <w:t>ROSS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 claim for the costs to repair a crane that was damaged when it slipped off the truck bed in the course of being loaded for transport to Edmonton. The plaintiff sued two groups of defendants. The first defendants were Mullen Trucking Inc. and Ian Derruigh, the trucking company and driver. The second defendants are 221633 B.C. Ltd. doing business as Bboyd Aggra Wash, David Gordon Haywood and Les Smith who are, respectively, the company, manager and an employee at the facility where the damage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Prior to the trial of the action, the plaintiff settled with Mullen Trucking and Mr. Derruigh. At the outset of the trial, the plaintiff obtained an order discontinuing the claim against the Mullen defendants and amending the pleadings to reflect a "BC Ferries" procedure.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issues are whether any or all of the Bboyd Aggra Wash defendants are liable for the damages, if so, in what proportion and quantum.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929505 Alberta Ltd., imported a shipment of ten used cranes from Thomas &amp; Wong. The cranes were shipped from Bangkok to Vancouver. A number of the cranes were soiled. Therefore, Federal regulations required them to be washed before they could be cleared to enter the country.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Bayless, the principal of the plaintiff, had arranged to have the cranes washed at the defendant Bboyd Aggra Wash after which they were to be shipped to the plaintiff's premises by the defendant Mullen Trucking.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David Haywood is the owner of the defendant 221633 B.C. Ltd., doing business as Bboyd Aggra Wash. He testified that on inspection at his yard, it was discovered that the crane that is at issue in these proceedings, Serial #99345, was inoperative in that neither the brakes nor the steering was working. After the crane was washed, the decision was made to lift it onto the truck for transport to Edmonton using the crane in the yard.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Les Smith was operating the yard crane. Mr. Haywood testified that the truck driver, the defendant Ian Derruigh, backed up the truck to line up with the crane. The crane was then lifted using the yard crane and set on the truck bed. He testified that Mr. Derruigh told them that he wanted the crane moved over somewhat to centre it properly. It was then lifted up and lowered again into position. Mr. Derruigh indicated that he was satisfied with the position of the crane on the truck bed.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Haywood testified that then he and the driver each placed a block under the crane. At this point, the lines holding the crane to the yard crane were slackened.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Haywood testified that Mr. Derruigh then gave the instruction to disconnect the crane from the riggings attaching it to the yard crane. It was his testimony that he and Mr. Derruigh then unhooked the chains holding the crane to the yard crane, each disconnecting two rigging shackles. Les Smith then lifted the chains and rigging away. Mr. Derruigh then went to the back of his truck to get the chains to secure the crane to the truck and Mr. Haywood went back to the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It was his testimony that he heard the yard crane shut off and walked back to see what was going on. He found that the crane had rolled off the truck bed and was now sitting with its two front tires on the ground. The boom had struck an excavator. Eventually another crane was brought in to lift the crane onto the 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On his Examination for Discovery, Mr. Haywood had testified that the driver had placed the blocks under the crane and that he had not seen the driver do so. He had, however, seen blocks on the truck placed behind the wheels of the crane before the crane fell off the truck. He testified further on Examination for Discovery that when he went back over to the crane after it had fallen off the truck, the block had rolled over.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defendant, Les Smith, was operating the yard crane on the day in question. He testified that the crane that is at issue in these proceedings was not operable. There was something missing from the crane that made it clear to him at the time that it would not run. Normally, the first thing they would do in the shop is to try to get the machine running. That was not possible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He described in much the same terms as Mr. Haywood, the decision to lift the crane with the yard crane, the process of backing the truck under the crane, setting it down then lifting and moving it in response to Mr. Derruigh's instruction that the crane was not centred on the truck bed.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He testified that Mr. Derruigh then indicated that he was satisfied with the position. It was his testimony that at this point the chains securing the crane to the yard crane were tight.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He testified that before the chains were removed, blocks were placed under the wheels of the crane on the truck bed. He testified that after the blocks were placed, Mr. Derruigh then motioned that it was okay to disconnect. At this point, the lines were slackened so that the rigging could be disconnected. It was his testimony that Mr. Derruigh and Mr. Haywood each held the chains, disconnected the rigging from the crane and then Mr. Smith swung the chains back up operating the controls from the cab of the yard crane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He testified that he observed the crane coming off the truck bed from his vantage in the yard crane cab, but was not in a position to do anything to stop it. He was in the yard crane when this was occurring.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He testified that he then got out of the yard crane and went to look at the damaged unit. He testified that he observed the right rear block lying on its side after the incident. The block had fallen away from the crane's tire and the crane then went over the block that was on its 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He did not recall any conversation with the driver, Mr. Derruigh.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defendant, Ian Derruigh, was the driver employed by Mullen Trucking to pick up two of the cranes, one of which was the crane at issue in these proceedings. He testified that the yard manager, Mr. Haywood, made the decision to lift the crane with the yard crane. He testified that he backed up his truck to where it would be under the crane once it was lifted. The crane was raised and placed on the truck bed. He came out of his truck to inspect the position. He was not satisfied with the position so he directed that the crane be lifted and moved to the centre. This was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He testified that he and Mr. Haywood then each placed a block behind one of the wheels. It was his testimony that both blocks were placed on the left side, at the front and rear. He testified that he checked the block placed by the yard manager after he had placed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It was his testimony that he then went to the front of his truck to get the chains to secure the crane to the truck bed. When he did so, the crane was still attached by the rigging to the yard crane. He testified that he never gave instructions to unhook the crane from the rigging for the yard crane.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He testified that when he came back, the crane had slipped off the truck, and the crane operator was on the ground beside the crane. He testified that he asked the operator what had happened and the operator said that the crane had rolled over top of the blocks and that it was a good thing it didn't roll off when he was unhooking.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There are significant conflicts in the evidence with respect to the various accounts of how this accident occurred. I find that Mr. Haywood did assist Mr. Derruigh with the placement of blocks after the crane was loaded onto the truck bed and before the rigging connecting the crane to the yard crane was disconnected. Although Mr. Haywood denied this in his Examination for Discovery, he agreed at trial that he had done so. Mr. Derruigh testified that he had done so and it is consistent with Mr. Haywood being present at the scene assisting with the loading that he would have done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 find that after Mr. Haywood placed the block, and before the rigging was disconnected, Mr. Derruigh checked the block that Mr. Haywood had placed. This is consistent with Mr. Derruigh's testimony. It is also consistent with the control taken by Mr. Derruigh over the loading of the crane. For example, he directed that the crane's position be re-adjusted on the truck bed after it was lifted for the first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 find, contrary to Mr. Derruigh's testimony, that it was Mr. Derruigh who gave the direction that the rigging be disconnected and that he and Mr. Haywood together attended to disconnect the rigging. I find that Mr. Smith did not leave the cab of the yard crane during this operation so he could not have assisted in the disconnecting of the rigging. Mr. Haywood was assisting in the loading, but under Mr. Derruigh's direction. Mr. Derriugh had assumed control and given the directions concerning the placement of the crane. I find, therefore, that it is not likely that Mr. Haywood would unilaterally issue the instruction to disconnect the rigging and that he did not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first issue is the question of the plaintiff's status to maintain the claim. The defence submits that the plaintiff imported the cranes acting in the capacity of broker. The defence submits that if the plaintiff was not the owner of the crane, it cannot recover as it could not have suffered any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Bayless, the principal of the plaintiff, testified that although he usually acted as a broker, in this case the plaintiff purchased the cranes from Thomas &amp; Wong. This assertion is supported by an invoice dated August 21, 2001 from Thomas &amp; Wong documenting a sale of ten cranes including Unit 99345, the crane at issue in these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defence relies upon the following evidence in support of the contention that the plaintiff was acting as a broker:</w:t>
      </w:r>
      <w:r>
        <w:rPr>
          <w:rFonts w:ascii="arial" w:eastAsia="arial" w:hAnsi="arial" w:cs="arial"/>
          <w:sz w:val="20"/>
          <w:lang w:val="en-US" w:eastAsia="en-US" w:bidi="ar-SA"/>
        </w:rPr>
        <w:cr/>
      </w:r>
    </w:p>
    <w:p>
      <w:pPr>
        <w:numPr>
          <w:numId w:val="1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adjuster's report dated November 16, 2001 contains reference to a conversation in which Mr. Bayless reportedly told the adjuster that he was acting in the capacity of a broker for Thomas &amp; Wong;</w:t>
      </w:r>
    </w:p>
    <w:p>
      <w:pPr>
        <w:numPr>
          <w:numId w:val="1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Frank Garret, the Safety Director of Mullen Trucking, corresponded with Ed Tarapaski, a principal of Thomas &amp; Wong, with respect to the claim;</w:t>
      </w:r>
    </w:p>
    <w:p>
      <w:pPr>
        <w:numPr>
          <w:numId w:val="1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Tarapaski responded in an email dated March 1, 2002 in which he refers to the crane as "our machine";</w:t>
      </w:r>
    </w:p>
    <w:p>
      <w:pPr>
        <w:numPr>
          <w:numId w:val="1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engineer's report dated March 7, 2002, prepared for the plaintiff, refers to the crane in question as "owned by Thomas and Wong";</w:t>
      </w:r>
    </w:p>
    <w:p>
      <w:pPr>
        <w:numPr>
          <w:numId w:val="1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quote for repairs to the crane dated June 19, 2002 was provided to Len Tarapaski, Ed Tarapaski's brother, who has no association with the plaintiff; and</w:t>
      </w:r>
    </w:p>
    <w:p>
      <w:pPr>
        <w:numPr>
          <w:numId w:val="1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March, 2003, one of the cranes was sold. The plaintiff deposited the sale proceeds into its account and immediately transferred all but a relatively small portion of the proceeds to Thomas &amp; Wong. The original invoice dated August 21, 2001 reflected a sale price of $40,000 USD. The crane was sold on March 10, 2003 for $46,750 USD. The plaintiff transferred $45,030.77 CDN to Thomas &amp; Wong.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Bayless's evidence was that the transfer to Thomas &amp; Wong was a payment on account in relation to the purchase price. The defence submits that this transfer is more consistent with the plaintiff acting as broker.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With respect to the references in the documents to Thomas &amp; Wong as owner, and the plaintiff as broker, Mr. Bayless's evidence was that these statements were reported in error, but that he had not corrected them because he did not realize at the time that they had some significance.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None of the authors of the documents relied upon by the defence were called to give testimony. While I find that collectively the evidence creates some doubts with respect to the issue, on balance and given the invoice from Thomas &amp; Wong, I am satisfied that the plaintiff is and was the owner of the crane at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I turn then to the issue of whether the plaintiff has established that the crane was damaged as a result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any or all of the defendants associated with Bboyd Aggra Wash. I have concluded that the plaintiff has not established that the crane was damaged as a result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221633 B.C. Ltd. doing business as Bboyd Aggra Wash, Mr Haywood or Mr. Smith.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These defendants made the decision to load the crane onto the truck using the yard crane and undertook that operation. They therefore owed a duty of care with respect to the loading of the crane. However, I find that the plaintiff has not met its burden of proof with respect to the question of a breach of that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only evidence that was presented concerning the standard of care in unloading a load was the Occupational Health and Safety Regulation 14.50, which stipulated that "a load on a crane or hoist load hook must be safely landed and supported, before being unhooked."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All of the witnesses testified that before the crane was unhooked the crane had been safely landed on the bed of the truck, was properly centred and appeared to be supported by the wooden blocks. Assuming that this Regulation represents the standard of care, I find that the plaintiff has not discharged its burden of proving that the standard was breached.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plaintiff has submitted that it was negligent for these defendants to unhook the crane from the rigging attaching it to the yard crane before it had been secured to the truck bed with chains. However, on the evidence, I am not satisfied that this does represent the standard of care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addition, I have found that the driver, Mr. Derruigh, gave the signal to disconnect the crane from the rigging. It appeared to Mr. Smith and Mr. Haywood that the crane was secure on the truck bed and blocks had been placed. I find that it was not negligent to unhook in those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Mr. Haywood assisted Mr. Derruigh, placing one of the blocks and therefore undertook a duty of care with respect to that activity. However, there is no evidence that the block that Mr. Haywood placed was the block that failed or fell over. More important, Mr. Derruigh checked the blocks after they had had been placed and should have noted any problems. Accordingly, I do not find that Mr. Haywood was negligent with respect to the placement of the block.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final issue with respect to liability is causation. The evidence is that the rigging lines were slack when Mr. Derruigh gave the instruction to disconnect. There was no suggestion that this was improper, indeed the evidence was the lines were made slack in order to permit or facilitate unhooking of the rigging.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There was no evidence that the damage to the crane would have been prevented, in circumstances with the lines slackened, if the rigging had not been disconnected. That is, there is no evidence that if the rigging had not been disconnected, it could have stopped the crane from rolling off the truck once it started to move. In other words, there is no evidence that the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the damage. As causation is an essential element, this deficiency is fatal to the plaintiff's claim against these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In the event that I am mistaken with respect to my findings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 will address the issues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plaintiff claims damages of $26,166.56 representing amounts charged in relation to the repair of the crane.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assessment of damage is complicated in this case by two matters. First, the crane was already damaged when it was loaded onto the truck and then suffered the further damage when it slipped off. Second, Mr. Bayless elected to repair the damage himself with the assistance of his father. Most of the amount claimed represents compensation for their labour at $60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Many of the cranes, including the crane at issue in these proceedings, that were part of the shipment had been improperly stored above deck during the ocean crossing and were damaged as a result. An appraisal report dated November 16, 2001 documents this damage to the crane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According to Clint, these units were transported above deck when specific instructions were left with the shipper to have these units stored below deck.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a result of salt water exposure over a prolonged period of time, extensive metal damage in the form of rust, has occurred to all exposed panels, cables, wiring and implements.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Visible, severe rusting is noted on the 30 ton cranes' cables, hook lock, head sheeves, electrical, including the L.M.I. system, in addition to extensive corrosion on the cranes' fenders and other panelled areas. In addition, control valves are sticking, swing brakes are malfunctioning, there is concern with rotor bearings and also, rust or corrosion on the hoist cylinders. The dials or gauges located on the side boom just above the main hoist cylinder are also stuck or frozen.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Unit 99345 was stored above deck and also has signs of surface rust. We also noted water in the cab and as a result, the control mechanisms, electrical and the cab itself, appear to have sustained rust damage. With respect to this unit, it should also be noted that Mullen Transportation is the contractor hired to transport the unit from the shipping terminal to its location. During the load up process, the unit rolled backwards, off of Mullen's flat deck and sustained impact related damage. We enclose a photograph illustrating the damaged drive shaft.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CAUSE OF DAMAGE</w:t>
      </w:r>
      <w:r>
        <w:rPr>
          <w:rFonts w:ascii="arial" w:eastAsia="arial" w:hAnsi="arial" w:cs="arial"/>
          <w:color w:val="000000"/>
          <w:sz w:val="20"/>
          <w:lang w:val="en-US" w:eastAsia="en-US" w:bidi="ar-SA"/>
        </w:rPr>
        <w:t xml:space="preserve">: It is evident that the above noted cranes were damaged due to direct exposure to salt water. As a result, these unit [sic] will no doubt require extensive repair which will have to be subject to the control of an engineer and heavy equipment appraiser. Hidden damage will most likely also be discovered </w:t>
      </w:r>
      <w:r>
        <w:rPr>
          <w:rFonts w:ascii="arial" w:eastAsia="arial" w:hAnsi="arial" w:cs="arial"/>
          <w:color w:val="000000"/>
          <w:sz w:val="20"/>
          <w:u w:val="single"/>
          <w:lang w:val="en-US" w:eastAsia="en-US" w:bidi="ar-SA"/>
        </w:rPr>
        <w:t>once the units are dismantled</w:t>
      </w:r>
      <w:r>
        <w:rPr>
          <w:rFonts w:ascii="arial" w:eastAsia="arial" w:hAnsi="arial" w:cs="arial"/>
          <w:color w:val="000000"/>
          <w:sz w:val="20"/>
          <w:lang w:val="en-US" w:eastAsia="en-US" w:bidi="ar-SA"/>
        </w:rPr>
        <w:t xml:space="preserve"> and once repairs are completed, all units affected will be subject to recertification by an engineer before they can be recommended for their intended use.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defence submits that the majority of the repairs claimed relate to the disassembly, inspection and re-assembly of the components of the crane. It submits that as is evident from the appraisal, much of this work would have been required in any event to deal with the salt water corrosion and damage and as such are not recoverable in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defence submits further that the costs of repair claimed by the plaintiff are inflated. An appraisal report dated November 13, 2001 estimated the costs of repair, before GST, at $8,716. The damage and necessary repair is described in this report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crane rolled off the back end of the trailer and the front frame section which also doubles as an operator's cab, impacted into the ground and the front frame lower plate or cab floor is collapsed, the frame is twisted up at the front and the frame webbing is rolled on each side. The left front upper cab separated from the lower cab, the left side door jamb is distorted at the lower sill panel and split open at two places. The front drive shaft is destroyed as it was hung over the trailer's end deck. U-joints, slip joints and pinion shafts could be bent. The hydraulic tank sump and spout now have a flat spot on the bottom. The front housings, steering and wheels require checking for new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plaintiff suggested that it was only in Examination for Discovery that the plaintiff learned of the impact of the boom to the excavator. However, the author of this appraisal refers to impact into the excavator boom.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Another estimate provided was for $4,333.50. The plaintiff submitted that this estimate did not include the cost of parts that needed to be replaced. However, much of the work undertaken by Mr. Bayless consisted of disassembling, inspection and reassembling without repair or new parts.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 addition, invoices from third parties are inconsistent with Mr. Bayless's evidence in relation to certain aspects of the claims. For example:</w:t>
      </w:r>
      <w:r>
        <w:rPr>
          <w:rFonts w:ascii="arial" w:eastAsia="arial" w:hAnsi="arial" w:cs="arial"/>
          <w:sz w:val="20"/>
          <w:lang w:val="en-US" w:eastAsia="en-US" w:bidi="ar-SA"/>
        </w:rPr>
        <w:cr/>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invoice for the new windows is dated July 13, 2003, whereas the labour claimed for installing new windows was allegedly performed on May 29, 2003;</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invoice for the new starter is dated March 2003 whereas Mr. Bayless submits that this work was done in May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claim made by the plaintiff for repairs includes a significant component of profit or compensation for the labour of Mr. Bayless and his father. However, these costs were not incurred by the plaintiff. No wages were actually paid. The repairs were done on the plaintiff's premises after hours - no other work was forgone in order to effect the repairs.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In Moore's Taxi (1961) Ltd. v. Shore (1968), 73 W.W.R. 558 (Man. Co. Ct.), a taxicab had been damaged when it was stolen by the defendant and then repaired by a company wholly-owned by the plaintiff. The bill included a margin for profit. The court held that any element for profit must be disallowed.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In Drew v. MacNeil </w:t>
      </w:r>
      <w:hyperlink r:id="rId520" w:history="1">
        <w:r>
          <w:rPr>
            <w:rFonts w:ascii="arial" w:eastAsia="arial" w:hAnsi="arial" w:cs="arial"/>
            <w:i/>
            <w:color w:val="0077CC"/>
            <w:sz w:val="20"/>
            <w:u w:val="single"/>
            <w:shd w:val="clear" w:color="auto" w:fill="FFFFFF"/>
            <w:lang w:val="en-US" w:eastAsia="en-US" w:bidi="ar-SA"/>
          </w:rPr>
          <w:t>(1985), 17 D.L.R. (4th) 488</w:t>
        </w:r>
      </w:hyperlink>
      <w:r>
        <w:rPr>
          <w:rFonts w:ascii="arial" w:eastAsia="arial" w:hAnsi="arial" w:cs="arial"/>
          <w:color w:val="000000"/>
          <w:sz w:val="20"/>
          <w:lang w:val="en-US" w:eastAsia="en-US" w:bidi="ar-SA"/>
        </w:rPr>
        <w:t xml:space="preserve"> (B.C.C.A.), the court reduced the damages awarded to the plaintiff to recover the cost of remedying the defect. Esson J.A. stated at 502: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other element of the award is the sum of $4,500 to compensate the plaintiff for his own time in carrying out the work. The only evidence supporting that is from a boat-builder who indicated that his firm would have charged about that amount to do the work. I do not think that, in principle, it was right to allow that amount to Mr. Drew. He did the work on his own time. He did that to avoid incurring the cost of paying a professional builder. As between him and the defendant, that was a proper exercise of mitigation of damages. But the benefit of the mitigation must go to the defendant. If the plaintiff recovers $4,500, he will have recovered a sum which will do much more than compensate him for the reasonable value of his time. The plaintiff estimated that he had put in over one hundred hours and, at that stage, still had further work to do. I think that an allowance of $1,000 would adequately compensate him for the value of his own time and would therefore reduce the award of damages by $3,500.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In the case at bar the plaintiff claimed, for example, $1,800 to replace the drive shaft including u-joints. The actual cost of the material was $480.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plaintiff claimed 53 hours for a total of $3,180 to remove, disassemble, inspect and reassemble the transmission. No damage was found. There was no repair time. The plaintiff had received independent quotes from third parties, described by Mr. Bayless as reputable shops who deal in this specific brand of crane, with respect to the same service for $1,548 and $1,530. Each of these would presumably already contain a margin for profit.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plaintiff claims $2,400 with respect to disassembling, inspecting and reassembling the front differential. No damage was found and no repairs were made. Neither independent estimate contains a provision for such work despite the fact that they had inspected the crane and been instructed to determine what work needed to be undertaken.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plaintiff claimed $900 in relation to work on the jib hangers. The labour portion of this job claimed was seven hours or $420. However, the Equipment Sales &amp; Service estimate for this labour was $96.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In summary, there is in evidence an independent estimate of $8,716 and one of $4,333 excluding parts. The parts in question appear to 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1778"/>
        <w:gridCol w:w="1778"/>
        <w:gridCol w:w="627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74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Windows</w:t>
            </w:r>
          </w:p>
        </w:tc>
        <w:tc>
          <w:tcPr>
            <w:tcW w:w="174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$180.83</w:t>
            </w:r>
          </w:p>
        </w:tc>
        <w:tc>
          <w:tcPr>
            <w:tcW w:w="614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568"/>
        <w:gridCol w:w="1987"/>
        <w:gridCol w:w="627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53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Glass</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$ 57.78</w:t>
            </w:r>
          </w:p>
        </w:tc>
        <w:tc>
          <w:tcPr>
            <w:tcW w:w="614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1568"/>
        <w:gridCol w:w="627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Driveshaft</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$480.34</w:t>
            </w:r>
          </w:p>
        </w:tc>
        <w:tc>
          <w:tcPr>
            <w:tcW w:w="614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1778"/>
        <w:gridCol w:w="1778"/>
        <w:gridCol w:w="627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74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w:t>
            </w:r>
          </w:p>
        </w:tc>
        <w:tc>
          <w:tcPr>
            <w:tcW w:w="174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$718.95</w:t>
            </w:r>
          </w:p>
        </w:tc>
        <w:tc>
          <w:tcPr>
            <w:tcW w:w="614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Adding the parts cost to the second quote would produce a total of $5,052.45. Both of these estimates presume that the work is to be done by third parties, and therefore, include a profit component.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defendant is entitled to the benefit of the plaintiff's mitigation in undertaking the work himself. Put another way, the plaintiff is required to mitigate and is not entitled to profit at the defendant's expense. In the circumstances, I find that the plaintiff has proven damages of $4,000.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In the result, the action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ROSS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50" style="position:absolute;z-index:25188147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21"/>
          <w:headerReference w:type="default" r:id="rId522"/>
          <w:footerReference w:type="even" r:id="rId523"/>
          <w:footerReference w:type="default" r:id="rId524"/>
          <w:headerReference w:type="first" r:id="rId525"/>
          <w:footerReference w:type="first" r:id="rId52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27" w:history="1">
        <w:r>
          <w:rPr>
            <w:rFonts w:ascii="arial" w:eastAsia="arial" w:hAnsi="arial" w:cs="arial"/>
            <w:b/>
            <w:bCs/>
            <w:i/>
            <w:color w:val="0077CC"/>
            <w:kern w:val="32"/>
            <w:sz w:val="28"/>
            <w:szCs w:val="32"/>
            <w:u w:val="single"/>
            <w:shd w:val="clear" w:color="auto" w:fill="FFFFFF"/>
            <w:lang w:val="en-US" w:eastAsia="en-US" w:bidi="ar-SA"/>
          </w:rPr>
          <w:t>Alexis v. Drury, [2013] B.C.J. No. 2596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Smithers,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S.R. Romilly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15, 2013; written submissions, October 29,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(Defendant), November 4, 2013 (Plaintiff).</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November 27,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16195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Smithers</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[2013] B.C.J. No. 2596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2013 BCSC 2157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235 A.C.W.S. (3d) 644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49 C.P.C. (7th) 352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2013 CarswellBC 3575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Thomas Alexis and Daniel Alexis, Plaintiffs, and Gregg Drury, Joshua Hallman, Herbert Felix, Ralph Pierre, Sebastian Anatole, Henry Joseph, and Jon Duncan,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51" style="position:absolute;z-index:2516848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69" w:name="Keywords_23"/>
      <w:bookmarkEnd w:id="169"/>
      <w:r>
        <w:rPr>
          <w:rFonts w:ascii="arial" w:eastAsia="arial" w:hAnsi="arial" w:cs="arial"/>
          <w:b/>
          <w:color w:val="000000"/>
          <w:sz w:val="20"/>
          <w:lang w:val="en-US" w:eastAsia="en-US" w:bidi="ar-SA"/>
        </w:rPr>
        <w:t>Civil litigation — Civil procedure — Parties — Adding or substituting — Application by the defendants to strike out parts of the amended notice of claim on the basis that the plaintiffs purported to add Duncan as a defendant simply by amending their pleadings dismissed — Before service, the general power of amendment under Rule 6-1 should govern — Only after an action was served should an application to add a party as a defendant be made, as the other parties to the action would only then have a say as to whether the party should be added.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70" w:name="Case Summary_22"/>
            <w:bookmarkEnd w:id="17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defendants to strike out parts of the amended notice of claim on the basis that the plaintiffs purported to add Duncan as a defendant simply by amending their pleadings. The plaintiffs sued the original defendants for defamation. Duncan was the lawyer who was initially retained by the plaintiffs to pursue their claims in defamation. The plaintiffs terminated Duncan's retainer in 2011. The defamation action was commenced by new counsel. The limitation period for one of the plaintiffs had expired while Duncan was still acting for the plaintiffs. Almost one year later, before the action was served on any party, an Amended Notice of Civil Claim was filed which added a claim in solicitor's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a breach of fiduciary duty against Duncan. Duncan now argued that the plaintiffs were required to bring an application to add Duncan as a defendant.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71" w:name="Holdings of Court_15"/>
            <w:bookmarkEnd w:id="171"/>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general power of amendment under Rule 6-1(1) permitted the addition of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Duncan. The court had no concern whether a party was added or subtracted before service of the action. Before service, the general power of amendment under Rule 6-1 should govern. It was only after an action was served that an application to add a party as a defendant should be made, as the other parties to the action would only then have a say as to whether the party should be added. The Rules did not require the proposed party to be served or entitled to have a say before he or she was added.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72" w:name="Legislation Cited_20"/>
      <w:bookmarkEnd w:id="17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52" style="position:absolute;z-index:2517360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Supreme Court Civil Rules, Rule 6-1(1), Rule 6-2(7), Rule 22-7(1), Rule 22-7(2), Rule 22-7(3), Rule 22-7(4)</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73" w:name="Counsel_25"/>
      <w:bookmarkEnd w:id="173"/>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53" style="position:absolute;z-index:2517872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Ian B. Lawson.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Jon Duncan: Leilani Karr.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74" w:name="Judgment_25"/>
      <w:bookmarkEnd w:id="174"/>
      <w:r>
        <w:pict>
          <v:line id="_x0000_s1154" style="position:absolute;z-index:25183641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75" w:name="S.R. ROMILLY J."/>
            <w:bookmarkEnd w:id="175"/>
            <w:r>
              <w:rPr>
                <w:rFonts w:ascii="arial" w:eastAsia="arial" w:hAnsi="arial" w:cs="arial"/>
                <w:b/>
                <w:color w:val="000000"/>
                <w:sz w:val="30"/>
                <w:lang w:val="en-US" w:eastAsia="en-US" w:bidi="ar-SA"/>
              </w:rPr>
              <w:t>S.R. ROMILLY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At the outset, permit me to say that in this judgment I have adopted large portions of the submissions of counsel for both parties. I find that counsel have expressed their arguments so clearly and succinctly in their written submissions that I have, in many instances in this judgment, adopted portions of their written submissions without specific attribution to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Nature of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This is an application to strike portions of the Amended Notice of Civil Claim on the basis that the plaintiffs have purported to add Mr. Duncan as a defendant simply by amending their pleadings rather than by complying with Rule 6-2(7)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Specifically, counsel for Mr. Duncan seeks to have the following struck: Mr. Duncan's name from the style of cause; paras. 16-21 of Part I of the Amended Notice of Civil Claim; and para. 8 of Part II of the same. Counsel for Mr. Duncan also applies for an order that the joinder of Mr. Duncan as a defendant to this action be declared a nullity.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For the reasons stated below, the application of Mr. Duncan is dismissed with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This action is a claim by the plaintiffs in defamation against certain individuals (the "Original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Duncan is the lawyer who was initially retained by the plaintiffs to pursue their claims in defamation against the Original Defendants and an accompanying petition for judicial review. However, the plaintiffs terminated Mr. Duncan's retainer on or about April 13,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Notice of Civil Claim in this proceeding was filed on November 29, 2011, claiming conspiracy and defamation on behalf of the plaintiff Thomas Alexis and similar relief on behalf of Daniel Alexis. The claims of Daniel Alexis, however, were out of time. This fact was well known to Ian Lawson, present counsel for the plaintiffs, who commenced acting for them after the limitation period had expired for Daniel Alexis and just a few weeks before the limitation period was about to expire for Thomas Alexis.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Mr. Lawson advises me that when he discovered the limitation period for Daniel Alexis had expired (while the file was in the hands of previous counsel) and the limitation period for Thomas Alexis required an action to be filed immediately, he contacted the Law Society and received a suggestion from practice advisor Lenore Rowntree to the effect that: the action be filed without a claim in solicitor's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action not be served, and a claim against the impugned solicitor, Mr. Duncan, could be added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As a result, the action was therefore filed in its original form as attached to Mr. Lawson's written submissions. Mr. Lawson readily admits that the claims on behalf of Daniel Alexis have no meaning without a claim in solicitor's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there was no longer a cause of action between Daniel Alexis and the Original Defendants at the time the action was initially filed.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After correspondence with the Lawyers Insurance Fund, which maintained that the previous solicitor had not been retained by the plaintiffs, counsel for the plaintiffs became of the view that Mr. Duncan had first acted for the plaintiffs and allegedly failed to take any steps on their behalf, causing them to seek new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Almost one year later on November 2, 2012, before the action was served on any party, an Amended Notice of Civil Claim was filed which added a claim in solicitor's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a breach of fiduciary duty against Mr. Duncan. The action was then served on most of the defendants, including Mr. Duncan, although three of the defendants residing in Fort St. James have not yet been served.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On or about November 7, 2012, Mr. Duncan was served with the Amended Notice of Civil Claim. The plaintiffs purported to add Mr. Duncan as a defendant merely by amending the style of cause. The amendments also included allegations that he breached various duties he owed the plaintiffs in allegedly failing to advise them of the expiry of a limitation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On November 14, 2012, Rhonda Lewis of the Smithers Registry wrote to counsel for the plaintiffs and advised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Your office filed an Amended Notice of Civil Claim on November 2, 2012. It has been brought to our attention that a party cannot be added to a proceeding by way of amending an originating document. Unfortunately, this had not been caught when filing or during data entry of the amended document.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order to properly add a party to this action, application will need to be made to the court adding the requested party to the action. Should that order be granted, a further Amended Notice of Civil Claim will have to be filed with the requirements as set out in Rule 6-2(8).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Further, on several occasions since November 7, 2012, counsel for Mr. Duncan advised the plaintiffs that they needed to bring an application to add Mr. Duncan to the action and that his addition as a defendant via amendment would be vigorously opposed. No such application has been brought by the plaintiffs to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Duncan has not filed a Response to Civil Claim in the action or taken any other steps on the basis that he was not properly added as a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Applicable Rules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general power of amendment under Rule 6-1(1)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When pleadings may be amended</w:t>
      </w:r>
    </w:p>
    <w:p>
      <w:pPr>
        <w:numPr>
          <w:numId w:val="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Rules 6-2 (7) and (10) and 7-7 (5), a party may amend the whole or any part of a pleading filed by the party</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once without leave of the court, at any time before the earlier of the following:</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date of service of the notice of trial, and</w:t>
      </w:r>
    </w:p>
    <w:p>
      <w:pPr>
        <w:numPr>
          <w:numId w:val="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date a case planning conference is held, or</w:t>
      </w:r>
    </w:p>
    <w:p>
      <w:pPr>
        <w:numPr>
          <w:numId w:val="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the earlier of the dates referred to in paragraph (a) of this subrule, only with</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leave of the court, or</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written consent of the parties of record.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From a plain reading of the amended pleadings, it is clear that the plaintiffs purported to add Mr. Duncan as a defendant merely by filing an Amended Notice of Civil Claim pursuant to Rule 6-1. They have not sought to obtain leave of the court to add a party as a defendant as required by Rule 6-2(7):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Adding, removing or substituting parties by order</w:t>
      </w:r>
    </w:p>
    <w:p>
      <w:pPr>
        <w:numPr>
          <w:numId w:val="1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At any stage of a proceeding, the court, on application by any person, may, subject to subrules (9) and (10),</w:t>
      </w:r>
    </w:p>
    <w:p>
      <w:pPr>
        <w:numPr>
          <w:numId w:val="1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order that a person cease to be party if that person is not, or has ceased to be, a proper or necessary party,</w:t>
      </w:r>
    </w:p>
    <w:p>
      <w:pPr>
        <w:numPr>
          <w:numId w:val="1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order that a person be added or substituted as a party if</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person ought to have been joined as a party, or</w:t>
      </w:r>
    </w:p>
    <w:p>
      <w:pPr>
        <w:numPr>
          <w:numId w:val="1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person's participation in the proceeding is necessary to ensure that all matters in the proceeding may be effectually adjudicated on, and</w:t>
      </w:r>
    </w:p>
    <w:p>
      <w:pPr>
        <w:numPr>
          <w:numId w:val="1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order that a person be added as a party if there may exist, between the person and any party to the proceeding, a question or issue relating to or connected with</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any relief claimed in the proceeding, or</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subject matter of the proceeding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that, in the opinion of the court, it would be just and convenient to determine as between the person and that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Subrule (9) is relevant when a case plan order is in effect and subrule (10) requires a party's consent to be added or substituted as a plaintiff or petitioner.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Rule 22-7(1)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considers the failure to comply with a rule as an irregularity rather than a nullity, unless the court orders otherwise. Rule 22-7(2) grants the court authority to deal with irregularities in the following manner: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Powers of court</w:t>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subrules (3) and (4), if there has been a failure to comply with these Supreme Court Civil Rules, the court may</w:t>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set aside a proceeding, either wholly or in part,</w:t>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set aside any step taken in the proceeding, or a document or order made in the proceeding,</w:t>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allow an amendment to be made under Rule 6-1,</w:t>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dismiss the proceeding or strike out the response to civil claim and pronounce judgment, or</w:t>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make any other order it considers will further the object of these Supreme Court Civil Rules.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Subrules (3) and (4) read: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Proceeding must not be set aside for incorrect originating pleading</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must not wholly set aside a proceeding on the ground that the proceeding was required to be started by an originating pleading other than the one employed.</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Application to set aside for irregularity</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application for an order under subrule (2) (a), (b) or (d) must not be granted unless the application is made</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within a reasonable time, and</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before the applicant has taken a fresh step after knowledge of the irregularity.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Position of Mr. Duncan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Counsel for Mr. Duncan submits that the joinder of Mr. Duncan as a defendant to the within action pursuant to an amendment made under Rule 6-1(1) is a nullity. She submits that the law is clear that the plaintiffs are required to bring an application to add Mr. Duncan as a defendant pursuant to Rule 6-2(7). She further submits that once that application has been brought, Mr. Duncan will file a response and make full argument that it is not appropriate to have the solicitor's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against him tried at the same time as the defamation action against the Original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She further submits that if the plaintiffs' argument is accepted, Rule 6-2(7) and years of interpretative case law and judicially determined tests for adding a party would be rendered redundant. If Rule 6-2(7) is to have any meaning, then parties cannot seek to add parties to actions without complying with the provisions therein.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support of her submissions, counsel for Mr. Duncan has drawn my attention to several decisions of this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Skrastins v. Kelowna (City)</w:t>
      </w:r>
      <w:r>
        <w:rPr>
          <w:rFonts w:ascii="arial" w:eastAsia="arial" w:hAnsi="arial" w:cs="arial"/>
          <w:color w:val="000000"/>
          <w:sz w:val="20"/>
          <w:lang w:val="en-US" w:eastAsia="en-US" w:bidi="ar-SA"/>
        </w:rPr>
        <w:t xml:space="preserve">, </w:t>
      </w:r>
      <w:hyperlink r:id="rId528" w:history="1">
        <w:r>
          <w:rPr>
            <w:rFonts w:ascii="arial" w:eastAsia="arial" w:hAnsi="arial" w:cs="arial"/>
            <w:i/>
            <w:color w:val="0077CC"/>
            <w:sz w:val="20"/>
            <w:u w:val="single"/>
            <w:shd w:val="clear" w:color="auto" w:fill="FFFFFF"/>
            <w:lang w:val="en-US" w:eastAsia="en-US" w:bidi="ar-SA"/>
          </w:rPr>
          <w:t>[1992] B.C.J. No. 525</w:t>
        </w:r>
      </w:hyperlink>
      <w:r>
        <w:rPr>
          <w:rFonts w:ascii="arial" w:eastAsia="arial" w:hAnsi="arial" w:cs="arial"/>
          <w:color w:val="000000"/>
          <w:sz w:val="20"/>
          <w:lang w:val="en-US" w:eastAsia="en-US" w:bidi="ar-SA"/>
        </w:rPr>
        <w:t xml:space="preserve"> (S.C.), the plaintiff filed an amended writ purporting to add three persons as defendants pursuant to Rule 24(1) [now Rule 6-1(1)]. The added defendants applied to have the amended writ and related proceedings declared a nullity because they had not been properly added as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The court found that Rule 24(1) did not permit the addition of parties. It concurred with the earlier case of </w:t>
      </w:r>
      <w:r>
        <w:rPr>
          <w:rFonts w:ascii="arial" w:eastAsia="arial" w:hAnsi="arial" w:cs="arial"/>
          <w:i/>
          <w:color w:val="000000"/>
          <w:sz w:val="20"/>
          <w:lang w:val="en-US" w:eastAsia="en-US" w:bidi="ar-SA"/>
        </w:rPr>
        <w:t>Minneapolis Threshing Machine Company v. Clessen and Clessen</w:t>
      </w:r>
      <w:r>
        <w:rPr>
          <w:rFonts w:ascii="arial" w:eastAsia="arial" w:hAnsi="arial" w:cs="arial"/>
          <w:color w:val="000000"/>
          <w:sz w:val="20"/>
          <w:lang w:val="en-US" w:eastAsia="en-US" w:bidi="ar-SA"/>
        </w:rPr>
        <w:t xml:space="preserve">, </w:t>
      </w:r>
      <w:hyperlink r:id="rId529" w:history="1">
        <w:r>
          <w:rPr>
            <w:rFonts w:ascii="arial" w:eastAsia="arial" w:hAnsi="arial" w:cs="arial"/>
            <w:i/>
            <w:color w:val="0077CC"/>
            <w:sz w:val="20"/>
            <w:u w:val="single"/>
            <w:shd w:val="clear" w:color="auto" w:fill="FFFFFF"/>
            <w:lang w:val="en-US" w:eastAsia="en-US" w:bidi="ar-SA"/>
          </w:rPr>
          <w:t>[1950] 2 W.W.R. 574</w:t>
        </w:r>
      </w:hyperlink>
      <w:r>
        <w:rPr>
          <w:rFonts w:ascii="arial" w:eastAsia="arial" w:hAnsi="arial" w:cs="arial"/>
          <w:color w:val="000000"/>
          <w:sz w:val="20"/>
          <w:lang w:val="en-US" w:eastAsia="en-US" w:bidi="ar-SA"/>
        </w:rPr>
        <w:t xml:space="preserve"> (Alta. S.C.), in which the court there held that an order was required to add or substitute parties. Accordingly, the absence of a court order rendered the amendments a nullity.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Counsel for Mr. Duncan also drew my attention to the more recent case of </w:t>
      </w:r>
      <w:r>
        <w:rPr>
          <w:rFonts w:ascii="arial" w:eastAsia="arial" w:hAnsi="arial" w:cs="arial"/>
          <w:i/>
          <w:color w:val="000000"/>
          <w:sz w:val="20"/>
          <w:lang w:val="en-US" w:eastAsia="en-US" w:bidi="ar-SA"/>
        </w:rPr>
        <w:t>C.B. Constantini Ltd. v. Slozka</w:t>
      </w:r>
      <w:r>
        <w:rPr>
          <w:rFonts w:ascii="arial" w:eastAsia="arial" w:hAnsi="arial" w:cs="arial"/>
          <w:color w:val="000000"/>
          <w:sz w:val="20"/>
          <w:lang w:val="en-US" w:eastAsia="en-US" w:bidi="ar-SA"/>
        </w:rPr>
        <w:t xml:space="preserve">, </w:t>
      </w:r>
      <w:hyperlink r:id="rId530" w:history="1">
        <w:r>
          <w:rPr>
            <w:rFonts w:ascii="arial" w:eastAsia="arial" w:hAnsi="arial" w:cs="arial"/>
            <w:i/>
            <w:color w:val="0077CC"/>
            <w:sz w:val="20"/>
            <w:u w:val="single"/>
            <w:shd w:val="clear" w:color="auto" w:fill="FFFFFF"/>
            <w:lang w:val="en-US" w:eastAsia="en-US" w:bidi="ar-SA"/>
          </w:rPr>
          <w:t>2007 BCSC 615</w:t>
        </w:r>
      </w:hyperlink>
      <w:r>
        <w:rPr>
          <w:rFonts w:ascii="arial" w:eastAsia="arial" w:hAnsi="arial" w:cs="arial"/>
          <w:color w:val="000000"/>
          <w:sz w:val="20"/>
          <w:lang w:val="en-US" w:eastAsia="en-US" w:bidi="ar-SA"/>
        </w:rPr>
        <w:t>, where this court confirmed the following at para. 83: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[83] The addition of parties is governed by Rule 15(5) [now Rule 6-2(7)]. If court approval is not received before adding a party, the pleading purporting to add the party is a nullity. ... see </w:t>
      </w:r>
      <w:r>
        <w:rPr>
          <w:rFonts w:ascii="arial" w:eastAsia="arial" w:hAnsi="arial" w:cs="arial"/>
          <w:i/>
          <w:color w:val="000000"/>
          <w:sz w:val="20"/>
          <w:lang w:val="en-US" w:eastAsia="en-US" w:bidi="ar-SA"/>
        </w:rPr>
        <w:t>Skrastins v. Kelowna (City)</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Counsel for Mr. Duncan further drew my attention to the decision of </w:t>
      </w:r>
      <w:r>
        <w:rPr>
          <w:rFonts w:ascii="arial" w:eastAsia="arial" w:hAnsi="arial" w:cs="arial"/>
          <w:i/>
          <w:color w:val="000000"/>
          <w:sz w:val="20"/>
          <w:lang w:val="en-US" w:eastAsia="en-US" w:bidi="ar-SA"/>
        </w:rPr>
        <w:t>Te Kiapilanoq (Capilano) v. British Columbia</w:t>
      </w:r>
      <w:r>
        <w:rPr>
          <w:rFonts w:ascii="arial" w:eastAsia="arial" w:hAnsi="arial" w:cs="arial"/>
          <w:color w:val="000000"/>
          <w:sz w:val="20"/>
          <w:lang w:val="en-US" w:eastAsia="en-US" w:bidi="ar-SA"/>
        </w:rPr>
        <w:t xml:space="preserve">, </w:t>
      </w:r>
      <w:hyperlink r:id="rId531" w:history="1">
        <w:r>
          <w:rPr>
            <w:rFonts w:ascii="arial" w:eastAsia="arial" w:hAnsi="arial" w:cs="arial"/>
            <w:i/>
            <w:color w:val="0077CC"/>
            <w:sz w:val="20"/>
            <w:u w:val="single"/>
            <w:shd w:val="clear" w:color="auto" w:fill="FFFFFF"/>
            <w:lang w:val="en-US" w:eastAsia="en-US" w:bidi="ar-SA"/>
          </w:rPr>
          <w:t>2008 BCCA 398</w:t>
        </w:r>
      </w:hyperlink>
      <w:r>
        <w:rPr>
          <w:rFonts w:ascii="arial" w:eastAsia="arial" w:hAnsi="arial" w:cs="arial"/>
          <w:color w:val="000000"/>
          <w:sz w:val="20"/>
          <w:lang w:val="en-US" w:eastAsia="en-US" w:bidi="ar-SA"/>
        </w:rPr>
        <w:t xml:space="preserve">. In that case, the applicant sought directions as to whether leave was necessary to appeal an order of the British Columbia Supreme Court that an amendment purporting to add parties was a nullity. The Court of Appeal held that leave was necessary, but made the practical observation that the plaintiff could easily apply to add the defendant under what is now Rule 6-2(7). The plaintiffs subsequently made an application pursuant to that rule: see </w:t>
      </w:r>
      <w:r>
        <w:rPr>
          <w:rFonts w:ascii="arial" w:eastAsia="arial" w:hAnsi="arial" w:cs="arial"/>
          <w:i/>
          <w:color w:val="000000"/>
          <w:sz w:val="20"/>
          <w:lang w:val="en-US" w:eastAsia="en-US" w:bidi="ar-SA"/>
        </w:rPr>
        <w:t>Te Kiapilanoq v. British Columbia</w:t>
      </w:r>
      <w:r>
        <w:rPr>
          <w:rFonts w:ascii="arial" w:eastAsia="arial" w:hAnsi="arial" w:cs="arial"/>
          <w:color w:val="000000"/>
          <w:sz w:val="20"/>
          <w:lang w:val="en-US" w:eastAsia="en-US" w:bidi="ar-SA"/>
        </w:rPr>
        <w:t xml:space="preserve">, </w:t>
      </w:r>
      <w:hyperlink r:id="rId532" w:history="1">
        <w:r>
          <w:rPr>
            <w:rFonts w:ascii="arial" w:eastAsia="arial" w:hAnsi="arial" w:cs="arial"/>
            <w:i/>
            <w:color w:val="0077CC"/>
            <w:sz w:val="20"/>
            <w:u w:val="single"/>
            <w:shd w:val="clear" w:color="auto" w:fill="FFFFFF"/>
            <w:lang w:val="en-US" w:eastAsia="en-US" w:bidi="ar-SA"/>
          </w:rPr>
          <w:t>2008 BCSC 54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In response to one of the arguments of the plaintiffs, wherein the plaintiffs argued that </w:t>
      </w:r>
      <w:r>
        <w:rPr>
          <w:rFonts w:ascii="arial" w:eastAsia="arial" w:hAnsi="arial" w:cs="arial"/>
          <w:i/>
          <w:color w:val="000000"/>
          <w:sz w:val="20"/>
          <w:lang w:val="en-US" w:eastAsia="en-US" w:bidi="ar-SA"/>
        </w:rPr>
        <w:t>652013 B.C. Ltd. v. 669497 B.C. Ltd.</w:t>
      </w:r>
      <w:r>
        <w:rPr>
          <w:rFonts w:ascii="arial" w:eastAsia="arial" w:hAnsi="arial" w:cs="arial"/>
          <w:color w:val="000000"/>
          <w:sz w:val="20"/>
          <w:lang w:val="en-US" w:eastAsia="en-US" w:bidi="ar-SA"/>
        </w:rPr>
        <w:t xml:space="preserve">, </w:t>
      </w:r>
      <w:hyperlink r:id="rId533" w:history="1">
        <w:r>
          <w:rPr>
            <w:rFonts w:ascii="arial" w:eastAsia="arial" w:hAnsi="arial" w:cs="arial"/>
            <w:i/>
            <w:color w:val="0077CC"/>
            <w:sz w:val="20"/>
            <w:u w:val="single"/>
            <w:shd w:val="clear" w:color="auto" w:fill="FFFFFF"/>
            <w:lang w:val="en-US" w:eastAsia="en-US" w:bidi="ar-SA"/>
          </w:rPr>
          <w:t>2008 BCSC 903</w:t>
        </w:r>
      </w:hyperlink>
      <w:r>
        <w:rPr>
          <w:rFonts w:ascii="arial" w:eastAsia="arial" w:hAnsi="arial" w:cs="arial"/>
          <w:color w:val="000000"/>
          <w:sz w:val="20"/>
          <w:lang w:val="en-US" w:eastAsia="en-US" w:bidi="ar-SA"/>
        </w:rPr>
        <w:t xml:space="preserve">, stands for the proposition that </w:t>
      </w:r>
      <w:r>
        <w:rPr>
          <w:rFonts w:ascii="arial" w:eastAsia="arial" w:hAnsi="arial" w:cs="arial"/>
          <w:i/>
          <w:color w:val="000000"/>
          <w:sz w:val="20"/>
          <w:lang w:val="en-US" w:eastAsia="en-US" w:bidi="ar-SA"/>
        </w:rPr>
        <w:t>Skrastins</w:t>
      </w:r>
      <w:r>
        <w:rPr>
          <w:rFonts w:ascii="arial" w:eastAsia="arial" w:hAnsi="arial" w:cs="arial"/>
          <w:color w:val="000000"/>
          <w:sz w:val="20"/>
          <w:lang w:val="en-US" w:eastAsia="en-US" w:bidi="ar-SA"/>
        </w:rPr>
        <w:t xml:space="preserve"> is outdated and that the distinction between nullities and irregularities has been eradicated, Mr. Duncan made the following observations.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Counsel for Mr. Duncan submits that </w:t>
      </w:r>
      <w:r>
        <w:rPr>
          <w:rFonts w:ascii="arial" w:eastAsia="arial" w:hAnsi="arial" w:cs="arial"/>
          <w:i/>
          <w:color w:val="000000"/>
          <w:sz w:val="20"/>
          <w:lang w:val="en-US" w:eastAsia="en-US" w:bidi="ar-SA"/>
        </w:rPr>
        <w:t>652013 B.C. Ltd.</w:t>
      </w:r>
      <w:r>
        <w:rPr>
          <w:rFonts w:ascii="arial" w:eastAsia="arial" w:hAnsi="arial" w:cs="arial"/>
          <w:color w:val="000000"/>
          <w:sz w:val="20"/>
          <w:lang w:val="en-US" w:eastAsia="en-US" w:bidi="ar-SA"/>
        </w:rPr>
        <w:t xml:space="preserve"> is clearly distinguishable from the case law on the purported addition of defendants without court order. In </w:t>
      </w:r>
      <w:r>
        <w:rPr>
          <w:rFonts w:ascii="arial" w:eastAsia="arial" w:hAnsi="arial" w:cs="arial"/>
          <w:i/>
          <w:color w:val="000000"/>
          <w:sz w:val="20"/>
          <w:lang w:val="en-US" w:eastAsia="en-US" w:bidi="ar-SA"/>
        </w:rPr>
        <w:t>652013 B.C. Ltd.</w:t>
      </w:r>
      <w:r>
        <w:rPr>
          <w:rFonts w:ascii="arial" w:eastAsia="arial" w:hAnsi="arial" w:cs="arial"/>
          <w:color w:val="000000"/>
          <w:sz w:val="20"/>
          <w:lang w:val="en-US" w:eastAsia="en-US" w:bidi="ar-SA"/>
        </w:rPr>
        <w:t>, the corporate plaintiff attempted to substitute itself as plaintiff by amending the pleadings to name a new corporate entity. It was merely a matter of correcting a misnomer. The nature of the case did not change in any material way and there was no prejudice to the defendants from the amendments. Mr. Duncan asserts that it was not a case where, as here, the plaintiffs have attempted to add a new defendant, alleged a completely new cause of action, and deprived the defendant of the opportunity to argue that his joinder would not be just and convenient.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Counsel for Mr. Duncan submits that in </w:t>
      </w:r>
      <w:r>
        <w:rPr>
          <w:rFonts w:ascii="arial" w:eastAsia="arial" w:hAnsi="arial" w:cs="arial"/>
          <w:i/>
          <w:color w:val="000000"/>
          <w:sz w:val="20"/>
          <w:lang w:val="en-US" w:eastAsia="en-US" w:bidi="ar-SA"/>
        </w:rPr>
        <w:t>Myer v. Saxton</w:t>
      </w:r>
      <w:r>
        <w:rPr>
          <w:rFonts w:ascii="arial" w:eastAsia="arial" w:hAnsi="arial" w:cs="arial"/>
          <w:color w:val="000000"/>
          <w:sz w:val="20"/>
          <w:lang w:val="en-US" w:eastAsia="en-US" w:bidi="ar-SA"/>
        </w:rPr>
        <w:t xml:space="preserve">, </w:t>
      </w:r>
      <w:hyperlink r:id="rId534" w:history="1">
        <w:r>
          <w:rPr>
            <w:rFonts w:ascii="arial" w:eastAsia="arial" w:hAnsi="arial" w:cs="arial"/>
            <w:i/>
            <w:color w:val="0077CC"/>
            <w:sz w:val="20"/>
            <w:u w:val="single"/>
            <w:shd w:val="clear" w:color="auto" w:fill="FFFFFF"/>
            <w:lang w:val="en-US" w:eastAsia="en-US" w:bidi="ar-SA"/>
          </w:rPr>
          <w:t>2008 BCSC 1685</w:t>
        </w:r>
      </w:hyperlink>
      <w:r>
        <w:rPr>
          <w:rFonts w:ascii="arial" w:eastAsia="arial" w:hAnsi="arial" w:cs="arial"/>
          <w:color w:val="000000"/>
          <w:sz w:val="20"/>
          <w:lang w:val="en-US" w:eastAsia="en-US" w:bidi="ar-SA"/>
        </w:rPr>
        <w:t xml:space="preserve"> at paras. 23-24, the court confirmed that </w:t>
      </w:r>
      <w:r>
        <w:rPr>
          <w:rFonts w:ascii="arial" w:eastAsia="arial" w:hAnsi="arial" w:cs="arial"/>
          <w:i/>
          <w:color w:val="000000"/>
          <w:sz w:val="20"/>
          <w:lang w:val="en-US" w:eastAsia="en-US" w:bidi="ar-SA"/>
        </w:rPr>
        <w:t>652013 B.C. Ltd.</w:t>
      </w:r>
      <w:r>
        <w:rPr>
          <w:rFonts w:ascii="arial" w:eastAsia="arial" w:hAnsi="arial" w:cs="arial"/>
          <w:color w:val="000000"/>
          <w:sz w:val="20"/>
          <w:lang w:val="en-US" w:eastAsia="en-US" w:bidi="ar-SA"/>
        </w:rPr>
        <w:t xml:space="preserve"> dealt merely with a case of misnomer of a correct party rather than seeking to add a new party. Mr. Justice N. Brown held that the issue in </w:t>
      </w:r>
      <w:r>
        <w:rPr>
          <w:rFonts w:ascii="arial" w:eastAsia="arial" w:hAnsi="arial" w:cs="arial"/>
          <w:i/>
          <w:color w:val="000000"/>
          <w:sz w:val="20"/>
          <w:lang w:val="en-US" w:eastAsia="en-US" w:bidi="ar-SA"/>
        </w:rPr>
        <w:t>652013 B.C. Ltd.</w:t>
      </w:r>
      <w:r>
        <w:rPr>
          <w:rFonts w:ascii="arial" w:eastAsia="arial" w:hAnsi="arial" w:cs="arial"/>
          <w:color w:val="000000"/>
          <w:sz w:val="20"/>
          <w:lang w:val="en-US" w:eastAsia="en-US" w:bidi="ar-SA"/>
        </w:rPr>
        <w:t xml:space="preserve"> was all about whether it was appropriate to substitute the correct name without leave, not about whether it was appropriate to add a party to the action without leave.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Counsel for Mr. Duncan further submits that even if this court were to find that </w:t>
      </w:r>
      <w:r>
        <w:rPr>
          <w:rFonts w:ascii="arial" w:eastAsia="arial" w:hAnsi="arial" w:cs="arial"/>
          <w:i/>
          <w:color w:val="000000"/>
          <w:sz w:val="20"/>
          <w:lang w:val="en-US" w:eastAsia="en-US" w:bidi="ar-SA"/>
        </w:rPr>
        <w:t>652013 B.C. Ltd.</w:t>
      </w:r>
      <w:r>
        <w:rPr>
          <w:rFonts w:ascii="arial" w:eastAsia="arial" w:hAnsi="arial" w:cs="arial"/>
          <w:color w:val="000000"/>
          <w:sz w:val="20"/>
          <w:lang w:val="en-US" w:eastAsia="en-US" w:bidi="ar-SA"/>
        </w:rPr>
        <w:t xml:space="preserve"> governs the facts of the instant case, Rule 22-7(2) nevertheless grants the court the authority to set aside any step taken in a proceeding for failure to comply with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Such discretion, she submits, would be appropriate to exercise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Position of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Counsel for the plaintiffs submits that this application illustrates an ambiguity in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between the general power of amendment of pleadings under Rule 6-1(1) on one hand and Rule 6-2(7) on the other, which provides that "the court, on application by any person, </w:t>
      </w:r>
      <w:r>
        <w:rPr>
          <w:rFonts w:ascii="arial" w:eastAsia="arial" w:hAnsi="arial" w:cs="arial"/>
          <w:color w:val="000000"/>
          <w:sz w:val="20"/>
          <w:u w:val="single"/>
          <w:lang w:val="en-US" w:eastAsia="en-US" w:bidi="ar-SA"/>
        </w:rPr>
        <w:t>may</w:t>
      </w:r>
      <w:r>
        <w:rPr>
          <w:rFonts w:ascii="arial" w:eastAsia="arial" w:hAnsi="arial" w:cs="arial"/>
          <w:color w:val="000000"/>
          <w:sz w:val="20"/>
          <w:lang w:val="en-US" w:eastAsia="en-US" w:bidi="ar-SA"/>
        </w:rPr>
        <w:t xml:space="preserve"> ... order that a person be added or substituted as a party"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The plaintiffs argue that they are not required to make an application because there is no rule which expressly forbids them from adding Mr. Duncan as a party by amending the pleadings. They also argue that they would be prejudiced by a successful application to strike because the time period to bring an action against Mr. Duncan on behalf of the plaintiffs under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2012, c. 13</w:t>
      </w:r>
      <w:r>
        <w:rPr>
          <w:rFonts w:ascii="arial" w:eastAsia="arial" w:hAnsi="arial" w:cs="arial"/>
          <w:color w:val="000000"/>
          <w:sz w:val="20"/>
          <w:lang w:val="en-US" w:eastAsia="en-US" w:bidi="ar-SA"/>
        </w:rPr>
        <w:t>, has expired.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plaintiffs submit that none of the authorities advanced by counsel for Mr. Duncan address the addition of a party before service. Counsel for the plaintiffs says all the cases advanced by Mr. Duncan involve a situation in which a plaintiff added or removed a party without making an application under Rule 6-2(7) or its predecessors and without affording the other parties (who already had notice of the action through service) an opportunity to oppose that step.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As stated above, the plaintiffs argue that the principle from </w:t>
      </w:r>
      <w:r>
        <w:rPr>
          <w:rFonts w:ascii="arial" w:eastAsia="arial" w:hAnsi="arial" w:cs="arial"/>
          <w:i/>
          <w:color w:val="000000"/>
          <w:sz w:val="20"/>
          <w:lang w:val="en-US" w:eastAsia="en-US" w:bidi="ar-SA"/>
        </w:rPr>
        <w:t>Skrastins</w:t>
      </w:r>
      <w:r>
        <w:rPr>
          <w:rFonts w:ascii="arial" w:eastAsia="arial" w:hAnsi="arial" w:cs="arial"/>
          <w:color w:val="000000"/>
          <w:sz w:val="20"/>
          <w:lang w:val="en-US" w:eastAsia="en-US" w:bidi="ar-SA"/>
        </w:rPr>
        <w:t xml:space="preserve"> is outdated and that the distinction between nullities and irregularities has been eradicated. Counsel says the correctness of </w:t>
      </w:r>
      <w:r>
        <w:rPr>
          <w:rFonts w:ascii="arial" w:eastAsia="arial" w:hAnsi="arial" w:cs="arial"/>
          <w:i/>
          <w:color w:val="000000"/>
          <w:sz w:val="20"/>
          <w:lang w:val="en-US" w:eastAsia="en-US" w:bidi="ar-SA"/>
        </w:rPr>
        <w:t>Skrastins</w:t>
      </w:r>
      <w:r>
        <w:rPr>
          <w:rFonts w:ascii="arial" w:eastAsia="arial" w:hAnsi="arial" w:cs="arial"/>
          <w:color w:val="000000"/>
          <w:sz w:val="20"/>
          <w:lang w:val="en-US" w:eastAsia="en-US" w:bidi="ar-SA"/>
        </w:rPr>
        <w:t xml:space="preserve"> was recently questioned in the judgment of Masuhara J. in </w:t>
      </w:r>
      <w:r>
        <w:rPr>
          <w:rFonts w:ascii="arial" w:eastAsia="arial" w:hAnsi="arial" w:cs="arial"/>
          <w:i/>
          <w:color w:val="000000"/>
          <w:sz w:val="20"/>
          <w:lang w:val="en-US" w:eastAsia="en-US" w:bidi="ar-SA"/>
        </w:rPr>
        <w:t>652013 B.C. Ltd</w:t>
      </w:r>
      <w:r>
        <w:rPr>
          <w:rFonts w:ascii="arial" w:eastAsia="arial" w:hAnsi="arial" w:cs="arial"/>
          <w:color w:val="000000"/>
          <w:sz w:val="20"/>
          <w:lang w:val="en-US" w:eastAsia="en-US" w:bidi="ar-SA"/>
        </w:rPr>
        <w:t xml:space="preserve">. Despite Mr. Duncan's written submission suggesting the decision in </w:t>
      </w:r>
      <w:r>
        <w:rPr>
          <w:rFonts w:ascii="arial" w:eastAsia="arial" w:hAnsi="arial" w:cs="arial"/>
          <w:i/>
          <w:color w:val="000000"/>
          <w:sz w:val="20"/>
          <w:lang w:val="en-US" w:eastAsia="en-US" w:bidi="ar-SA"/>
        </w:rPr>
        <w:t>652013 B.C. Ltd</w:t>
      </w:r>
      <w:r>
        <w:rPr>
          <w:rFonts w:ascii="arial" w:eastAsia="arial" w:hAnsi="arial" w:cs="arial"/>
          <w:color w:val="000000"/>
          <w:sz w:val="20"/>
          <w:lang w:val="en-US" w:eastAsia="en-US" w:bidi="ar-SA"/>
        </w:rPr>
        <w:t>. is limited to the correction of misnomers, the plaintiffs say there can be no ambiguity in his rejection of the use of nullity in support of irregularity: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[25] ... </w:t>
      </w:r>
      <w:r>
        <w:rPr>
          <w:rFonts w:ascii="arial" w:eastAsia="arial" w:hAnsi="arial" w:cs="arial"/>
          <w:i/>
          <w:color w:val="000000"/>
          <w:sz w:val="20"/>
          <w:lang w:val="en-US" w:eastAsia="en-US" w:bidi="ar-SA"/>
        </w:rPr>
        <w:t>Skrastins</w:t>
      </w:r>
      <w:r>
        <w:rPr>
          <w:rFonts w:ascii="arial" w:eastAsia="arial" w:hAnsi="arial" w:cs="arial"/>
          <w:color w:val="000000"/>
          <w:sz w:val="20"/>
          <w:lang w:val="en-US" w:eastAsia="en-US" w:bidi="ar-SA"/>
        </w:rPr>
        <w:t xml:space="preserve"> in part relied upon </w:t>
      </w:r>
      <w:r>
        <w:rPr>
          <w:rFonts w:ascii="arial" w:eastAsia="arial" w:hAnsi="arial" w:cs="arial"/>
          <w:i/>
          <w:color w:val="000000"/>
          <w:sz w:val="20"/>
          <w:lang w:val="en-US" w:eastAsia="en-US" w:bidi="ar-SA"/>
        </w:rPr>
        <w:t>Minneapolis Threshing Machine</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MacFoy v. United Africa Co. Ltd.</w:t>
      </w:r>
      <w:r>
        <w:rPr>
          <w:rFonts w:ascii="arial" w:eastAsia="arial" w:hAnsi="arial" w:cs="arial"/>
          <w:color w:val="000000"/>
          <w:sz w:val="20"/>
          <w:lang w:val="en-US" w:eastAsia="en-US" w:bidi="ar-SA"/>
        </w:rPr>
        <w:t>, which are older cases. ... In my view, those cases have been long overtaken by the rule changes aforementioned.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[26] The effect of the new English Rule was stated by Lord Denning M.R. in </w:t>
      </w:r>
      <w:r>
        <w:rPr>
          <w:rFonts w:ascii="arial" w:eastAsia="arial" w:hAnsi="arial" w:cs="arial"/>
          <w:i/>
          <w:color w:val="000000"/>
          <w:sz w:val="20"/>
          <w:lang w:val="en-US" w:eastAsia="en-US" w:bidi="ar-SA"/>
        </w:rPr>
        <w:t>Harkness v. Bell Asbestos and Engineering Ltd.</w:t>
      </w:r>
      <w:r>
        <w:rPr>
          <w:rFonts w:ascii="arial" w:eastAsia="arial" w:hAnsi="arial" w:cs="arial"/>
          <w:color w:val="000000"/>
          <w:sz w:val="20"/>
          <w:lang w:val="en-US" w:eastAsia="en-US" w:bidi="ar-SA"/>
        </w:rPr>
        <w:t xml:space="preserve"> [1966] 3 All E.R. 843 (C.A) at 845-846; leave to appeal to House of Lords ref'd as follows: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new rule [the English counterpart to Rule 22-7] does away with the old distinction between nullities and irregularities. Every omission or mistake in practice or procedure is henceforward to be regarded as an irregularity which the court can and should rectify so long as it can do so without injustice.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 have reviewed all of the authorities which have been brought to my attention by counsel for both Mr. Duncan and the plaintiffs. I have also read and reread their thoughtful submissions. After careful review, I find the submissions of the plaintiffs to be quite persuasive and I adopt those submissions in full.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I agree with the plaintiffs' submission that the general power of amendment under Rule 6-1(1) permits the addition of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Mr. Duncan. The action had not been served and to make an application to add Mr. Duncan under Rule 6-2(7) without service would be a rather meaningless exercise: if counsel files a Notice of Civil Claim but realizes overnight that a party was not added that should have been, and counsel then appears in the registry the next day with an Amended Notice of Civil Claim, it makes no sense that an application must first be made to the court to add that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To require the plaintiffs to make application under Rule 6-2(7) before service amounts to an absurdity. The court has no concern whether a party is added or subtracted before service of the action. In fact, somewhat ironically, even on an application to add Mr. Duncan as a party, it would only be the other parties to the action that might have a concern about the addition or subtraction of him as a party, not Mr. Duncan. On such an application, Mr. Duncan would have no say in whether or not he is joined: only the other parties to the proceeding would be entitled to appear and make argument. However, before service, those other parties do not even know of the action let alone have an interest in who is added to or subtracted from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I further agree with the plaintiffs' submission that it is an established rule of statutory interpretation that legislative provisions must be interpreted so as to avoid absurdity. Courts should avoid interpretations that "defy fairness and common sense": </w:t>
      </w:r>
      <w:r>
        <w:rPr>
          <w:rFonts w:ascii="arial" w:eastAsia="arial" w:hAnsi="arial" w:cs="arial"/>
          <w:i/>
          <w:color w:val="000000"/>
          <w:sz w:val="20"/>
          <w:lang w:val="en-US" w:eastAsia="en-US" w:bidi="ar-SA"/>
        </w:rPr>
        <w:t>British Columbia v. Henfrey Samson Belair Ltd.</w:t>
      </w:r>
      <w:r>
        <w:rPr>
          <w:rFonts w:ascii="arial" w:eastAsia="arial" w:hAnsi="arial" w:cs="arial"/>
          <w:color w:val="000000"/>
          <w:sz w:val="20"/>
          <w:lang w:val="en-US" w:eastAsia="en-US" w:bidi="ar-SA"/>
        </w:rPr>
        <w:t xml:space="preserve">, </w:t>
      </w:r>
      <w:hyperlink r:id="rId535" w:history="1">
        <w:r>
          <w:rPr>
            <w:rFonts w:ascii="arial" w:eastAsia="arial" w:hAnsi="arial" w:cs="arial"/>
            <w:i/>
            <w:color w:val="0077CC"/>
            <w:sz w:val="20"/>
            <w:u w:val="single"/>
            <w:shd w:val="clear" w:color="auto" w:fill="FFFFFF"/>
            <w:lang w:val="en-US" w:eastAsia="en-US" w:bidi="ar-SA"/>
          </w:rPr>
          <w:t>[1989] 2 S.C.R. 24</w:t>
        </w:r>
      </w:hyperlink>
      <w:r>
        <w:rPr>
          <w:rFonts w:ascii="arial" w:eastAsia="arial" w:hAnsi="arial" w:cs="arial"/>
          <w:color w:val="000000"/>
          <w:sz w:val="20"/>
          <w:lang w:val="en-US" w:eastAsia="en-US" w:bidi="ar-SA"/>
        </w:rPr>
        <w:t xml:space="preserve"> at 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In interpreting legislation (including subordinate legislation such as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a court should endeavour to apply the interpretation which brings about a workable and practical result. As the Supreme Court of Canada stated in </w:t>
      </w:r>
      <w:r>
        <w:rPr>
          <w:rFonts w:ascii="arial" w:eastAsia="arial" w:hAnsi="arial" w:cs="arial"/>
          <w:i/>
          <w:color w:val="000000"/>
          <w:sz w:val="20"/>
          <w:lang w:val="en-US" w:eastAsia="en-US" w:bidi="ar-SA"/>
        </w:rPr>
        <w:t>Berardinelli v. Ontario Housing Corp.</w:t>
      </w:r>
      <w:r>
        <w:rPr>
          <w:rFonts w:ascii="arial" w:eastAsia="arial" w:hAnsi="arial" w:cs="arial"/>
          <w:color w:val="000000"/>
          <w:sz w:val="20"/>
          <w:lang w:val="en-US" w:eastAsia="en-US" w:bidi="ar-SA"/>
        </w:rPr>
        <w:t xml:space="preserve">, </w:t>
      </w:r>
      <w:hyperlink r:id="rId264" w:history="1">
        <w:r>
          <w:rPr>
            <w:rFonts w:ascii="arial" w:eastAsia="arial" w:hAnsi="arial" w:cs="arial"/>
            <w:i/>
            <w:color w:val="0077CC"/>
            <w:sz w:val="20"/>
            <w:u w:val="single"/>
            <w:shd w:val="clear" w:color="auto" w:fill="FFFFFF"/>
            <w:lang w:val="en-US" w:eastAsia="en-US" w:bidi="ar-SA"/>
          </w:rPr>
          <w:t>[1979] 1 S.C.R. 275</w:t>
        </w:r>
      </w:hyperlink>
      <w:r>
        <w:rPr>
          <w:rFonts w:ascii="arial" w:eastAsia="arial" w:hAnsi="arial" w:cs="arial"/>
          <w:color w:val="000000"/>
          <w:sz w:val="20"/>
          <w:lang w:val="en-US" w:eastAsia="en-US" w:bidi="ar-SA"/>
        </w:rPr>
        <w:t xml:space="preserve"> at 284: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When one interpretation can be placed upon a statutory provision which would bring about a more workable and practical result, such an interpretation should be preferred if the words invoked by the Legislature can reasonably bear it; and this is particularly so where the alternative interpretation will reduce the right of recovery of members of the public who suffer loss or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Like every enactment,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xml:space="preserve"> are remedial in nature and must be given "such fair, large and liberal construction and interpretation as best ensures the attainment of its objects": </w:t>
      </w:r>
      <w:r>
        <w:rPr>
          <w:rFonts w:ascii="arial" w:eastAsia="arial" w:hAnsi="arial" w:cs="arial"/>
          <w:i/>
          <w:color w:val="000000"/>
          <w:sz w:val="20"/>
          <w:lang w:val="en-US" w:eastAsia="en-US" w:bidi="ar-SA"/>
        </w:rPr>
        <w:t>Interpretation Act</w:t>
      </w:r>
      <w:r>
        <w:rPr>
          <w:rFonts w:ascii="arial" w:eastAsia="arial" w:hAnsi="arial" w:cs="arial"/>
          <w:color w:val="000000"/>
          <w:sz w:val="20"/>
          <w:lang w:val="en-US" w:eastAsia="en-US" w:bidi="ar-SA"/>
        </w:rPr>
        <w:t xml:space="preserve">, </w:t>
      </w:r>
      <w:hyperlink r:id="rId536" w:history="1">
        <w:r>
          <w:rPr>
            <w:rFonts w:ascii="arial" w:eastAsia="arial" w:hAnsi="arial" w:cs="arial"/>
            <w:i/>
            <w:color w:val="0077CC"/>
            <w:sz w:val="20"/>
            <w:u w:val="single"/>
            <w:shd w:val="clear" w:color="auto" w:fill="FFFFFF"/>
            <w:lang w:val="en-US" w:eastAsia="en-US" w:bidi="ar-SA"/>
          </w:rPr>
          <w:t>R.S.B.C. 1996, c. 238, s. 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I also agree with counsel for the plaintiffs when he suggests that the interpretation of the relevant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xml:space="preserve"> urged by counsel for Mr. Duncan is not remedial but injurious as it would require parties to make applications to the court before service that are unnecessary, awkward, and expensive. I also agree with counsel for the plaintiffs' point that the object of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xml:space="preserve"> is to "secure the just, speedy and inexpensive determination of every proceeding on its merits": Rule 1-3(1).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It is my view that, before service, the general power of amendment under Rule 6-1 should govern and then no inconsistency arises with respect to Rule 6-2(7). It is only after an action is served that an application to add a party as a defendant should be made, as the other parties to the action would only then have a say as to whether the party should be added.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xml:space="preserve"> do not require the proposed party to be served or entitled to have a say before he or she is added.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Estoppel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Because of my finding above, I do not find it necessary to deal with this issue raised by counsel for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I should mention, however, that counsel for Mr. Duncan does not deny that it was the Law Society of B.C. as represented by the Lawyers Insurance Fund which now applies on behalf of Mr. Duncan. The plaintiffs point out that it was the Law Society itself which suggested that the plaintiffs not add a claim in solicitor's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that they not serve the action until such claim could be sorted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 agree with counsel for the plaintiffs that if the Law Society recommended such a claim not be added at the time of filing but could be added later, the Law Society cannot now be allowed to argue that it is a nullity when such a claim was added to this action at a later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Under these circumstances, even if counsel for Mr. Duncan is correct and Mr. Duncan should not have been added without an application to court, I would have found the amendments to not be a nullity, but rather an irregularity which can and ought to be cured by allowing the action to proceed as amended.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Limitation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In both parties' written submissions, I received some interesting arguments as to whether or not the limitation period has expired against Mr. Duncan in this case. As a result of my previous finding, I do not find it necessary to canvass this issue, although I must admit that I find the submissions of Mr. Duncan that the limitation period has not expired to be quite compelling.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Severance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As an alternative argument, Mr. Duncan's submissions outline several reasons as to why the solicitor's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claims against him should not be added or joined to the defamation proceedings. However, in light of my finding to allow the action to proceed as amended, I pause to note that Mr. Duncan still has an opportunity to apply for severance of the claims against him, if he wishes.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application is dismissed with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Given the complexity and novelty of this unique situation, I would like to take this opportunity to thank counsel for their very helpful submissions in this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S.R. ROMILLY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55" style="position:absolute;z-index:25188249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37"/>
          <w:headerReference w:type="default" r:id="rId538"/>
          <w:footerReference w:type="even" r:id="rId539"/>
          <w:footerReference w:type="default" r:id="rId540"/>
          <w:headerReference w:type="first" r:id="rId541"/>
          <w:footerReference w:type="first" r:id="rId54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43" w:history="1">
        <w:r>
          <w:rPr>
            <w:rFonts w:ascii="arial" w:eastAsia="arial" w:hAnsi="arial" w:cs="arial"/>
            <w:b/>
            <w:bCs/>
            <w:i/>
            <w:color w:val="0077CC"/>
            <w:kern w:val="32"/>
            <w:sz w:val="28"/>
            <w:szCs w:val="32"/>
            <w:u w:val="single"/>
            <w:shd w:val="clear" w:color="auto" w:fill="FFFFFF"/>
            <w:lang w:val="en-US" w:eastAsia="en-US" w:bidi="ar-SA"/>
          </w:rPr>
          <w:t>Buchy v. Villars, [2008] B.C.J. No. 551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R.J. Bauman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18-22 and 25-29, July 9-13, December</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3-7 and 10-12,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1,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C996597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[2008] B.C.J. No. 551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2008 BCSC 385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166 A.C.W.S. (3d) 195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Dennis Wayne Buchy, Plaintiff, and Kevin Villars and Shelter Island Restaurants Ltd., and Shelter Island Restaurants Ltd. doing business as Tugboat Annies also known as Maritime Pub,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(145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56" style="position:absolute;z-index:2516858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76" w:name="Keywords_24"/>
      <w:bookmarkEnd w:id="176"/>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Standard of care — Intoxicated persons — Liability of alcohol provider — Action for personal injuries suffered in assault — Defendant bartender evicted plaintiff after plaintiff got into fight in pub — Plaintiff resisted and suddenly attacked bartender — Bartender struck plaintiff once, causing him to hit pavement resulting in traumatic brain injury — Action dismissed — Defendant acted in self-defence — No evidence plaintiff was overserved or exhibited signs of intoxication.</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Trespass — To person — Assault — Battery — Action for personal injuries suffered in assault — Defendant bartender evicted plaintiff after plaintiff got into fight in pub — Plaintiff resisted and suddenly attacked bartender — Bartender struck plaintiff once, causing him to hit pavement resulting in traumatic brain injury — Action dismissed — Defendant acted in self-defence — No evidence plaintiff was overserved or exhibited signs of intoxication.</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Defences — Self-defence — Action for personal injuries suffered in assault — Defendant bartender evicted plaintiff after plaintiff got into fight in pub — Plaintiff resisted and suddenly attacked bartender — Bartender struck plaintiff once, causing him to hit pavement resulting in traumatic brain injury — Action dismissed — Defendant acted in self-defence — No evidence plaintiff was overserved or exhibited signs of intoxication.</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77" w:name="Case Summary_23"/>
            <w:bookmarkEnd w:id="17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for personal injuries suffered in an assault. After drinking, plaintiff got into a fight at a pub. Defendant Villars, a bartender, escorted plaintiff out of the pub and waited outside to ensure plaintiff left the property. A fight ensued when plaintiff suddenly punched Villars several times. Villars threw one punch at plaintiff. Plaintiff hit his head on the pavement and suffered a traumatic brain injury. Plaintiff sued Villars and the pub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battery. Defendant pleaded self-defence.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78" w:name="Holdings of Court_16"/>
            <w:bookmarkEnd w:id="178"/>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Court accepted that the dynamics of the altercation in the parking lot were as descried by Villars. The evidence established that Villars struck plaintiff in response to plaintiff's attack on him in an effort to repel the attack. While the blow by Villars had devastating consequences, the force applied was reasonable in the context of plaintiff's attack and the relative size and strength of the combatants. Although plaintiff's blood alcohol level was above the legal limit at .20, he showed no signs of intoxication. There was no evidence that plaintiff was over-served. Villars was reasonably assisting the plaintiff to leave the pub and return home safely. Villars lawfully ejected plaintiff for fighting. The risk of harm associated with laintiff suddenly turning on Villars and the need for the latter to repel his attack was not foreseeable in the circumstances of the relationship between the two men in the past.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79" w:name="Legislation Cited_21"/>
      <w:bookmarkEnd w:id="17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57" style="position:absolute;z-index:2517370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Liquor Control and Licensing Act, R.S.B.C. 1996, c. 267, s. 46(1)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80" w:name="Counsel_26"/>
      <w:bookmarkEnd w:id="180"/>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58" style="position:absolute;z-index:2517882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J.M. Prodor and J.M. Cameron.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A.L. Eged, K.S. Duffield and J. Bogardus.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81" w:name="Judgment_26"/>
      <w:bookmarkEnd w:id="181"/>
      <w:r>
        <w:pict>
          <v:line id="_x0000_s1159" style="position:absolute;z-index:25183744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5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82" w:name="R.J. BAUMAN J."/>
            <w:bookmarkEnd w:id="182"/>
            <w:r>
              <w:rPr>
                <w:rFonts w:ascii="arial" w:eastAsia="arial" w:hAnsi="arial" w:cs="arial"/>
                <w:b/>
                <w:color w:val="000000"/>
                <w:sz w:val="30"/>
                <w:lang w:val="en-US" w:eastAsia="en-US" w:bidi="ar-SA"/>
              </w:rPr>
              <w:t>R.J. BAUMAN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Dennis Wayne Buchy worked in the construction industry as a steel stud framer.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He lived aboard a boat that he was restoring at the Shelter Island Marina in Richmond.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Tugboat Annie's is the pub attached to the marina. There, on a quiet Sunday evening on 11-12 April 1999, Mr. Buchy got into a minor dispute with his drinking pal, Brian Sereda.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Buchy was escorted out of the pub by the bartender Kevin Villars. In the parking lot a fight ensued between the two. Villars threw only one punch. Tragically it landed with devastating consequences for Dennis Buchy.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Mr. Buchy sues in assault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Mr. Villars pleads self-defence and the defendants generally deny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their part.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Liability is the major issue. So too are the nature and full extent of Mr. Buchy's injuries and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 will briefly identify the principal characters.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Buchy was 48 years old in April 1999. He is approximately 6' tall. At the time he weighed about 200 lbs. He was relatively physically 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Brian Sereda was a friend of Mr. Buchy's. He lived aboard his own boat at Shelter Island Marina. He is significantly shorter and lighter in stature than Mr. Buchy. The two often drank beer together and they played pool regularly at Tugboat Annie's, a quiet marina-side pub popular with the live-aboards at the marina and residents in the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Duane Laviolette also lived aboard his boat in 1999 at the marina. He was a casual acquaintance of Buchy's and Sereda's.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three men did not usually socialize together although, on the night in question, they were playing pool and sharing a few beers in the pub.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Kevin Villars was the bartender that night at Tugboat Annie's. He immigrated to Canada from Missouri.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Villars is a big man, 6'4" and 215 lbs in 1999. He is a former professional football player, having played for the British Columbia Lions for several seasons in the mid to late 1980s. He also played and coached football in Europe.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Villars is married to a Canadian woman. He currently resides in Blaine, Washington. There, he works with mentally handicapped adults and he commutes to Richmond and still works shifts at Tugboat Annie's.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It is relevant to the events which I will relate to note that Mr. Villars is an African-American.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Daryl Kellett was the cook on duty at Tugboat Annie's on 11-12 April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These are the five principal witnesses to the events that evening. Mr. Kellett had a very limited view of the incidents. Mr. Buchy, unfortunately, has absolutely no memory of the weeks around the evening in question. Mr. Sereda was, I find, fairly intoxicated that night and his evidence should be given little, if any, weight.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 record this evidence from Mr. Sereda's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Yeah. Now, sir, safe to say, and I think this is the word you used earlier on today, that you were kind of inebriated when all this was happening? And what I mean "all this" is I mean when you were knocked down and what happened after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Yeah, I was pretty drunk.</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you're telling [the police] the truth you didn't -- you don't remember seeing [the Plaintiff] get hit or fall back?</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probably true.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you don't remember it now?</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Yeah.</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Yeah, okay. It's safe to say, Mr. Sereda, that you've got a very bad recall about what happened from about 11 o'clock on that night, wouldn't you agree with me?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would say it's pretty close.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What I'm say is pretty close?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Yeah.</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That leaves us with the two critical eyewitnesses, Duane Laviolette and Kevin Villars, although Mr. Kellett's limited evidence does contain some important points.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 will begin relating the chronology from the perspective of Mr. Laviolette.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Laviolette is now 56 years of age and he owns two clothing stores in the Steveston Area. At the relevant time he was living aboard his boat at Shelter Island Marina.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Laviolette liked to walk up to Tugboat Annie's to play free pool on Sunday and Monday evenings. He said at trial that the pub had a "Cheers" like atmosphere and that there was a group of 20 or so men and women who enjoyed pool and beer on these occasions.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On his way to the pub for dinner that Sunday evening at about 7:30 or 8:00 p.m., Mr. Laviolette passed Mr. Buchy and Mr. Sereda on the latter's boat. They greeted each other and Buchy and Sereda indicated that they would come up to the pub later to play pool.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Laviolette said that Mr. Buchy had a beer in his hand and that he was in a "very jovial mood".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Laviolette was only casually acquainted with Messrs. Sereda and Buchy, having only met Mr. Buchy on one or two occasions before that night.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It was Mr. Laviolette's evidence that he went up to the pub, ate dinner and drank a pint of beer over the course of the meal. He then started playing pool.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According to Laviolette, Buchy and Sereda arrived in the pub around 9:30 p.m.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Laviolette described the two men (T. 19 June 2007, p. 7, ll. 13-26):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When they came in Tugboat Annie's and saw you, what if any observations did you make about the condition they seemed to be in, both mood and/or whether they had seemed to have been drinking?</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I gathered they had been drinking. I basically knew that that's what they were doing down on the -- on Brian's boat before they got there, not that I'd physically seen them, but it was kind of obvious. They were jovial, but they were both in very good -- you know, good mood.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They were getting along with each other?</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both seemed to be in good spirits?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three men ordered a jug of beer and proceeded to play pool over the course of the next two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According to the evidence, a jug of beer contains three pints and the three men shared two jugs over this period, each man consuming about two pints.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three men played approximately 20 games of pool and while Buchy and Sereda had been drinking, according to Laviolette, their pool-play was very accurate; the two "were doing a good job of playing a fairly skilled game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Villars was the on-duty bartender that evening. Mr. Laviolette had never had any difficulty in the past as a patron with Mr. Villars.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bar stopped serving at about 11:00 p.m. that evening with actual closing around 11:30 p.m. Mr. Laviolette said that at cut-off he was "feeling ok" and that he did not think that Mr. Sereda and Mr. Buchy were "that intoxicated".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Laviolette's evidence then continues (T. 19 June 2007, p. 11, ll. 5-32):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three of us were sitting at -- at the bar part right beside the pool table and Brian was sitting right next to Dennis. I was on the other side on a corner, so I wasn't directly beside them, and we were talking about how nice it is being on the water, boating -- Brian and I were -- and we were mentioning about waking up in the morning and seeing the ducks, and the geese and that swimming around the boat and just what a wonderful experience it was living down there and Dennis, who had had his boat in the yard up on -- having it repaired for the last year-and-a-half or so, sort of took offense to it.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Like he -- as I remember him saying, "You guys and your ducks," or actually used a four letter word before that and, you know, "I'm sitting up there in the yard and" -- you know, "What do you know?" and then he mentioned to Brian something about the fact that, "You don't take your boat out anyway, so what do you know about" -- "You call yourself a boater," or whatever, "but you never take you boat out," and they were just joking back and forth.</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It wasn't -- they weren't yelling at each other. It was kidding -- more kidding around. I remember -- and Dennis gave Brian a shove and Dennis [</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 flew off the chair because he's not a very big guy.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Sereda ended up on the floor and his pint glass of beer broke.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Laviolette was asked if this incident led to a fight between Sereda and Buchy. He responded "not that I recall no", and further (at T. 19 June 2007, p. 13, ll. 21-36):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what did happen next?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believe they were still laughing and joking about it. Brian Sereda was trying to get up off the floor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Did you --</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and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Did you notice when he was trying to get up off -- you say trying to get up off the floor. What if anything do you think was hindering that process for him?</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He was just down and trying to get up. He was -- he was kind of squashed halfway in-between the chair that fell over and the pool table.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then what happened next, sir?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Kevin came -- Kevin Villars came over and said, "That's it. You guys have to leave."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It is Mr. Laviolette's evidence that Mr. Villars then escorted Mr. Buchy out the two sets of doors to the parking lot. He indicated that he and Sereda were still in the pub "following along behind". But I infer that Sereda and Laviolette did not immediately follow Villars and Buchy outside. There was an interval because on Laviolette's evidence (T. 19 June 2007, p. 14, ll. 22-24):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Kevin had gone outside. Kevin Villars had gone outside with Mr. Buchy and they were having a discussion outside when we came out the door.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 now reproduce a significant portion of the transcript covering Mr. Laviolette's evidence on the actual minutes outside the bar (T. 19 June 2007, p. 14, l. 35 to p. 17, l. 40):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Kevin was standing right at the door and -- Kevin Villars and Brian -- I mean and -- sorry, and then Dennis was standing down off the steps a bit to his right.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I take it from what you've told us that yourself and Mr. Sereda then exited.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Can you tell His Lordship what transpired then and tell it slowly as it unfolded over those next few minutes?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Dennis started calling -- made some - calling Kevin a lot of names, saying, you know, that he spent a lot of money at the bar and that sort of thing and Kevin had told him that he was -- he was barred, that he couldn't come in anymore.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heard Kevin tell Mr. Buchy that you were barred from coming here anymore?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and that's when -- when Dennis Villars took -- he took exception to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 you've mentioned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Or Mr. Buchy, rather. Sorry. I have a hard time with the last names.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CAMERON: That's all right.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It's okay.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CAMERON: That's all 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 you have mentioned that it had been a discussion and I notice now you're saying that it had become more heated. Did you see what sort of triggered that escalation?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 was him -- it was Kevin telling Dennis he was barred.</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as it escalated, you've just told us that Mr. Buchy, Dennis, began to use profanities and get upset with Mr. Villars.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Yeah, he used racial -- racial slurs and called him names and --</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Do you recall what he might have said to Mr. Villars and just so you know, it's all right to say it. This court has heard everything there is to hear.</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Right. Yeah. Well, he just said, "I'm going to take a piece of you, you black bastard."</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 when that was happening, was Mr. Villars still standing -- Kevin -- with the doors behind him to the pub?</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How far away was Mr. Buchy at that point?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would say he was probably about eight feet away.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 your opinion, when you were watching this unfold where Mr. Villars was standing and where Mr. Buchy was standing as they had this argument or discussion, was there opportunity for -- to you, do you believe, to Mr. Villars to just turn around and walk back into the pub and lock the door?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After this argument escalated and Mr. Buchy said the things you told us, what happened next?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that's when Brian and I tried to convince Mr. Buchy just to go home and we said, "Just forget it. Let's go back to the boat, have a beer down there. It's not worth it." You know, "Let's just go home," and then Dennis turned. We thought he was going to follow us.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 I'll pause you for a second there. So at this point where you three -- or both of you, Mr. Sereda yourself began talking to Dennis. In your words, attempted to calm him down.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Mm-hmm.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Was this also a period of time in which Mr. Villars, to your understanding, could have also left and locked the door?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What happened next?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Dennis what I would characterize as snapped. He just became very agitated, went into a fighting stance. He brought his hands up and he charged at Kevin Villars.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Dennis charged towards Mr. Villars, what did Mr. Villars do?</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He guarded himself. He kind of -- I think he was taken by -- a little bit by surprise. He didn't jump out of the way or try to swing that I noticed. He didn't even put hands up. He just kind of like stepped aside, and Dennis swung wildly a couple of times and as far as I could see, I didn't even see him make contact with Kevin.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 when you say swung wildly, do you mean wild in the sense that it was frantic movements or do you mean wild in the sense of that it did not come near the target, or what do you -- what do you mean by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EGED: We're getting into a dicey area here, My Lord, and I understand my friend is trying to do the best he can with respect to not leading this witness, but he is, I notice, starting more and more to put suggestions to him about options of what happened. I would ask my friend to just ask plain old open-ended questions here.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CAMERON: I take my friend's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What do you mean when you say "swung wildly"?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It's at that point or when all this started to take place and Dennis decided to make this move towards Kevin that I myself thought, wow, I didn't realize he was that intoxicated. Like it was obvious to me at that point in time just how intoxicated Dennis was because to see him swing the way he did and so kind off-balance, I thought he would then -- he's a big guy and I thought he would handle himself better in his attack.</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 you've said that you felt at that time that he was more intoxicated than you had previously believed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and you say that you thought he looked</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off-balance?</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Was there anything else in the way in which he made his attack, as you described it, that made you think that?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after he took the swings at Kevin, he lost his balance, staggered down off the -- the minor stairway there, the little step, and back and probably took four or five steps almost backwards, falling off balance where I thought he was going to actually fall right down on the ground, but he kind of regained his footing and by this time, he's back probably by fifteen feet from the door and he regained his stance. He put his -- he refocused because he wasn't focused, and I could tell that he was trying to line his eyes up to his target. He brought his hands up in a fighting stance again.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I notice you're holding your two hands up in front of you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fists clenched.</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this is what you say Mr. Buchy was doing at that time?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then what happened next?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Then Kevin, I guess, saw an opportunity because it was obvious he was going to get attacked again, and he took about three steps down from the stairs in a forward motion and hit Dennis once.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Mr. Buchy was severely injured when his head hit the pavement and he spent months hospitalized. He has suffered a traumatic brain injury and, on any version of the evidence and the submissions of counsel, the altercation has had a catastrophic effect on his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At the end of his examination in chief, Mr. Laviolette was asked to re-enact the last part of the altercation.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Counsel described it for the record so (T. 19 June 2007, p. 20, l. 33 to p. 21, l. 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CAMERON: Yes. For the record, the witness has indicated that he, in the role of Mr. Villars, is standing some eight feet away from my co-counsel, who is standing in the place of Buchy, and that the witness has indicated that the -- that Mr. Villars -- has acted out Mr. Villars stepping forward some three or four paces with a cocked right arm and at some -- and then swinging that arm towards the face of my co-counsel, acting out as best he can from his recollection how this blow was struck at the time, and that's my description. I allow my friend to describe it as well.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Anything you want to add?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EGED: It just seemed to be more like four or five paces to me, My Lord, but I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Sure.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EGED: -- wasn't counting.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Well, let's ask the witness. In actuality, apart from your re-enactment, how many paces did you recall the defendant, Villars take towards the plaintiff?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WITNESS: Four -- about three to four steps, Your Honour.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On cross-examination Mr. Laviolette was referred to his statements to police on the evening in question and later on 7 June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 record this exchange (at T. 19 June 2007, p. 27, ll. 2-16):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and did -- and you appreciated that one of the matters the police were concerning themselves with was Mr. Villars having to defend himself.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you told the police that in your opinion, he was defending himself.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correct.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that was true then. Correct?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it's true now, isn't it?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 it's safe to say that Mr. Buchy was quite angry at Mr. Villars?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Mr. Laviolette, of course, was not expressing a legal opinion on the issue of self-defence -- he was offering a lay-person's overall perception of the dynamics of the altercation between Mr. Buchy and Mr. Villars. As such, it is an important piece of evidence. Overall, Mr. Laviolette considered that Mr. Villars was in the position of defending himself from Mr. Buchy's assaults. I should note that later in the cross-examination of Mr. Laviolette, counsel for the plaintiff complained that Mr. Laviolette did not in his statement actually tell police that he thought Mr. Villars was acting in self-defence and that this questioning was accordingly unfair.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This matter was not pursued any further in the record.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 have considered the fairness issue in considering the weight I would give this aspect of Mr. Laviolette's evidence. In my view, it is important that Mr. Laviolette fully agreed at trial that in his opinion Mr. Villars was defending himself.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Mr. Laviolette also agreed with counsel that the attack on Mr. Villars by Mr. Buchy was "very sudden" and "unexpected".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events leading up to Mr. Buchy's ejection from the pub were reviewed again with Mr. Laviolette on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 particular, Mr. Laviolette was asked if he could have gone to the washroom after he was told to leave the bar. Mr. Laviolette responded: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That's quite possible. It wasn't a big thing in my mind so I didn't, you know, recall.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At T. 19 June 2007, p. 40, l. 24 Mr. Laviolette was asked about the racist comment made by Mr. Buchy when the parties were outside the pub. I reproduce these questions and answers: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 you recall and you testified that Mr. Buchy made a racist comment to Mr. Villars.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you'd agree with me that Mr. Villars was not phased by that comment?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Didn't have any reaction to it. No.</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he didn't become angry?</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 sir, would you agree with me that Mr. Buchy swung two or three times at Mr. Villars?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At least two times. Twice I've seen.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Excuse me, sir?</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He took at least two swings at --</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Mr. Villars.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sir, you don't know if any of those swings connected with Mr. Villars because you were standing behind -- directly behind Mr. Buchy when the swings were thrown.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one or more of those punches could have landed.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It's possible.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just didn't see because of the angle you were at.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Mr. Laviolette was also questioned closely about his second statement to police to the effect that Mr. Villars swung at Mr. Buchy with his left hand.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In his original statement Mr. Laviolette said that Villars made a right-handed punch (at T. 19 June 2007, p. 45, ll. 11-31):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What brings you around to thinking it was his right again?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Try -- I tried to re -- rethink the motions that -- that Kevin went through when he came down off the steps, when he took the steps downwards and what his body movements were and -- and just the way that the hit happened, but I don't -- you know, I honestly can't remember why I was confused on the right or left hand and I know I -- I seen him hit him, but as far as which swing he had, I don't know. Maybe I was thinking that -- that Kevin was left-handed and it must have been his left hand even though at first, I thought he hit him with the right hand.</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Is it safe to say, sir, you're not sure which hand he hit him with?</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Not a hundred percent sure. No.</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One punch. That's all.</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correct.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Nothing else?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This brings us to the critical evidence of Kevin Villars. According to Mr. Villars, around 11:00 p.m. it was quiet in the pub. The only people present were Laviolette, Buchy, Sereda, Kellett and someone else in the kitchen. Villars and Kellett were at one end of the bar. Villars had just poured himself an end-of-shift beer and he had taken a couple of sips out of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In examination-in-chief Villars said that at this point he heard a glass break and the sound of a stool falling over. He ran down to the other end of the bar (T. 10 July 2007, p. 23, ll. 10-41):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They'd be about right here, because this chair had fallen over, and they were right here on the floor, Dennis on top of Brian.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Now, is Dennis actually sitting on Brian, or how was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He was straddling him.</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Straddling him?</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bent over at the waist straddling, punching down?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what did you do?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came from behind and I pulled him off and I was like, okay, you gotta go, because you can't be fighting in here.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What do you mean pulled him off?</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just came from behind and just -- you know, just grabbed him. He -- he wasn't concerned with me. He was concerned with trying to hit him. So I just pulled him off of him, broke the fight up, and then I was like saying, okay, you gotta go, you gotta go, and he was like, you know, don't touch me, don't touch me, except he was swearing.</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slow down -- slow down, Mr. Villars. We're all trying to take notes here.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sorry.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Tell us exactly what Mr. Buchy said, as you were lifting him off of Mr. [Sereda].</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Once I got him off and I said come on, man, you gotta go, you can't be fighting in here, his -- his remarks were don't fucking touch me, don't fucking touch me.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Mr. Villars said that he then took his hands off Mr. Buchy and tried to "corral him out the door", which he successfully did. Mr. Villars then came back into the pub, having advanced as far as the second set of doors.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Mr. Villars at trial stated that Mr. Buchy pushed the doors "really hard" as he left the pub.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Mr. Villars got about eight feet into the pub when Mr. Buchy came back into the pub. I reproduce this portion of Mr. Villars' evidence (T. 10 July 2007, p. 25, l. 38 to p. 26, l. 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And when you say he came back in, what do you mean he came back, what do you mean by that?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He came back in and I heard the doors open, so I turned around and he's back in the pub.</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Is he inside the second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He's inside -- he's inside the first set and the second set, and he's right -- like when I -- when I turned around he was right there trying to get back in, like all the way back in.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what did you do?</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I told him no, man, you gotta go, and then he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what did -- okay. You told him no, man, you gotta go, and what did you do?</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I tried to -- I was corralling him, like I did at first, and I said no, you can't come back in, you have to go.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So this time when he goes out he shakes the set of doors, like he's -- his -- his temper is escalating, so he shakes the first set of doors really hard and he goes and opens them, so I'm like okay, so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 how does he open the second set of doors?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mean to go outside outside? The first set of doors he goes, he shakes them really hard and he pushes them open, like he's just doing this and he pushes them open. So then he goes through the second set of doors and he just pushes those open, so I go outside with him and try to calm him down.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It was Mr. Villars evidence that he had previously had to discuss with Mr. Buchy his conduct in the pub and that he had successfully reasoned with him about an incident where Mr. Buchy had pinched a woman passing the end of the bar.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After he accompanied Mr. Buchy out for the second time, Mr. Villars went outside with him (T. 10 July 2007, p. 27, l. 2 to p. 28, l.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Why did you go outside, Mr. Villars?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went outside to try to de-escalate the situation. He was noticeably upset. In the past I've been able to talk to him and, you know, there was never a problem, it never escalated, so I just figured that I could talk to him and that he could calm down. He was obviously trying to get back in at Dennis. He was still mad at Dennis. I believe that's why -- I'm assuming that's why he came back in the bar. I already told him he couldn't be in there, so -- but as we were outside his -- his anger turns towards me.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What was -- when you took him out, and he came back in, and you took him out again, did he say anything to you?</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Not that I can remember. He was saying some stuff. I don't really remember what he was saying until we got outside the bar.</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So when you get outside the bar what do you remember him saying to you?</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he was saying I can't believe you're kicking me out, I don't know why you're kicking me out, I wasn't doing anything. I can't believe -- this is bullshit, I spend way too much money in there for you to be treating me like this. And he says things along those lines, and he just kept repeating that over and over.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 what sort of tone was he saying these things?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He was yelling and as he repeated them he -- you know, each time he repeated it got higher. He just -- I don't know, he just -- 'cause I couldn't understand why I'm -- I -- he wasn't fighting -- he wasn't fighting with me. He was fighting with Brian, and I can't understand why he would say he didn't understand why I was kicking him out, because he was fighting, so it was just -- he was just yelling and not making a lot of sense.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what were his body actions after you got out the door?</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He was walking back and forth, pacing and yelling these things to me.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what were you doing?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was just standing by the door, hoping he'd calm down. I tried -- I was talking to him at first and then that didn't seem to be working, so I figured that, you know, if I let him vent then he'd calm down and leave.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We now come to the critical moments of the evening.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Mr. Villars stated that at this point Mr. Buchy is not staggering. He is yelling and not slurring his words. "He's noticeably upset".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two were joined by Sereda and Laviolette coming out of the pub. Those two men tried to calm Buchy down (T. 10 July 2007, p. 33, l. 3 to p. 35, l. 42):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I'm going to try and do this the best I can, Mr. Villars. So just, please, walk us through that again slowly and -- and we'll kind of get it on the record that way.</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So they turned to me. I go to grab this door right here. As soon as I grab the door, I don't even get it open, he rushes me, hits me in the jaw, the left side.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Do you see which hand he hits you with?</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I didn't. It was just -- it was just like -- he was on me like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About what distance away from you were they --</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About five, six feet.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when --</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About five or six feet.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then, sorry, after you got hit in the jaw --</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Mm-hmm.</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what happened next?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Then I got hit in the chest.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Could you tell who it was that was hitting you?</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Yeah. It was -- it was Brian -- I mean it was Dennis.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Dennis Buchy?</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so you get hit in the jaw, hit where?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 the chest.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Where in the chest?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 the -- like right in the -- kind of in the middle.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what kind -- well, how are you --</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 punch.</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 punch?</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Yeah.</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Can you tell which hand he's hitting you with --</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either time?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And what happens to your body positioning?</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 pushes me from -- away from the door --</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to this part of the building, in between the window and the door.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And you're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EGED: Sorry, the witness is indicating, My Lord, a -- I guess that's a vinyl siding section, between the door and the window to the 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Go ahead.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So at this time I'm turned around and I'm facing this way and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You're facing which way?</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I'm facing the vinyl siding.</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Go ahead.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And then he pushes me and I'm off balance and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How does he push you?</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With a two-hand push.</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Where?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 the chest.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In which direction does he push?</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He pushes me towards the river. My back is to the river.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when he pushed me all I could think is that my back was getting ready to hit the top of this light, and I'm thinking that -- you know, that I'm going to be hurt, so --</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Hold on, Mr. Villars. That light you're indicating is a light immediately to the right of the doors?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Yeah, this one, yes.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And how -- how -- how tall is that light?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Three-and-a-half feet.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And just -- and what's the distance between that light and that siding, the building there?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About four feet.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there's a little garden area there?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With the bushes?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Go ahead.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at this time I'm -- I'm just thinking I don't want my back to hit this -- the top of that light post, so I bow down like this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You've got to slow down here.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bend over a little bit?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Yeah, I bend over a little bit, yeah.</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From the waist?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And what do you do then?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then I let my top hip hit -- hit this post, you know, like bump -- something is going to hit, so I let my hip hit instead of my back. I hit, spin off into the parking lot.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CLERK: You just want to keep your voice up.</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EGED: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So you -- you were saying you spin off, excuse me, into the parking lot?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So I spin off into the parking lot and it knocks me off balance and whatever many revolutions, I'm not sure. I'm in the parking lot and I have to put one hand down, because I'm getting ready to fall, and then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Which hand did you put down?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put my right hand down.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Did it actually touch the pavement?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it did, because otherwise I would have fell.</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I put my hand down and as soon as I get my hand down he is charging me.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Now, you're indicating --</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He's already charging me.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You're indicating that your hand is down and he's -- you're indicating that he's coming at you from your -- directly from your left?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which direction is he coming at you from?</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He's coming at me from the door.</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Go ahead.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So once I, you know, stopped myself from falling I look up and he's right there on top of me.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at this point I don't know what he was going to do. He's coming at me, so I just was able to push myself up and just take -- and hit him once, and he just would have -- it wasn't thought about it. It was just a reaction, just so he could -- he wouldn't be on me, because I know if he got on me, I'm off balance, I don't know what he would have did, kicked me, whatever, so I just wanted to get him off me.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Mr. Villars clarified at trial that he did not see Mr. Buchy charge him because "I am spinning and off balance, and I put my hand down and he is already there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Mr. Villars at trial specifically denied that Mr. Buchy staggered badly backwards after the first altercation or that he, Villars, took a number of steps before striking the one blow.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After Mr. Buchy fell to the ground Mr. Villars re-entered the bar, complained to Kellett that he had injured his hand and called 911. Police and ambulance personnel soon arrived.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Mr. Villars was questioned by police and he voluntarily gave a number of statements. He was never charged with an offence.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On cross-examination, counsel focussed on three alleged inconsistencies between versions of the incident given to police, at the time of Mr. Villars' examination for discovery, and in his testimony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These inconsistencies are said to be quite significant. I will deal with them in turn when I resolve the issue of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They include:</w:t>
      </w:r>
      <w:r>
        <w:rPr>
          <w:rFonts w:ascii="arial" w:eastAsia="arial" w:hAnsi="arial" w:cs="arial"/>
          <w:sz w:val="20"/>
          <w:lang w:val="en-US" w:eastAsia="en-US" w:bidi="ar-SA"/>
        </w:rPr>
        <w:cr/>
      </w:r>
    </w:p>
    <w:p>
      <w:pPr>
        <w:numPr>
          <w:numId w:val="1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suggestion that previous statements by Mr. Villars did not include the evidence he gave at trial that Mr. Buchy, in the bar, was straddling Mr. Sereda and punching down on him;</w:t>
      </w:r>
    </w:p>
    <w:p>
      <w:pPr>
        <w:numPr>
          <w:numId w:val="1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suggestion that Mr. Buchy came back into the bar after Mr. Villars initially escorted him out; and</w:t>
      </w:r>
    </w:p>
    <w:p>
      <w:pPr>
        <w:numPr>
          <w:numId w:val="1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suggestion that on leaving the bar the second time, Mr. Buchy violently shook the two sets of exit doors.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 turn to the evidence of Daryl Kellett, the cook that evening at Tugboat Annie's.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He related that he was drinking a beer with Mr. Villars at the end of the evening. He heard a scuffle break out and a glass break. He testified that he watched as the defendant Villars went to the area of the disturbance and pulled Mr. Buchy off Mr. Sereda.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He watched as Mr. Villars escorted Mr. Buchy out of the pub and he stated that Mr. Buchy was agitated and angry, telling Villars to "get your fucking hands off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Mr. Kellett said that Mr. Villars then stopped touching Mr. Buchy and calmly escorted him out of the bar. At that point, Mr. Kellett went into the kitchen to get a broom and dustpan to clean up the broken glass. When he returned to the pub itself, no one was there. He stated that Mr. Villars came in four to five minutes later, complained that he broke his finger, put his hand on ice and called 911.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Mr. Kellett, on cross-examination, indicated that he did not recall the plaintiff coming into the bar again or mishandling the exit doors.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credibility of the two principal witnesses to the incidents that evening is, of course, important.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As to the dynamics of the altercation in which the critical punch was thrown, the versions offered by Mr. Villars and Mr. Laviolette are different in a number of significant respects.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 will first deal with Mr. Laviolette. He is an independent witness who could not be said to be a close friend of the plaintiff's. I have no hesitation in saying that Mr. Laviolette has endeavoured throughout to truthfully recount the events of that evening.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 do however have concerns with the reliability of a number of his reported observations.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First, I note that Mr. Laviolette had consumed some beer that night -- apparently three pints over the course of the evening. This is not a lot of alcohol but it is a factor to consider in testing the reliability of Mr. Laviolette's recollections.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Second, Mr. Laviolette tended to downplay the anger of the plaintiff in his altercation with Mr. Sereda. I doubt this evidence. Mr. Laviolette said that Mr. Buchy "gave Brian a shove" and he "flew off the chair" (the transcript says "Dennis flew off the chair" but Mr. Laviolette obviously meant to say this of Mr. Sereda).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This suggests a certain amount of violence on the part of Mr. Buchy.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As well, Mr. Buchy was obviously quite angry at this point -- witness Mr. Kellett's evidence that Buchy was agitated and angry and told Villars to "get your fucking hands off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Mr. Laviolette did not relate that Mr. Villars had to pull Mr. Buchy off the fallen Brian Sereda. Mr. Villars' evidence to this effect is corroborated by Mr. Kellett.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Mr. Laviolette could not recall if he went into the bathroom at this point in the evening before leaving the pub. Villars thought that he had and Mr. Laviolette thought that that was quite possible; that it's "one of those details that fades with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Turning to the events outside the pub, Mr. Laviolette was adamant that Mr. Villars strode towards Mr. Buchy before throwing the punch. Mr. Laviolette demonstrated for the Court that Mr. Villars advanced on Mr. Buchy with a "cocked right arm ... then swinging that arm towards [Mr. Buchy]". Yet, as we have seen at one point shortly after the incident, Mr. Laviolette thought that Mr. Villars struck Mr. Buchy with his left hand.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Again, I note in Mr. Laviolette's explanation quoted above that "... I tried to re-think the motions that -- that Kevin went through when he came off the steps, when he took the steps downwards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 fact is, as the photographic evidence makes clear, there are no steps at the front entrance to the pub. There is only the curb drop.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This type of inconsistency is to be contrasted with the certainty with which Mr. Laviolette maintained his version of the incident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 actual fight outside the pub clearly happened quickly. One must remember this, and the well-known frailties associated with eye-witness evidence, when one weighs the reliability of the details which Mr. Laviolette relates.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Finally, I doubt the reliability of Mr. Laviolette's recollection that Mr. Buchy, outside the pub, suddenly was staggering and showing signs of significant intoxication.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Mr. Samila, an expert Alcohol Analyst, agreed with counsel on cross-examination that a seasoned drinker, with a resulting tolerance to alcohol, can function quite normally at the 200 mgs/100 mls level. I find that this describes Mr. Buchy that evening.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Mr. Samila further testified that with a seasoned drinker one would not expect the subject to show no signs of intoxication followed by sudden staggering and stumbling.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As to Mr. Villars, I found him to be a truthful man who gave his evidence in a frank and straightforward manner. Of course I appreciate that he is vitally interested in the outcome and I have assessed his evidence in the light of that self-interest.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Counsel submits that on his discovery Mr. Villars gave false evidence in denying that he had been sipping a beer on the job at the end of the evening. I do not conclude that this was intentionally false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Mr. Villars, at trial, maintained that he had simply forgotten this point and he did admit it to the police in his statement after the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 will deal next with what counsel suggested were the very important inconsistencies in Mr. Villars' evidence over the years which I have noted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As to the incident between Mr. Buchy and Mr. Sereda in the pub, while Mr. Villars did not apparently previously provide the graphic detail of that incident which he provided at trial, it is clear that in previous statements he said that Buchy "assaulted" Sereda and that he ejected Mr. Buchy for fighting.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Further, Mr. Villars' evidence that the altercation between Mr. Sereda and Mr. Buchy was more violent and angry than Mr. Laviolette suggests is corroborated by Mr. Kellett's evidence as to what Mr. Buchy angrily said as he was escorted from the area and Mr. Laviolette's own evidence that Mr. Sereda "flew" off his chair. And the glass in Mr. Sereda's hand did break. This suggests a sudden and swift fall off the chair, not a playful shove.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As to Villars' evidence at trial that Mr. Buchy re-entered the bar immediately after his first eviction, this is an important detail, but I accept that Mr. Villars simply did not consider it to be so at the time. While Mr. Kellett did not see this incident, it could have occurred while he was getting the broom and dust pan to clean up the glass.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Mr. Villars was in a very stressful situation that evening. What motivated him then is captured in this exchange with counsel on cross-examination (T. 10 July 2007, p. 92, l. 30 to p. 93, l. 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that didn't happen either. He came at me, he hit me once, twice, pushed me in the chest, and then I stumbled into the parking lot.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realized when this all happened and the police showed up that everyone found Dennis Buchy lying about 12 to 15 feet outside the doors;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what --</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where --</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estimated 12, so.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the bottom line is this didn't happen in the pub and it didn't happen at the door, it happened about 12 to 15 feet in the parking lot;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you knew there was going to be a lot of questions about that, how did you end up out there that far out of your pub; correct?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wouldn't -- somebody's lying there hurt, I'm not thinking about trying to have an alibi, he was hurt, I went to call the police. They told me to go check and see if he's hurt for sure, if you need an ambulance or come back in, I'm not thinking about an alibi.</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I'm not suggesting that, I'm just saying you knew it was going to be important.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no, I didn't know that. I didn't know that. That's the last thing on my mind. There's a -- there's a guy laying there that's hurt, and I had something to do with getting him that way, I was not thinking about how many feet he was from the door or anything like that, I was just trying to get some help there to him.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This, I conclude, is the answer of a truthful witness trying to recall, as best he can, through the blur of events that evening.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This is reflected again in Mr. Villars' evidence that he believed he struck Mr. Buchy in the jaw when all of the medical evidence suggests that the blow landed at or around Mr. Buchy's eye. Mr. Villars was mistaken but he made no effort to tailor his evidence to the case as it unfolded.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On this point, Mr. Villars said on cross-examination (at T. 10 July 2007, p. 97, ll. 10-18):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know, this was a tragic thing that happened and some of the events in there, you know, I might not have got all clear, but the fact that he attacked me and he ended up hurt is still in my mind, so I'm sure that I -- he attacked me and I hit him in his face and he fell. And his eyes were still open, his back hit the pavement, and then his head, and then the lights went -- I mean his eyes closed. And that's what I remember.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Finally, Mr. Villars' evidence that the first assault by Mr. Buchy caused him to stumble away from the door of the pub out towards the parking lot is corroborated by Mr. Laviolette (T. 19 June 2007, p. 43, ll. 39-43):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My understanding is that Mr. Villars, through the attack by Mr. Buchy, was put off-balance and stumbled away from the door, out towards the parking lot. Do you recall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This evidence is interesting when it is joined with Mr. Villars' evidence that Mr. Buchy then came towards him, from the door of the pub, in the second attack.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This scene is not unlike that described by Mr. Laviolette, except that the roles of Buchy and Villars are reversed. It is not inconceivable that Mr. Laviolette could simply be so confused in his recollection.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I conclude, on weighing all of the evidence, that the dynamics of the altercation in the parking lot were much closer to the evidence of Mr. Villars than to that of Mr. Laviolette. Further, I conclude that Mr. Villars' estimate of the amount of time he was outside the pub is incorrect. He admitted that he was not wearing a watch that evening and that his estimate of time could be wrong. I prefer the evidence of Mr. Kellett that the time outside the pub was more in the range of four to five minutes.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As to the issue of time generally, all the witnesses were likely inaccurate, especially on the point of when events began to happen that evening -- it was likely some time after 11:30 because the emergency personnel arrived at the scene at 00:20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xml:space="preserve">  This brings us to the plaintiff's cause of action in assault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I will first deal with the claim in assault or, more accurately, as the defendant Villars struck a blow to the plaintiff, the tort of battery.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xml:space="preserve">  The tort was discussed by the Supreme Court of Canada in </w:t>
      </w:r>
      <w:r>
        <w:rPr>
          <w:rFonts w:ascii="arial" w:eastAsia="arial" w:hAnsi="arial" w:cs="arial"/>
          <w:b/>
          <w:i/>
          <w:color w:val="000000"/>
          <w:sz w:val="20"/>
          <w:lang w:val="en-US" w:eastAsia="en-US" w:bidi="ar-SA"/>
        </w:rPr>
        <w:t>Mann v. Balaban et al.</w:t>
      </w:r>
      <w:r>
        <w:rPr>
          <w:rFonts w:ascii="arial" w:eastAsia="arial" w:hAnsi="arial" w:cs="arial"/>
          <w:color w:val="000000"/>
          <w:sz w:val="20"/>
          <w:lang w:val="en-US" w:eastAsia="en-US" w:bidi="ar-SA"/>
        </w:rPr>
        <w:t xml:space="preserve">, </w:t>
      </w:r>
      <w:hyperlink r:id="rId544" w:history="1">
        <w:r>
          <w:rPr>
            <w:rFonts w:ascii="arial" w:eastAsia="arial" w:hAnsi="arial" w:cs="arial"/>
            <w:i/>
            <w:color w:val="0077CC"/>
            <w:sz w:val="20"/>
            <w:u w:val="single"/>
            <w:shd w:val="clear" w:color="auto" w:fill="FFFFFF"/>
            <w:lang w:val="en-US" w:eastAsia="en-US" w:bidi="ar-SA"/>
          </w:rPr>
          <w:t>[1970] S.C.R. 74</w:t>
        </w:r>
      </w:hyperlink>
      <w:r>
        <w:rPr>
          <w:rFonts w:ascii="arial" w:eastAsia="arial" w:hAnsi="arial" w:cs="arial"/>
          <w:color w:val="000000"/>
          <w:sz w:val="20"/>
          <w:lang w:val="en-US" w:eastAsia="en-US" w:bidi="ar-SA"/>
        </w:rPr>
        <w:t xml:space="preserve"> and, in particular, the onus on the defendant pleading self-defence was noted by Justice Spence for the majority (at p. 87):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an action for assault, it has been, in my view, established that it is for the plaintiff to prove that he was assaulted and that he sustained an injury thereby. The onus is upon the plaintiff to establish those facts before the jury. Then it is upon the defendant to establish the defences, firstly, that the assault was justified and, secondly, that the assault even if justified was not made with any unreasonable force and on those issues the onus is on the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xml:space="preserve">  While the parties cited a number of cases on the issue of self-defence, I believe an accurate summary of the law is contained in Linda D. Rinaldi, ed., </w:t>
      </w:r>
      <w:r>
        <w:rPr>
          <w:rFonts w:ascii="arial" w:eastAsia="arial" w:hAnsi="arial" w:cs="arial"/>
          <w:i/>
          <w:color w:val="000000"/>
          <w:sz w:val="20"/>
          <w:lang w:val="en-US" w:eastAsia="en-US" w:bidi="ar-SA"/>
        </w:rPr>
        <w:t>Remedies in Tort</w:t>
      </w:r>
      <w:r>
        <w:rPr>
          <w:rFonts w:ascii="arial" w:eastAsia="arial" w:hAnsi="arial" w:cs="arial"/>
          <w:color w:val="000000"/>
          <w:sz w:val="20"/>
          <w:lang w:val="en-US" w:eastAsia="en-US" w:bidi="ar-SA"/>
        </w:rPr>
        <w:t>, looseleaf (Toronto: Carswell, 1987) vol. 1 at 2-30 to 2-31 (footnotes omitted):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 Self-Defence</w:t>
      </w:r>
    </w:p>
    <w:p>
      <w:pPr>
        <w:numPr>
          <w:numId w:val="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19 "The law gives every one the right to defend himself against either a threatened or an actual attack from another. The right of self-defence proceeds from and is limited by the necessity to ward off the danger of such an attack. Therefore the right of self-defence commences when the necessity for such defence begins and it terminates when the necessity for such self-defence comes to an end. The law, however, requires that the force used in defending oneself must not he out of proportion to the severity of the attack. An attack by fists may be answered by fists but not with deadly weapons such as knives and guns. In exercising the right of self-defence one must use only such force as on reasonable grounds the person attacked believes to be necessary for his own defence. In short, self-defence means defence, not counter-attack."</w:t>
      </w:r>
    </w:p>
    <w:p>
      <w:pPr>
        <w:numPr>
          <w:numId w:val="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20 Self-defence is usually pleaded as a defence to a battery action where the defendant has struck the plaintiff in response to an attack or perceived attack by the plaintiff. It is a complete defence. If the defendant reasonably perceives an attack to be imminent, he may still be entitled to rely on self-defence although he has struck the first blow. However, force may only be used to repel or prevent an attack, not to punish an aggressor for past actions or as a guise for a counter-attack.</w:t>
      </w:r>
    </w:p>
    <w:p>
      <w:pPr>
        <w:numPr>
          <w:numId w:val="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21 In preventing or repelling an attack, no more than reasonable force may he used. What is reasonable depends on the facts and circumstances of the case, including the nature and seriousness of the attack or threatened attack, the relative size and strength of the combatants, and whether the acts complained of took place after the threat was averted. The seriousness of the resulting injury is not necessarily indicative of the use of unreasonable force, as even acts which cause serious injury may be justified as self-defence: "it has long been held that an attacked person defending himself and confronted with a provoking situation is not held down to measure with exactitude or nicety the weight or power of his blows." Where a person uses more than reasonable force, he himself may he liable for battery.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xml:space="preserve">  These statements of the law were generally accepted by Justice Sigurdson, of this Court, in </w:t>
      </w:r>
      <w:r>
        <w:rPr>
          <w:rFonts w:ascii="arial" w:eastAsia="arial" w:hAnsi="arial" w:cs="arial"/>
          <w:b/>
          <w:i/>
          <w:color w:val="000000"/>
          <w:sz w:val="20"/>
          <w:lang w:val="en-US" w:eastAsia="en-US" w:bidi="ar-SA"/>
        </w:rPr>
        <w:t>Glover v. Fell</w:t>
      </w:r>
      <w:r>
        <w:rPr>
          <w:rFonts w:ascii="arial" w:eastAsia="arial" w:hAnsi="arial" w:cs="arial"/>
          <w:color w:val="000000"/>
          <w:sz w:val="20"/>
          <w:lang w:val="en-US" w:eastAsia="en-US" w:bidi="ar-SA"/>
        </w:rPr>
        <w:t xml:space="preserve">, </w:t>
      </w:r>
      <w:hyperlink r:id="rId545" w:history="1">
        <w:r>
          <w:rPr>
            <w:rFonts w:ascii="arial" w:eastAsia="arial" w:hAnsi="arial" w:cs="arial"/>
            <w:i/>
            <w:color w:val="0077CC"/>
            <w:sz w:val="20"/>
            <w:u w:val="single"/>
            <w:shd w:val="clear" w:color="auto" w:fill="FFFFFF"/>
            <w:lang w:val="en-US" w:eastAsia="en-US" w:bidi="ar-SA"/>
          </w:rPr>
          <w:t>[1999] B.C.J. No. 1333</w:t>
        </w:r>
      </w:hyperlink>
      <w:r>
        <w:rPr>
          <w:rFonts w:ascii="arial" w:eastAsia="arial" w:hAnsi="arial" w:cs="arial"/>
          <w:color w:val="000000"/>
          <w:sz w:val="20"/>
          <w:lang w:val="en-US" w:eastAsia="en-US" w:bidi="ar-SA"/>
        </w:rPr>
        <w:t xml:space="preserve"> (S.C.) (QL).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In considering the defence in the context of the scenario described by Mr. Villars, which I have accepted in its critical aspects, Mr. Villars struck Mr. Buchy in response to Mr. Buchy's attack on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Mr. Villars did so in an effort to repel the attack of Mr. Buchy and not to punish Mr. Buchy as "an aggressor for past actions or as a guise for a counterattack".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While the blow by Mr. Villars had devastating consequences, I find it to be reasonable force in the context of Mr. Buchy's attack(s) and the relative size and strength of the combatants.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While Mr. Villars was previously a professional athlete, his uncontroverted evidence was that he has no training in boxing or martial arts and, in the circumstances, I accept that he would not have known the force with which he struck Mr. Buchy, let alone have the ability to measure with a nicety that force.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Finally, in all the circumstances I find that Mr. Villars did not act unreasonably in not immediately retreating into the pub. He stayed outside to watch the men leave in an orderly fashion. He felt that he could calm Mr. Buchy down. The suddenness of Mr. Buchy's attack precluded retreat.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I should add that even if I accepted Mr. Laviolette's version of the incident, I would still conclude that Mr. Villars has made out his plea of self-defence.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Mr. Laviolette described the blow in this way (T. 19 June 2007, p. 17, ll. 37-40):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Then Kevin, I guess, saw an opportunity because it was obvious he was going to get attacked again, and he took about three steps down from the stairs in a forward motion and hit Dennis once.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Mr. Laviolette was of the view, at least at trial, that Mr. Villars was defending himself. I conclude that even on his version of the events, that is true as a matter of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xml:space="preserve">  That brings us to the claim against the defendants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xml:space="preserve">  As to the defendant Villars, these particulars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are pleaded in the amended statement of claim:</w:t>
      </w:r>
      <w:r>
        <w:rPr>
          <w:rFonts w:ascii="arial" w:eastAsia="arial" w:hAnsi="arial" w:cs="arial"/>
          <w:sz w:val="20"/>
          <w:lang w:val="en-US" w:eastAsia="en-US" w:bidi="ar-SA"/>
        </w:rPr>
        <w:cr/>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particulars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Villars include/without limitation:</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Striking the Plaintiff in a manner he knew or ought to have known was likely to cause serious injury;</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Excessive force,</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to assist the Plaintiff to leave the pub and return home safely;</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to remain inside the pub and avoid physically striking the intoxicated Plaintiff who was too intoxicated to defend himself.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The first two are subsumed in my finding on self-defence.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As to the last two, it is true that the plaintiff's blood alcohol was tested and that it registered at .20, well above the legal limit. But I find that the plaintiff was an experienced drinker and that evening he gave off no signs of any significant intoxication.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More importantly, I find that there is no evidence that Villars or the defendants' other staff over-served Buchy that evening.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The plaintiff shared two pitchers of beer with two other men over the course of at least two hours. That is not over-service.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Villars was reasonably assisting the plaintiff to leave the pub and return home safely. Indeed, that is why Mr. Villars remained at the door of the pub to watch Mr. Buchy and his friends on their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As I have indicated above, there was nothing unreasonable in Mr. Villars accompanying Mr. Buchy outside of the pub. Mr. Villars lawfully ejected Mr. Buchy for fighting and he reasonably stood watch to ensure that Mr. Buchy actually did leave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xml:space="preserve">  This is not a case like those cited by the plaintiff in </w:t>
      </w:r>
      <w:r>
        <w:rPr>
          <w:rFonts w:ascii="arial" w:eastAsia="arial" w:hAnsi="arial" w:cs="arial"/>
          <w:b/>
          <w:i/>
          <w:color w:val="000000"/>
          <w:sz w:val="20"/>
          <w:lang w:val="en-US" w:eastAsia="en-US" w:bidi="ar-SA"/>
        </w:rPr>
        <w:t>Lawrence v. John B. Pub Ltd.</w:t>
      </w:r>
      <w:r>
        <w:rPr>
          <w:rFonts w:ascii="arial" w:eastAsia="arial" w:hAnsi="arial" w:cs="arial"/>
          <w:color w:val="000000"/>
          <w:sz w:val="20"/>
          <w:lang w:val="en-US" w:eastAsia="en-US" w:bidi="ar-SA"/>
        </w:rPr>
        <w:t xml:space="preserve">, </w:t>
      </w:r>
      <w:hyperlink r:id="rId546" w:history="1">
        <w:r>
          <w:rPr>
            <w:rFonts w:ascii="arial" w:eastAsia="arial" w:hAnsi="arial" w:cs="arial"/>
            <w:i/>
            <w:color w:val="0077CC"/>
            <w:sz w:val="20"/>
            <w:u w:val="single"/>
            <w:shd w:val="clear" w:color="auto" w:fill="FFFFFF"/>
            <w:lang w:val="en-US" w:eastAsia="en-US" w:bidi="ar-SA"/>
          </w:rPr>
          <w:t>[1997] B.C.J. No. 1158</w:t>
        </w:r>
      </w:hyperlink>
      <w:r>
        <w:rPr>
          <w:rFonts w:ascii="arial" w:eastAsia="arial" w:hAnsi="arial" w:cs="arial"/>
          <w:color w:val="000000"/>
          <w:sz w:val="20"/>
          <w:lang w:val="en-US" w:eastAsia="en-US" w:bidi="ar-SA"/>
        </w:rPr>
        <w:t xml:space="preserve"> (S.C.) (QL) or </w:t>
      </w:r>
      <w:r>
        <w:rPr>
          <w:rFonts w:ascii="arial" w:eastAsia="arial" w:hAnsi="arial" w:cs="arial"/>
          <w:b/>
          <w:i/>
          <w:color w:val="000000"/>
          <w:sz w:val="20"/>
          <w:lang w:val="en-US" w:eastAsia="en-US" w:bidi="ar-SA"/>
        </w:rPr>
        <w:t>Pereira v. Airliner Motor Hotel (1972) Ltd.</w:t>
      </w:r>
      <w:r>
        <w:rPr>
          <w:rFonts w:ascii="arial" w:eastAsia="arial" w:hAnsi="arial" w:cs="arial"/>
          <w:color w:val="000000"/>
          <w:sz w:val="20"/>
          <w:lang w:val="en-US" w:eastAsia="en-US" w:bidi="ar-SA"/>
        </w:rPr>
        <w:t xml:space="preserve">, </w:t>
      </w:r>
      <w:hyperlink r:id="rId547" w:history="1">
        <w:r>
          <w:rPr>
            <w:rFonts w:ascii="arial" w:eastAsia="arial" w:hAnsi="arial" w:cs="arial"/>
            <w:i/>
            <w:color w:val="0077CC"/>
            <w:sz w:val="20"/>
            <w:u w:val="single"/>
            <w:shd w:val="clear" w:color="auto" w:fill="FFFFFF"/>
            <w:lang w:val="en-US" w:eastAsia="en-US" w:bidi="ar-SA"/>
          </w:rPr>
          <w:t>[1997] M.J. No. 424</w:t>
        </w:r>
      </w:hyperlink>
      <w:r>
        <w:rPr>
          <w:rFonts w:ascii="arial" w:eastAsia="arial" w:hAnsi="arial" w:cs="arial"/>
          <w:color w:val="000000"/>
          <w:sz w:val="20"/>
          <w:lang w:val="en-US" w:eastAsia="en-US" w:bidi="ar-SA"/>
        </w:rPr>
        <w:t xml:space="preserve"> (Q.B.) (QL).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xml:space="preserve">  First, the defendant Villars acted reasonably in exercising his right to eject Mr. Buchy from the pub under s. 46(1) of the </w:t>
      </w:r>
      <w:r>
        <w:rPr>
          <w:rFonts w:ascii="arial" w:eastAsia="arial" w:hAnsi="arial" w:cs="arial"/>
          <w:b/>
          <w:i/>
          <w:color w:val="000000"/>
          <w:sz w:val="20"/>
          <w:lang w:val="en-US" w:eastAsia="en-US" w:bidi="ar-SA"/>
        </w:rPr>
        <w:t>Liquor Control and Licensing Act</w:t>
      </w:r>
      <w:r>
        <w:rPr>
          <w:rFonts w:ascii="arial" w:eastAsia="arial" w:hAnsi="arial" w:cs="arial"/>
          <w:color w:val="000000"/>
          <w:sz w:val="20"/>
          <w:lang w:val="en-US" w:eastAsia="en-US" w:bidi="ar-SA"/>
        </w:rPr>
        <w:t xml:space="preserve">, </w:t>
      </w:r>
      <w:hyperlink r:id="rId548" w:history="1">
        <w:r>
          <w:rPr>
            <w:rFonts w:ascii="arial" w:eastAsia="arial" w:hAnsi="arial" w:cs="arial"/>
            <w:i/>
            <w:color w:val="0077CC"/>
            <w:sz w:val="20"/>
            <w:u w:val="single"/>
            <w:shd w:val="clear" w:color="auto" w:fill="FFFFFF"/>
            <w:lang w:val="en-US" w:eastAsia="en-US" w:bidi="ar-SA"/>
          </w:rPr>
          <w:t>R.S.B.C. 1996, c. 267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Second, in so exercising that right I cannot find any deficiency in Mr. Villars' conduct or in his training to handle such incidents, limited as it may have been.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xml:space="preserve">  The plaintiff cites the Court of Appeal's decision in </w:t>
      </w:r>
      <w:r>
        <w:rPr>
          <w:rFonts w:ascii="arial" w:eastAsia="arial" w:hAnsi="arial" w:cs="arial"/>
          <w:b/>
          <w:i/>
          <w:color w:val="000000"/>
          <w:sz w:val="20"/>
          <w:lang w:val="en-US" w:eastAsia="en-US" w:bidi="ar-SA"/>
        </w:rPr>
        <w:t>Walstrom v. Coole Hotel Co. (B.C.C.A.)</w:t>
      </w:r>
      <w:r>
        <w:rPr>
          <w:rFonts w:ascii="arial" w:eastAsia="arial" w:hAnsi="arial" w:cs="arial"/>
          <w:color w:val="000000"/>
          <w:sz w:val="20"/>
          <w:lang w:val="en-US" w:eastAsia="en-US" w:bidi="ar-SA"/>
        </w:rPr>
        <w:t xml:space="preserve">, </w:t>
      </w:r>
      <w:hyperlink r:id="rId549" w:history="1">
        <w:r>
          <w:rPr>
            <w:rFonts w:ascii="arial" w:eastAsia="arial" w:hAnsi="arial" w:cs="arial"/>
            <w:i/>
            <w:color w:val="0077CC"/>
            <w:sz w:val="20"/>
            <w:u w:val="single"/>
            <w:shd w:val="clear" w:color="auto" w:fill="FFFFFF"/>
            <w:lang w:val="en-US" w:eastAsia="en-US" w:bidi="ar-SA"/>
          </w:rPr>
          <w:t>[1991] B.C.J. No. 2949</w:t>
        </w:r>
      </w:hyperlink>
      <w:r>
        <w:rPr>
          <w:rFonts w:ascii="arial" w:eastAsia="arial" w:hAnsi="arial" w:cs="arial"/>
          <w:color w:val="000000"/>
          <w:sz w:val="20"/>
          <w:lang w:val="en-US" w:eastAsia="en-US" w:bidi="ar-SA"/>
        </w:rPr>
        <w:t xml:space="preserve"> (C.A.) (QL) and submits in argument: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in </w:t>
      </w:r>
      <w:r>
        <w:rPr>
          <w:rFonts w:ascii="arial" w:eastAsia="arial" w:hAnsi="arial" w:cs="arial"/>
          <w:i/>
          <w:color w:val="000000"/>
          <w:sz w:val="20"/>
          <w:lang w:val="en-US" w:eastAsia="en-US" w:bidi="ar-SA"/>
        </w:rPr>
        <w:t>Walstrom</w:t>
      </w:r>
      <w:r>
        <w:rPr>
          <w:rFonts w:ascii="arial" w:eastAsia="arial" w:hAnsi="arial" w:cs="arial"/>
          <w:color w:val="000000"/>
          <w:sz w:val="20"/>
          <w:lang w:val="en-US" w:eastAsia="en-US" w:bidi="ar-SA"/>
        </w:rPr>
        <w:t>, the Defendant Villars, as a bartender and bouncer, should have been able to deal with Mr. Buchy in a manner which recognized both Mr. Buchy's state of intoxication and that while he was being unruly, he was leaving for the night. The fact that Mr. Buchy was willing to leave should have been the end of the matter and any restrictions on Mr. Buchy's attendance at Tugboat Annies could have been discussed on Mr. Buchy's next visit to the pub. Following Mr. Buchy outside and engaging him in an argument and effectively goading him, while drunk and agitated, into a one-sided fight is not acceptable conduct by a person in the position of the Defendant Villars.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That characterization of the facts is simply not the case which I have found.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Mr. Buchy's level of intoxication was not evident. It was not clear that "he was leaving for the night". Mr. Villars did not engage Mr. Buchy in an argument; he was letting him vent; trying to calm him down, a tactic which had worked in the past.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Mr. Villars did not goad Mr. Buchy into a one-sided fight. Mr. Buchy, on the contrary, struck suddenly and without notice. In Mr. Laviolette's words, Mr. Buchy "snapped" and regrettably, he has paid a very dear price for that impulsiveness.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xml:space="preserve">  On the issue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corporate defendants generally, I note the commercial host cases: </w:t>
      </w:r>
      <w:r>
        <w:rPr>
          <w:rFonts w:ascii="arial" w:eastAsia="arial" w:hAnsi="arial" w:cs="arial"/>
          <w:b/>
          <w:i/>
          <w:color w:val="000000"/>
          <w:sz w:val="20"/>
          <w:lang w:val="en-US" w:eastAsia="en-US" w:bidi="ar-SA"/>
        </w:rPr>
        <w:t>Jordan House Ltd. v. Menow and Honsberger</w:t>
      </w:r>
      <w:r>
        <w:rPr>
          <w:rFonts w:ascii="arial" w:eastAsia="arial" w:hAnsi="arial" w:cs="arial"/>
          <w:color w:val="000000"/>
          <w:sz w:val="20"/>
          <w:lang w:val="en-US" w:eastAsia="en-US" w:bidi="ar-SA"/>
        </w:rPr>
        <w:t xml:space="preserve"> </w:t>
      </w:r>
      <w:hyperlink r:id="rId550" w:history="1">
        <w:r>
          <w:rPr>
            <w:rFonts w:ascii="arial" w:eastAsia="arial" w:hAnsi="arial" w:cs="arial"/>
            <w:i/>
            <w:color w:val="0077CC"/>
            <w:sz w:val="20"/>
            <w:u w:val="single"/>
            <w:shd w:val="clear" w:color="auto" w:fill="FFFFFF"/>
            <w:lang w:val="en-US" w:eastAsia="en-US" w:bidi="ar-SA"/>
          </w:rPr>
          <w:t>(1973), 38 D.L.R. (3d) 105</w:t>
        </w:r>
      </w:hyperlink>
      <w:r>
        <w:rPr>
          <w:rFonts w:ascii="arial" w:eastAsia="arial" w:hAnsi="arial" w:cs="arial"/>
          <w:color w:val="000000"/>
          <w:sz w:val="20"/>
          <w:lang w:val="en-US" w:eastAsia="en-US" w:bidi="ar-SA"/>
        </w:rPr>
        <w:t xml:space="preserve"> (SCC), and </w:t>
      </w:r>
      <w:r>
        <w:rPr>
          <w:rFonts w:ascii="arial" w:eastAsia="arial" w:hAnsi="arial" w:cs="arial"/>
          <w:b/>
          <w:i/>
          <w:color w:val="000000"/>
          <w:sz w:val="20"/>
          <w:lang w:val="en-US" w:eastAsia="en-US" w:bidi="ar-SA"/>
        </w:rPr>
        <w:t>Steward v. Pettie</w:t>
      </w:r>
      <w:r>
        <w:rPr>
          <w:rFonts w:ascii="arial" w:eastAsia="arial" w:hAnsi="arial" w:cs="arial"/>
          <w:color w:val="000000"/>
          <w:sz w:val="20"/>
          <w:lang w:val="en-US" w:eastAsia="en-US" w:bidi="ar-SA"/>
        </w:rPr>
        <w:t xml:space="preserve">, </w:t>
      </w:r>
      <w:hyperlink r:id="rId551" w:history="1">
        <w:r>
          <w:rPr>
            <w:rFonts w:ascii="arial" w:eastAsia="arial" w:hAnsi="arial" w:cs="arial"/>
            <w:i/>
            <w:color w:val="0077CC"/>
            <w:sz w:val="20"/>
            <w:u w:val="single"/>
            <w:shd w:val="clear" w:color="auto" w:fill="FFFFFF"/>
            <w:lang w:val="en-US" w:eastAsia="en-US" w:bidi="ar-SA"/>
          </w:rPr>
          <w:t>[1995] 1 S.C.R. 131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xml:space="preserve">  Liability in </w:t>
      </w:r>
      <w:r>
        <w:rPr>
          <w:rFonts w:ascii="arial" w:eastAsia="arial" w:hAnsi="arial" w:cs="arial"/>
          <w:b/>
          <w:i/>
          <w:color w:val="000000"/>
          <w:sz w:val="20"/>
          <w:lang w:val="en-US" w:eastAsia="en-US" w:bidi="ar-SA"/>
        </w:rPr>
        <w:t>Jordan House</w:t>
      </w:r>
      <w:r>
        <w:rPr>
          <w:rFonts w:ascii="arial" w:eastAsia="arial" w:hAnsi="arial" w:cs="arial"/>
          <w:color w:val="000000"/>
          <w:sz w:val="20"/>
          <w:lang w:val="en-US" w:eastAsia="en-US" w:bidi="ar-SA"/>
        </w:rPr>
        <w:t xml:space="preserve"> was imposed on the hotel in the circumstances described by Justice Laskin (as he then was) (at p. 112):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Given the relationship between Menow and the hotel, the hotel operator's knowledge of Menow's propensity to drink and his instruction to his employees not to serve him unless he was accompanied by a responsible person, the fact that Menow was served not only in breach of this instruction but as well in breach of statutory injunctions against serving a patron who was apparently in an intoxicated condition, and the fact that the hotel operator was aware that Menow was intoxicated, the proper conclusion is that the hotel came under a duty to Menow to see that he got home safely by taking him under its charge or putting him under the charge of a responsible person, or to see that he was not turned out alone until he was in a reasonably fit condition to look after himself. There was, in this case, a breach of this duty for which the hotel must respond according to the degree of fault found against it. The harm that ensued was that which was reasonably foreseeable by reason of what the hotel did (in turning Menow out) and failed to do (in not taking preventive measures).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That is not in any way the case at bar. The plaintiff was not over-served; he was not "apparently in an intoxicated condition"; Villars did try to see the plaintiff home safely in the company of his friends. The risk of harm associated with the plaintiff suddenly turning on Villars and the need for the latter to repel his attack was not foreseeable in the circumstances of the relationship between the two men in the past.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xml:space="preserve">  Even if Villars over-served Buchy that evening, that is not an end to the enquiry. In </w:t>
      </w:r>
      <w:r>
        <w:rPr>
          <w:rFonts w:ascii="arial" w:eastAsia="arial" w:hAnsi="arial" w:cs="arial"/>
          <w:b/>
          <w:i/>
          <w:color w:val="000000"/>
          <w:sz w:val="20"/>
          <w:lang w:val="en-US" w:eastAsia="en-US" w:bidi="ar-SA"/>
        </w:rPr>
        <w:t>Stewart v. Pettie</w:t>
      </w:r>
      <w:r>
        <w:rPr>
          <w:rFonts w:ascii="arial" w:eastAsia="arial" w:hAnsi="arial" w:cs="arial"/>
          <w:color w:val="000000"/>
          <w:sz w:val="20"/>
          <w:lang w:val="en-US" w:eastAsia="en-US" w:bidi="ar-SA"/>
        </w:rPr>
        <w:t>, Justice Major (for the court) held (at para. 36):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true that applicable liquor control legislation in Alberta, and across the country, prohibits serving alcohol to persons who are apparently intoxicated. Counsel for the respondents pressed that point in argument. There are, however, two problems with this argument. The first is that it is not clear that there was any violation of liquor control legislation in this case, given the fact that Pettie was apparently not exhibiting any signs of intoxication. Moreover, even if it could be said that Mayfield was in violation of legislation, this fact alone does not ground liability: </w:t>
      </w:r>
      <w:r>
        <w:rPr>
          <w:rFonts w:ascii="arial" w:eastAsia="arial" w:hAnsi="arial" w:cs="arial"/>
          <w:i/>
          <w:color w:val="000000"/>
          <w:sz w:val="20"/>
          <w:lang w:val="en-US" w:eastAsia="en-US" w:bidi="ar-SA"/>
        </w:rPr>
        <w:t>The Queen in right of Canada v. Saskatchewan Wheat Pool</w:t>
      </w:r>
      <w:r>
        <w:rPr>
          <w:rFonts w:ascii="arial" w:eastAsia="arial" w:hAnsi="arial" w:cs="arial"/>
          <w:color w:val="000000"/>
          <w:sz w:val="20"/>
          <w:lang w:val="en-US" w:eastAsia="en-US" w:bidi="ar-SA"/>
        </w:rPr>
        <w:t xml:space="preserve">, </w:t>
      </w:r>
      <w:hyperlink r:id="rId552" w:history="1">
        <w:r>
          <w:rPr>
            <w:rFonts w:ascii="arial" w:eastAsia="arial" w:hAnsi="arial" w:cs="arial"/>
            <w:i/>
            <w:color w:val="0077CC"/>
            <w:sz w:val="20"/>
            <w:u w:val="single"/>
            <w:shd w:val="clear" w:color="auto" w:fill="FFFFFF"/>
            <w:lang w:val="en-US" w:eastAsia="en-US" w:bidi="ar-SA"/>
          </w:rPr>
          <w:t>[1983] 1 S.C.R. 205</w:t>
        </w:r>
      </w:hyperlink>
      <w:r>
        <w:rPr>
          <w:rFonts w:ascii="arial" w:eastAsia="arial" w:hAnsi="arial" w:cs="arial"/>
          <w:color w:val="000000"/>
          <w:sz w:val="20"/>
          <w:lang w:val="en-US" w:eastAsia="en-US" w:bidi="ar-SA"/>
        </w:rPr>
        <w:t>. Without a reasonably foreseeable risk of harm to him or a third party, the fact of over-serving Pettie is an innocuous act. Therefore, liability on the part of Mayfield, if it is to be found, must be in their failure to take any affirmative action to prevent the reasonably foreseeable risk to Gillian Stewart.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In the case here, I can find no failure on the part of the defendants "to take any affirmative action to prevent the reasonably foreseeable risk to " Mr. Buchy. There was no failure to act; there was no reasonably foreseeable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xml:space="preserve">  It follows that I have concluded that the plaintiff has not made out his case in assault, battery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I do not believe that it is appropriate in the circumstances to make a provisional assessment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The action is dismissed. Costs may be spoken to if necessary, otherwise, the defendants will have their costs on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I commend all counsel for prosecuting this case with tenacity, vigour and skill.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R.J. BAUMAN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60" style="position:absolute;z-index:25188352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53"/>
          <w:headerReference w:type="default" r:id="rId554"/>
          <w:footerReference w:type="even" r:id="rId555"/>
          <w:footerReference w:type="default" r:id="rId556"/>
          <w:headerReference w:type="first" r:id="rId557"/>
          <w:footerReference w:type="first" r:id="rId55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59" w:history="1">
        <w:r>
          <w:rPr>
            <w:rFonts w:ascii="arial" w:eastAsia="arial" w:hAnsi="arial" w:cs="arial"/>
            <w:b/>
            <w:bCs/>
            <w:i/>
            <w:color w:val="0077CC"/>
            <w:kern w:val="32"/>
            <w:sz w:val="28"/>
            <w:szCs w:val="32"/>
            <w:u w:val="single"/>
            <w:shd w:val="clear" w:color="auto" w:fill="FFFFFF"/>
            <w:lang w:val="en-US" w:eastAsia="en-US" w:bidi="ar-SA"/>
          </w:rPr>
          <w:t>Canadian Western Trust Co. v. Balakshin, [2008] B.C.J. No. 1157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M.E. Boyd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15,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19,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S0011981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Chilliwack</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[2008] B.C.J. No. 1157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2008 BCSC 798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168 A.C.W.S. (3d) 682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Canadian Western Trust Company, Plaintiff, and Michael George Balakshin, Bancorp Financial Services Inc., and Penreal Financial Inc., Defendants, and Michael George Balaskin, Third Party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61" style="position:absolute;z-index:2516869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83" w:name="Keywords_25"/>
      <w:bookmarkEnd w:id="183"/>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Fiduciary duty — Vicarious liability — Liability of employer for acts of employee — Action by the plaintiff for summary judgment for the loss of an investment on a third mortgage dismissed — The defendant Balakshin was not retained to act as mortgage broker for the third mortgagee — There was no fiduciary relationship between the third mortgagee and Balakshin — There was no evidence of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on Balakshin's part — Supreme Court Rules, Rule 18A</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84" w:name="Case Summary_24"/>
            <w:bookmarkEnd w:id="18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plaintiff for summary judgment for the loss of an investment in a third mortgage. The plaintiff held a self-administered RRSP on behalf of Carson, a licensed mortgage broker. Carson was contacted by Balakshin, a mortgage broker for Penreal Financial Inc., now Bancorp Financial Services Inc., who was looking for additional financing to complete the renovation on a building owned Scantec Ventures Inc. An appraisal of the property, which valued it at $1,080,000, was provided to Carson along with Scantec's financial statements, an information sheet regarding the property, Scantec's mortgage application to the Mandate National Mortgage Corporation and a copy of the commitment letter from Mandate. There was a first mortgage on the property which was in arrears. Carson arranged for a mortgage on the property from the De-Mic Mortgage Corporation, but it was insufficient to satisfy Santec's refinancing requirements and Carson personally advanced the additional funds required to complete the refinancing from his RRSP with the plaintiff. Carson later became aware that a second appraisal had been done on the property, but made no effort to obtain a copy of the appraisal. Carson also became aware that De-Mic had required the production of the receiver's summary. Carson did not obtain a copy of this report, but relied on De-Mic's due diligence in regard to the report. Scantec did not make any payments under any of the mortgages. The first and second mortgages defaulted and the building was sold under foreclosure. After the first and second mortgages were paid, there was no money left to pay Carson's third mortgage. Carson later obtained a copy of the second appraisal and his position was that had be been aware of this appraisal, he would not have participated in the financing. An action was brought against Balakshin, Bancorp and Penreal alleging that Balakshin in his role as mortgage broker or as a double agent, breached his fiduciary duty to properly disclose all information to Carson, was negligent in failing to provide the second appraisal to Carson and that Bancorp was vicariously liable for Balakshin's acts or omissions.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85" w:name="Holdings of Court_17"/>
            <w:bookmarkEnd w:id="185"/>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Carson did not retain Balakshin to act as his mortgage broker, but rather acted as his own mortgage broker. The relationship between Carson and Balakshin was not a fiduciary relationship as Balakshin did not exercise any discretion or power in the transaction of the third mortgage, Carson was not particularly vulnerable and he did not rely on Balakshin's expertise in deciding to proceed with the investment. There was no evidence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Balakshin's part. While he did not provide Carson with a copy of the second appraisal, he was not under any obligation to do so. Carson failed to conduct his own due diligence.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86" w:name="Legislation Cited_22"/>
      <w:bookmarkEnd w:id="18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62" style="position:absolute;z-index:2517381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Supreme Court Rules, Rule 18A</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87" w:name="Counsel_27"/>
      <w:bookmarkEnd w:id="187"/>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63" style="position:absolute;z-index:2517893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L.J. Armitstead.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Bancorp Financial Services Inc. and Penreal Financial Inc.: C.J. Hope.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Third Party: G.C. Blanchard.</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88" w:name="Judgment_27"/>
      <w:bookmarkEnd w:id="188"/>
      <w:r>
        <w:pict>
          <v:line id="_x0000_s1164" style="position:absolute;z-index:251838464"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 corrigendum was released by the Court July 22, 2008; the correction has been made to the text and the corrigendum is appended to this document.]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1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89" w:name="M.E. BOYD J."/>
            <w:bookmarkEnd w:id="189"/>
            <w:r>
              <w:rPr>
                <w:rFonts w:ascii="arial" w:eastAsia="arial" w:hAnsi="arial" w:cs="arial"/>
                <w:b/>
                <w:color w:val="000000"/>
                <w:sz w:val="30"/>
                <w:lang w:val="en-US" w:eastAsia="en-US" w:bidi="ar-SA"/>
              </w:rPr>
              <w:t>M.E. BOYD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seeks judgment against the defendants under Rule 18A in the sum of $46,000 plus interest from December 1997 to date, which amount reflects the loss of an investment in a third mortgage.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In 1997 the Canadian Western Trust Company held a self-administered RRSP on behalf of a Mr. John Carson ("Carson"). Carson is and was a licensed mortgage broker.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June or July 1997, Mr. Michael Balakshin ("Balakshin") contacted Carson and advised that he was a mortgage broker with Penreal Financial Inc. ("Penreal"), now Bancorp Financial Services Inc. ("Bancorp"). He told him that a building at #28 - Sixth Street in New Westminster had undergone extensive renovations over the last 2-3 years. The Owner, Scantec Ventures Inc. ("Scantec") had received a federal grant secured by a Federal Business Development Bank first mortgage but had run short of money. Balakshin advised Carson that as part of the Mandate National Mortgage Corporation ("Mandate") had advanced $600,000 under a first mortgage. However the owner still required an additional $150,000-$200,000 to cover the costs of the renovations.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the course of the conversation, Carson learned that an appraisal of the property had been completed by a Mr. Ken Rodgers ("the Rogers appraisal"), on behalf of Scantec, the borrower. The Rogers appraisal valued the building at $1,080,000. Balakshin later provided him with a copy of the appraisal. As an experienced mortgage broker, Carson knew it was common in commercial mortgage situations for a borrower to arrange an appraisal of the property in question, which appraisal would be given to potential lenders for their consideration.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Following the telephone conversation, Balakshin forwarded Carson the Rogers appraisal, Scantec's financial statements, an Information Sheet regarding the property, as well as Scantec's mortgage application and Mandate's mortgage commitment letter.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property information sheet (Book of Documents, Tab 6) revealed that the property had an assessed value of $951,000, of which $211,000 was attributed to the land and $740,000 to the building. Significantly, the Mandate mortgage commitment letter contained certain conditions for the advance of the Mandate loan, including the performance of an appraisal by Hossack Newby.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At approximately the time Carson reviewed these documents, he also learned that the original first mortgage on the building with the Business Development Bank of Canada was in arrears and had been since August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Carson contacted the De-Mic Mortgage Corporation ("De-Mic") to determine whether it would consider advancing funds secured by a second mortgage. Carson had had a number of dealings with De-Mic in the past, and he recognized De-Mic as a sophisticated lender which carefully reviewed any lending opportunity.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Ultimately, Carson received a commitment letter from De-Mic setting out the terms under which it was prepared to lend funds. He spoke to a loan officer at De-Mic. She had communicated directly with Mr. Rogers ("Rogers") and was satisfied with his appraisal report. Carson himself made no effort to communicate with Rogers to discuss the appraisal. He was aware that if there was any doubt on the part of the lender with regard to an appraisal supplied by either the broker or the borrower, the lender would ask for another appraisal. He was aware of instances in which De-Mic had made such demands in the past. In any case Carson did not consider obtaining an additional appraisal in respect of the property. He was comfortable with the fact that, as a matter of his own due diligence, De-Mic had already spoken directly to Rogers and was satisfied with the information provided.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De-Mic mortgage commitment letter committed it to a mortgage of $200,000. Balakshin received a copy of the commitment letter which noted the commitment was subject to authorization from Rogers to allow De-Mic to use the Rogers appraisal.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However, the first and second mortgages were still insufficient to satisfy Scantec's refinancing requirements. Approximately $55,000 was still needed to complete the financing and Balakshin once again contacted Carson to determine whether he knew of anyone who would invest in the project. Carson contacted De-Mic to determine whether it would consider extending its financing for this greater sum, but De-Mic declined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Carson relayed this news to Balakshin and asked him about Scantec's intentions. He says Balakshin told him that Scantec intended to sell the building as soon as the renovations were completed. Carson understood that at that point all three mortgages on the property would either be paid off or assumed by the new purchaser.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Carson has deposed that his personal rule is to always consider the "loan to value" ratio before investing in any mortgage. In other words, where the value of the loans exceed 80% of the value of the property, he will not invest in the property. In this case, there was a Mandate first mortgage for $605,000 and the De Mic second mortgage for $220,000. Together the two mortgages totalled $825,000. He calculated that adding a third mortgage for $46,000 meant the loan to value ratio would be within his personal 80% loan to value rule. Considering that fact as well as Balakshin's advice the building would be sold as soon as the renovations were completed, Carson says he decided to personally advance the additional funds required to complete the refinancing. Carson acted as his own mortgage broker in respect of this third mortgage. Balakshin did not receive any fee or remuneration with respect to the third mortgage.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One to two days before the closing of the refinancing, Carson says the De-Mic loan officer telephoned him to say she had heard there was another appraisal of the property and she wondered whether he was aware of it. Carson told her he was not. He asked her what De-Mic intended to do and she replied that the firm intended to fund the second mortgage.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Despite learning that a second appraisal might exist, Carson made no effort to attempt to acquire a copy of that appraisal nor to contact Balakshin to inquire about the document.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During this period, Carson also learned that De-Mic had required the production of the Receiver's Summary Report. While Carson did not obtain a copy of that report nor contact anyone at De-Mic to discuss it, he was satisfied De-Mic had not raised any concerns in connection with the report. Again, he was prepared to rely on De-Mic's due diligence in that regard. He did however contact someone at De-Mic to ask whether there were any "outstanding issues" against the building and he was informed there were none.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On November 12, 1997 Carson, acting as his own mortgage broker, signed a mortgage commitment letter. On December 12, 1997 he advanced $46,000 to Scantec by way of his RRSP funds with the Canadian Western Trust Company. While Carson was only lending $46,000 to Scantec, Scantec was obligated, as a term of the one-year mortgage, to repay the funds, plus a bonus of $10,000, plus interest for one year in the amount of $8,400.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Scantec never made any payments on any of the mortgages. The first and second mortgages defaulted and the building was sold under foreclosure. After the first and second mortgages were paid, there was no money left to pay Carson's third mortgage.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Some time after the third mortgage was registered on title, Carson was provided with a copy of the Hossack appraisal which had been earlier obtained by Mandate. The Hossack appraisal valued the property at $980,000. Carson says that had he been aware of the Hossack appraisal, he would have realized that including the third mortgage, the loan to value ratio would have been 86.33%. He says that in that case he would not have participated in this financing.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Issues:</w:t>
      </w:r>
      <w:r>
        <w:rPr>
          <w:rFonts w:ascii="arial" w:eastAsia="arial" w:hAnsi="arial" w:cs="arial"/>
          <w:sz w:val="20"/>
          <w:lang w:val="en-US" w:eastAsia="en-US" w:bidi="ar-SA"/>
        </w:rPr>
        <w:cr/>
      </w:r>
    </w:p>
    <w:p>
      <w:pPr>
        <w:numPr>
          <w:numId w:val="1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Balakshin, in his role as a mortgage broker or as a double agent, breach his fiduciary duty to properly disclose all information to Carson, including the Hossack appraisal?</w:t>
      </w:r>
    </w:p>
    <w:p>
      <w:pPr>
        <w:numPr>
          <w:numId w:val="1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Balakshin negligent in failing to provide Carson with the Hossack appraisal?</w:t>
      </w:r>
    </w:p>
    <w:p>
      <w:pPr>
        <w:numPr>
          <w:numId w:val="1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so, did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 Carson's loss?</w:t>
      </w:r>
    </w:p>
    <w:p>
      <w:pPr>
        <w:numPr>
          <w:numId w:val="1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Bancorp vicariously liable for Balakshin's acts or omissions?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plaintiff submits that as a mortgage broker, at the point when Balakshin approached Carson for assistance in obtaining a second mortgage on the property, Balakshin had a duty to disclose all relevant information to Carson, including the details of the Hossack appraisal.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Even assuming the appraisal was Mandate's property and that Carson had no authority to disclose it to Carson, the plaintiff says that at the very least, Balakshin ought to have sought Mandate's permission to disclose the appraisal. Had that permission not been granted, then the plaintiff says Balakshin would have been in a conflict position and would have been obligated to inform Carson he could no longer act as a broker in the transaction, because of new information he could not reveal. However, having completed the transaction without disclosing the appraisal, the plaintiff submits that Balakshin is liable to the plaintiff in both contract and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his resulting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plaintiff further submits that at all material times, Balakshin was an employee of the defendant Bancorp Financial Services Inc. ("Bancorp"), formerly known as Penreal Financial Services Inc., and that accordingly Bancorp is vicariously liable for his acts or omissions.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On a review of all of the materials and having considered the submissions of all parties, I find that the plaintiff's action cannot succeed.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First and foremost, I am not persuaded that Carson retained Balakshin to act as his mortgage broker in respect of the third mortgage. To the contrary, it is clear that Carson was acting as his own mortgage broker. The third mortgage provided a handsome commission/bonus for Carson alone. Nor is there anything on the face of the mortgage or on the facts of this case to suggest Balakshin was acting as Carson's agent.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Nor, in the circumstances of this case, does the relationship between Carson and Balakshin bear any of the hallmarks of a fiduciary relationship. There is no evidence that Balakshin exercised any discretion or power in the transaction of the third mortgage, which power or discretion was to be exercised unilaterally on Carson's behalf. Nor is there any evidence that Carson was particularly vulnerable or that he relied on Balakshin's expertise as a mortgage broker to assist him in determining whether to go forward with this investment. To the contrary, both individuals were experienced mortgage brokers with years of experience in the field.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Nor in my view is there evidence of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Balakshin's part. While it is true that he did not provide Carson with a copy of the Hossack appraisal, I am unable to find he had any obligation to do so. I reject the suggestion that the statement, "This letter also serves as our authorization to a prospective lender to rely on the enclosed appraisal report for mortgage purposes only", contained in the Hossack appraisal implies Mandate's permission to release the Hossack appraisal to any third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any event, I note that before Carson decided to personally finance the third mortgage, Balakshin had already provided him with a document (the Mandate mortgage commitment letter) which ought to have alerted Carson or any experienced mortgage broker to the fact that another appraisal had likely been obtained by the first mortgagee. Further he was aware that the assessed value of the property was substantially below the Rogers appraisal figure. He was also aware that for some time the borrower (Scantec) had been in default of the original first mortgage with the Federal Business Development Bank. He had also been tipped off by De-Mic that there had perhaps been a second appraisal of the property, (consistent with the terms of the Mandate commitment letter, which specifically included the commission of a second appraisal as a term of the mortgage).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Yet in all of these circumstances, being well aware of the inherent risks in any third mortgage situation, Carson took few if any steps to conduct his own inquiries of due diligence. Instead he was content to rely on the fact that the borrower's appraisal had been conducted by Rogers, an appraiser he knew and deemed to be credible and reliable. He also relied on the fact that De-Mic, which he considered to be a sophisticated lender, had spoken to Rogers directly and had agreed to fund the second mortgage without requiring an independent appraisal.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my view, while Carson well realized the inherent risks of this third mortgage, he made a calculated decision to advance the funds, no doubt at least partly motivated by the handsome return he had negotiated. While only investing $46,000 in the third mortgage, he had secured Scantec's commitment to repay the funds at the rate of $700 per month over a one year term only, with interest at 15%, calculated monthly, ($8,400), plus a bonus of $10,000 plus his commission. Excluding the commission, Carson was to enjoy a rate of return in the order of 40% on the interest and bonus alone.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the final result, I am not persuaded the plaintiff has proven, on a balance of probabilities, that he relied on any advice or representations made by Balakshin in deciding to go forward with the financing of the third mortgage or that any advice or representations on Balakshin's part can be said to have caused this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Since I am unable to find any liability on Balakshin's part, it is unnecessary to address the matter of Bancorp's vicarious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plaintiff's action is dismissed with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M.E. BOYD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Released: July 22,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Please be advised that the attached Reasons for Judgment of Madam Justice M.E. Boyd dated June 19, 2008 have been edited.</w:t>
      </w:r>
      <w:r>
        <w:rPr>
          <w:rFonts w:ascii="arial" w:eastAsia="arial" w:hAnsi="arial" w:cs="arial"/>
          <w:sz w:val="20"/>
          <w:lang w:val="en-US" w:eastAsia="en-US" w:bidi="ar-SA"/>
        </w:rPr>
        <w:cr/>
      </w:r>
    </w:p>
    <w:p>
      <w:pPr>
        <w:numPr>
          <w:numId w:val="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the front page, in the body of the style of cause should read: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"Michael George </w:t>
      </w:r>
      <w:r>
        <w:rPr>
          <w:rFonts w:ascii="arial" w:eastAsia="arial" w:hAnsi="arial" w:cs="arial"/>
          <w:b/>
          <w:color w:val="000000"/>
          <w:sz w:val="20"/>
          <w:lang w:val="en-US" w:eastAsia="en-US" w:bidi="ar-SA"/>
        </w:rPr>
        <w:t>Balakshin</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65" style="position:absolute;z-index:25188454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60"/>
          <w:headerReference w:type="default" r:id="rId561"/>
          <w:footerReference w:type="even" r:id="rId562"/>
          <w:footerReference w:type="default" r:id="rId563"/>
          <w:headerReference w:type="first" r:id="rId564"/>
          <w:footerReference w:type="first" r:id="rId56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66" w:history="1">
        <w:r>
          <w:rPr>
            <w:rFonts w:ascii="arial" w:eastAsia="arial" w:hAnsi="arial" w:cs="arial"/>
            <w:b/>
            <w:bCs/>
            <w:i/>
            <w:color w:val="0077CC"/>
            <w:kern w:val="32"/>
            <w:sz w:val="28"/>
            <w:szCs w:val="32"/>
            <w:u w:val="single"/>
            <w:shd w:val="clear" w:color="auto" w:fill="FFFFFF"/>
            <w:lang w:val="en-US" w:eastAsia="en-US" w:bidi="ar-SA"/>
          </w:rPr>
          <w:t>Dechev v. Judas, [2004] B.C.J. No. 2465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Boyd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12 - 14, 18 - 22 and 25 - 29,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November 29,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M001120</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[2004] B.C.J. No. 2465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567" w:history="1">
        <w:r>
          <w:rPr>
            <w:rFonts w:ascii="arial" w:eastAsia="arial" w:hAnsi="arial" w:cs="arial"/>
            <w:i/>
            <w:color w:val="0077CC"/>
            <w:sz w:val="20"/>
            <w:u w:val="single"/>
            <w:shd w:val="clear" w:color="auto" w:fill="FFFFFF"/>
            <w:lang w:val="en-US" w:eastAsia="en-US" w:bidi="ar-SA"/>
          </w:rPr>
          <w:t>2004 BCSC 1564</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567" w:history="1">
        <w:r>
          <w:rPr>
            <w:rFonts w:ascii="arial" w:eastAsia="arial" w:hAnsi="arial" w:cs="arial"/>
            <w:i/>
            <w:color w:val="0077CC"/>
            <w:sz w:val="20"/>
            <w:u w:val="single"/>
            <w:shd w:val="clear" w:color="auto" w:fill="FFFFFF"/>
            <w:lang w:val="en-US" w:eastAsia="en-US" w:bidi="ar-SA"/>
          </w:rPr>
          <w:t>11 M.V.R. (5th) 274</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567" w:history="1">
        <w:r>
          <w:rPr>
            <w:rFonts w:ascii="arial" w:eastAsia="arial" w:hAnsi="arial" w:cs="arial"/>
            <w:i/>
            <w:color w:val="0077CC"/>
            <w:sz w:val="20"/>
            <w:u w:val="single"/>
            <w:shd w:val="clear" w:color="auto" w:fill="FFFFFF"/>
            <w:lang w:val="en-US" w:eastAsia="en-US" w:bidi="ar-SA"/>
          </w:rPr>
          <w:t>135 A.C.W.S. (3d) 536</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Minka Dechev, plaintiff, and Petr Judas,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66" style="position:absolute;z-index:2516879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90" w:name="Keywords_26"/>
      <w:bookmarkEnd w:id="190"/>
      <w:r>
        <w:rPr>
          <w:rFonts w:ascii="arial" w:eastAsia="arial" w:hAnsi="arial" w:cs="arial"/>
          <w:b/>
          <w:color w:val="000000"/>
          <w:sz w:val="20"/>
          <w:lang w:val="en-US" w:eastAsia="en-US" w:bidi="ar-SA"/>
        </w:rPr>
        <w:t xml:space="preserve">Damages — General damages — For personal injuries — Non-pecuniary damages — -Non-pecuniary damages, including pain and suffering — 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Apportionment of liability — Motor vehicles.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91" w:name="Case Summary_25"/>
            <w:bookmarkEnd w:id="19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plaintiff Dechev for damages for injuries, loss, and damage allegedly suffered as a result of a motor vehicle and pedestrian accident. Dechev was struck by the defendant Judas' truck while she walked in a gas station lot. Liability and damages were in issue. At the time of trial, Dechev was sixty years of age. She had been fifty-four when the accident occurred in December of 1998. There was no dispute that the gas station where the accident occurred was a hive of activity at the time of the accident. Both parties visited the 7-Eleven store which adjoined the gas station. Judas' truck was parked in one of the parking stalls in the western perimeter of the gas station lot. After leaving the 7-Eleven, Judas stepped into the driver's seat of his truck and started the vehicle. He said that he looked over his right shoulder through the rear cab window to check for vehicular or pedestrian traffic. He saw nothing and proceeded to move backwards. As he began to move backwards he saw Dechev, who had been walking across the parking lot area, slip and fall onto the ground approximately 12-15 feet behind his truck. Judas said that he then stopped and left his truck to assist her. As he approached, she was already pushing herself off the ground to a near standing position. He said no words were exchanged, but that she waved him off, indicating that she required no assistance. Judas returned to his truck and drove it forward into its original position in the parking stall. The police attended the scene and interviewed the parties as well as one independent witness, Jensen. Dechev said that upon exiting the 7-Eleven store, she turned left and walked through the parking lot while looking to her right to search for her husband's vehicle. She denied that there was any ice on the parking lot surface, and also denied that she slipped and fell.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92" w:name="Holdings of Court_18"/>
            <w:bookmarkEnd w:id="192"/>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Judgment for Dechev in the amount of $10,000 non-pecuniary damages. Liability was apportioned 50% to Dechev and 50% to Judas. The court was unable to accept her version of events. At trial, she had testified that she was crossing the parking lot area when she was suddenly struck on her left shoulder blade by the truck. She said that the impact knocked her to the ground and she fell forward onto her left elbow, striking her forehead and most of her left side. She found herself lying on her back behind the rear of the truck. The truck continued to drive in reverse and Judas only stopped when commanded to do so by a group of people. The court found that her version was inconsistent with what she told a police officer when that officer attended upon her at the emergency department. In any event, the court concluded that the plaintiff's version of the accident was inconsistent with common sense. Given the plaintiff's purported path of travel from the 7-Eleven, it would have been impossible for Judas to back up in a manner that would have been able to strike Dechev in the back. However, the court found that Judas was partially responsible for the accident. Once he returned to his truck following her initial fall, he knew or ought to have known that the intended reverse travel of his truck would take him into the vicinity of her last known position. With respect to damages, there was no evidence to support Dechev's claims of chronic disabling back pain. However, the court found that she did sustain some injuries as a result of the accident, and she returned to her pre-accident level of function about eight months post-accident.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keepNext/>
        <w:spacing w:before="240" w:line="34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8"/>
          <w:lang w:val="en-US" w:eastAsia="en-US" w:bidi="ar-SA"/>
        </w:rPr>
        <w:t>Statutes, Rules and Regulations Cited:</w:t>
      </w:r>
    </w:p>
    <w:p>
      <w:pPr>
        <w:spacing w:line="60" w:lineRule="exact"/>
        <w:rPr>
          <w:rFonts w:ascii="arial" w:eastAsia="arial" w:hAnsi="arial" w:cs="arial"/>
          <w:sz w:val="20"/>
          <w:lang w:val="en-US" w:eastAsia="en-US" w:bidi="ar-SA"/>
        </w:rPr>
      </w:pPr>
      <w:r>
        <w:pict>
          <v:line id="_x0000_s1167" style="position:absolute;z-index:2517391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Motor Vehicle Act, R.S.B.C. 1979, c. 288, s. 193.</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93" w:name="Counsel_28"/>
      <w:bookmarkEnd w:id="193"/>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68" style="position:absolute;z-index:2517903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J.D. Whyte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G. Ritchey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94" w:name="Judgment_28"/>
      <w:bookmarkEnd w:id="194"/>
      <w:r>
        <w:pict>
          <v:line id="_x0000_s1169" style="position:absolute;z-index:25183948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4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95" w:name="BOYD J."/>
            <w:bookmarkEnd w:id="195"/>
            <w:r>
              <w:rPr>
                <w:rFonts w:ascii="arial" w:eastAsia="arial" w:hAnsi="arial" w:cs="arial"/>
                <w:b/>
                <w:color w:val="000000"/>
                <w:sz w:val="30"/>
                <w:lang w:val="en-US" w:eastAsia="en-US" w:bidi="ar-SA"/>
              </w:rPr>
              <w:t>BOYD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claims damages for injuries, loss and damage suffered as a result of an accident which occurred on December 18, 1998, when she was struck by the defendant's truck while walking in a gas station lot area in North Vancouver. Both liability and damages are in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is presently 60 years of age and was 54 years of age when the accident occurred on December 18, 1998. At approximately 8:00 a.m. that day, her husband dropped her off to purchase coffee across the street from the ESSO gas station at the intersection of Lynn Valley Road and Mountain Highway in North Vancouver. He then drove his truck into that gas station, intending to fuel up and proceed to the Vancouver Airport to pick up their visiting son. It was understood that as he fuelled up, Mrs. Dechev would then cross the street to the gas station area to purchase her cigarettes at the on-site 7-Eleven Store, following which she would either walk to the nearby Evergreens project (the Dechevs' condominium development, then in the final stages of completion) or perhaps, depending on their mutual timing, catch a ride to the project with her husband.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There is no dispute that this gas station was a relative hive of activity at that hour of the morning. Vehicular and pedestrian traffic mill about the gas bar area and the 7-Eleven Store. There is a bus stop immediately to the north of the gas station on Lynn Valley Road. There are two driveways allowing access to and from the gas station lot from Lynn Valley Road, and similarly another two driveways allowing access to and from Mountain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Both Mrs. Dechev and the defendant, Petr Judas, found themselves together in the 7-Eleven Store. Mr. Judas had purchased a coffee and was standing behind Mrs. Dechev in the line-up of customers at the sales counter. As Mrs. Dechev took time to position her items of purchase in a bag, Mr. Judas put the exact change for his purchase on the sales counter and then proceeded outside. His truck, a 1982 Ford 150 pick up, was parked in one of the parking stalls on the western perimeter of the gas station lot. He stepped into the driver's seat, put his coffee cup into the cup holder, strapped on his seatbelt and then turned to look over his right shoulder through the rear cab window to check for vehicular or pedestrian traffic. Seeing nothing, he began to move backwards, intending to turn the truck counter clockwise, and then exit onto Lynn Valley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As Mr. Judas began to move the truck backwards, he saw the plaintiff, who had been walking across the parking lot area, slip, and fall onto the ground some 12-15 feet behind his truck. He said that it appeared she had fallen onto her left buttock and was in a near-seated position on the ground. He immediately stopped and left his truck, intending to assist. As he approached the plaintiff, he noted that she was holding a brown paper bag in her right hand and, using her left hand, had already pushed herself off the ground to a near standing (75% standing) position. As he approached, he said that no words were exchanged between them but that she waved him off, indicating she required no assistance.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Judas returned to his vehicle, started up the truck, and once again looked over his right shoulder to check for anything behind the truck. Seeing nothing, including the plaintiff who had seemingly "disappeared", he began to drive in reverse. He said that for a split second nothing happened but that his attention was then drawn to "a look of shock or horror" on the face of a young Asian woman who standing to the west of the bus stop, outside the perimeter of the gas station, looking back towards his truck. In that same instant he heard a scream and immediately stopped his vehicle. He exited the truck and ran to the rear of the truck where he found the plaintiff laying prone, on the ground, beneath the rear carriage of the pick up truck, apparently untouched by any of the truck's wheels. In response to his questions, she told Judas that she was alright and that it would be alright if he drove his vehicle forward. He returned to the truck and drove it forward into its original position in the parking stall.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police attended within minutes and interviewed the plaintiff, the defendant and the only purported eyewitness, a Mr. Terry Jensen. Mr. Judas explained the sequence of events to Cst. Duperron, including the plaintiff's fall and his attempt to assist. He explained that he returned to his truck, looked out before reversing again and noted the plaintiff had "disappeared" before he backed up his truck the second time. He told the police officer that he thought Dechev "was gone as she just "disappeared"."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Not understanding why the plaintiff had not been apparent to the defendant and still considering the possibility of charging Mr. Judas with an infraction under the Motor Vehicle Act,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(i.e. reversing while it was unsafe to do so), Cst. Duperron interviewed both the independent witness as well as the plaintiff. The independent witness was of no assistance, given his particular angle of view of the accident scene (more of which I will say later). In the Traffic Accident Worksheet (Exhibit 14), the police officer recorded Mrs. Dechev's version of the events. She noted: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writer attended LGH, DECHEV was crying and very upset and frightened by the accident. She did explain that after she fell, she had dropped something and was hunched over to pick it up, when the truck reversed and struck her. That would explain how "disappeared" to Judas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At trial, Mrs. Dechev testified that immediately before the accident, she had exited the 7-Eleven Store, had turned to her left and was walking through the parking lot, while looking to her right to see if her husband's vehicle was still at the gas bar. She denied that there was any ice on the surface of the parking lot. She denied that she slipped and fell to the ground. She denied that she dropped any of the items she was holding. She denied that she ever bent down in the area behind the defendant's truck, attempting to retrieve any items. She denied ever providing anyone at the hospital, including the police, a statement to that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Jensen, the independent witness, testified that he had been sitting in his vehicle in the parking lot adjacent to the defendant's truck, immediately before the accident occurred. He said that both his own and the defendant's truck had backed into their respective parking spots and were facing out towards the parking lot area. As he sat in his vehicle, he testified he could see the defendant and another young man, both in their 20's and dressed in construction wear, walking towards the defendant's truck. He said that the two men entered the truck, all the while conversing with each other. He said he saw the defendant put his truck in gear and begin to drive forwards, cutting off the parking stall to his left. At this point Mr. Jensen said he heard a scream somewhere in the area to the left of the truck. The truck stopped and Mr. Jensen said he ran out and found the plaintiff lying on the ground in front of the truck. He insisted that at no point before the accident, did he see the plaintiff walk in front of his own 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On cross-examination, defence counsel challenged Mr. Jensen's evidence, presenting him with a signed witness statement which he had provided to an ICBC adjuster on March 2, 1999. In the signed statement Mr. Jensen advised the interviewer that at the moment of the accident, he was not in his parked vehicle, immediately adjacent to the defendant's truck, but rather was across Ross Road (the road immediately to the south of the gas station lot) at the ATM machine inside the doors of the local Credit Union. Although he admitted his signature and admitted the statement was his own, he was clearly bewildered that he had ever provided such a statement of evidence to the investigator. The statement entirely contradicts his evidence in direct examination in which he presented the scene of two obviously distracted construction workers who had entered the defendant's truck before driving forward over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Since the statement had just been presented to the witness on cross-examination, plaintiff's counsel was allowed to touch on this matter in re-examination, with the opportunity to first discuss the matter with the witness. On re-examination, Mr. Jensen amended his evidence to admit that he had been in error but this time he testified that he had in fact been standing outside in the parking lot of the Credit Union when he heard the plaintiff's scream. Since this evidence still contradicted the written statement, defence counsel was allowed to conduct a further cross-examination. While Mr. Jensen attempted to insist he was standing in the parking lot beside the Credit Union and not inside the doors near the ATM, at the conclusion of his evidence, it was apparent he had no clear idea at all of where he had been at the moment he alleges he heard the plaintiff's scream. Thus, I am unable to make any finding of fact concerning Mr. Jensen's specific location at the time the accident occurred. All that is clear is that contrary to his evidence-in-chief, he was not in the gas station parking lot, but somewhere to the south across Ross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More troubling however are the other facets of Mr. Jensen's evidence. The defendant has specifically denied he was with a second man and there is no police evidence to suggest any other individual accompanied Mr. Judas that morning. It is also clear that Mr. Jensen is very much in error in describing Mr. Judas as a man in his mid-20's. Now, some six years after the accident, the defendant is 58 years old. He appears his stated age and could not possibly have appeared to be in his mid-20's some six years ago. Finally, Mr. Jensen's evidence that the defendant's truck was facing forward and struck the plaintiff with the front of his truck contradicts all of the evidence before the court, including that of both the plaintiff and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 am unable to explain both the contradictions between Mr. Jensen's evidence-in-chief and cross-examination, and the inconsistencies between his evidence and all of the known evidence concerning the circumstances here. In the end result, I must entirely reject Mr. Jensen's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Nor am I able to accept the plaintiff's version of events. At trial, Mrs. Dechev testified that she was crossing the gas station lot area, intending to walk towards the Evergreen project, when she was suddenly struck in her left shoulder blade area by the defendant's truck. She says that she was knocked to the ground and fell forward onto her left elbow, striking her forehead and most of her left side. She said she found herself lying on her back behind the rear of the defendant's truck which continued to drive in reverse over top of her. She said that she covered her head and began to scream loudly. The truck stopped and then, to her horror, she says that it began to drive forward causing her to scream again. She says that eventually people commanded the truck to stop. She recalls various people attending to her, holding her head and insisting she not move.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She denied that there was any ice on the surface of the parking lot. She denied that she ever slipped on any ice and fell to the 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 am satisfied that Mrs. Dechev provided a very contrary version of the accident to Cst. Duperron when the constable attended upon her at Lions Gate Hospital Emergency Department. While Cst. Duperron could not specifically recall her interview with Mrs. Dechev, I accept her evidence that the only source of information for the statements contained in the Traffic Accident Report would be Mrs. Dechev herself. The defendant did not attend the hospital. It is also significant that in the history portion of the hospital Emergency Admission form a similar version of the accident was also apparently recorded by the emergency physician in the course of his interview of the plaintiff. In all of the circumstances, I infer that the version of the accident contained in both the Traffic Accident Report and the Emergency Admission sheet came from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any event, I conclude that the plaintiff's version of how the accident occurred is inconsistent with common sense. Given the plaintiff's purported path of travel from the 7-Eleven store, it would have been impossible for the defendant to back up his truck in such a way that he would have struck the plaintiff in the back. Rather, as he turned his wheel to the left, the rear of his vehicle would have turned towards the plaintiff who would be walking towards him. Mrs. Dechev would only have been struck in the back of her left shoulder blade area if she had turned away entirely from the defendant's parked or approaching vehicle, and looked towards the gas bar area, perhaps searching for her husband's 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The plaintiff's counsel has submitted that even on the defendant's version of the accident (with the plaintiff purportedly stopping to crouch or stoop behind the defendant's truck to pick up some dropped items), it remains the case that the defendant must assume total liability for this accident. In support of this position he relies on the decision in Ireland v. Yun, </w:t>
      </w:r>
      <w:hyperlink r:id="rId568" w:history="1">
        <w:r>
          <w:rPr>
            <w:rFonts w:ascii="arial" w:eastAsia="arial" w:hAnsi="arial" w:cs="arial"/>
            <w:i/>
            <w:color w:val="0077CC"/>
            <w:sz w:val="20"/>
            <w:u w:val="single"/>
            <w:shd w:val="clear" w:color="auto" w:fill="FFFFFF"/>
            <w:lang w:val="en-US" w:eastAsia="en-US" w:bidi="ar-SA"/>
          </w:rPr>
          <w:t>[1987] B.C.J. No. 653</w:t>
        </w:r>
      </w:hyperlink>
      <w:r>
        <w:rPr>
          <w:rFonts w:ascii="arial" w:eastAsia="arial" w:hAnsi="arial" w:cs="arial"/>
          <w:color w:val="000000"/>
          <w:sz w:val="20"/>
          <w:lang w:val="en-US" w:eastAsia="en-US" w:bidi="ar-SA"/>
        </w:rPr>
        <w:t>, in which he submits the Court held that s. 194 of the Motor Vehicle Act, R.S.B.C. 1979, c. 288 (presently s. 193) places a "close to absolute" liability upon a driver in a reversing vehicle to not move the vehicle in reverse unless such a manoeuvre can be done in safety. Section 194 provided: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driver of a vehicle shall not cause the vehicle to move backwards into an intersection or over a crosswalk, and shall not in any event or at any place cause a vehicle to move backwards unless the movement can be made in safety.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new s. 193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driver of a vehicle must not cause the vehicle to move backwards into an intersection or over a crosswalk, and must not in any event or at any place cause a vehicle to move backwards unless the movement can be made in safety.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I am not persuaded that s. 193 of the Motor Vehicle Act may be so narrowly interpreted as it was in Ireland, supra. Indeed, in Gill v. Francis, </w:t>
      </w:r>
      <w:hyperlink r:id="rId569" w:history="1">
        <w:r>
          <w:rPr>
            <w:rFonts w:ascii="arial" w:eastAsia="arial" w:hAnsi="arial" w:cs="arial"/>
            <w:i/>
            <w:color w:val="0077CC"/>
            <w:sz w:val="20"/>
            <w:u w:val="single"/>
            <w:shd w:val="clear" w:color="auto" w:fill="FFFFFF"/>
            <w:lang w:val="en-US" w:eastAsia="en-US" w:bidi="ar-SA"/>
          </w:rPr>
          <w:t>[1997] B.C.J. No. 2491</w:t>
        </w:r>
      </w:hyperlink>
      <w:r>
        <w:rPr>
          <w:rFonts w:ascii="arial" w:eastAsia="arial" w:hAnsi="arial" w:cs="arial"/>
          <w:color w:val="000000"/>
          <w:sz w:val="20"/>
          <w:lang w:val="en-US" w:eastAsia="en-US" w:bidi="ar-SA"/>
        </w:rPr>
        <w:t xml:space="preserve"> (B.C.S.C.), Errico J. considered this section in a case where the plaintiff, who had been riding his bicycle behind a row of parked vehicles, was struck by the defendant's vehicle as that vehicle backed out of his parking space. The plaintiff relied upon both s. 193 of the Motor Vehicle Act as well as s. 195 which provides "a person must not cause a vehicle to move on a highway if .... (b) the view of the driver to the front or sides of the vehicle is obstructed." Regarding s. 193 in combination with s. 195 of the Act, Errico J. noted: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It would appear that most if not all situations where a vehicle is parked in a row of vehicles, that a driver could not cause the vehicle to move without being in breach of that 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I agree with defence counsel that neither the provisions of the Motor Vehicle Act, nor the law generally require perfection on the part of the defendant. The defendant is "not bound to guard against every conceivable eventuality but only against such eventualities as a reasonable man ought to foresee as being within the ordinary range of human experience." (see O'Brien (Next Friend of) v. Mrakic, </w:t>
      </w:r>
      <w:hyperlink r:id="rId570" w:history="1">
        <w:r>
          <w:rPr>
            <w:rFonts w:ascii="arial" w:eastAsia="arial" w:hAnsi="arial" w:cs="arial"/>
            <w:i/>
            <w:color w:val="0077CC"/>
            <w:sz w:val="20"/>
            <w:u w:val="single"/>
            <w:shd w:val="clear" w:color="auto" w:fill="FFFFFF"/>
            <w:lang w:val="en-US" w:eastAsia="en-US" w:bidi="ar-SA"/>
          </w:rPr>
          <w:t>[1983] B.C.J. No. 521</w:t>
        </w:r>
      </w:hyperlink>
      <w:r>
        <w:rPr>
          <w:rFonts w:ascii="arial" w:eastAsia="arial" w:hAnsi="arial" w:cs="arial"/>
          <w:color w:val="000000"/>
          <w:sz w:val="20"/>
          <w:lang w:val="en-US" w:eastAsia="en-US" w:bidi="ar-SA"/>
        </w:rPr>
        <w:t xml:space="preserve">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issue is what was foreseeable in the case at bar? In this regard, I reject the notion that the defendant has no responsibility for the resulting collision in this case. Mr. Judas had seen the plaintiff fall to the ground and at least partially regain her footing. He could presumably see that she was an older woman, carrying a parcel in one hand. He knew that there was ice on the parking lot surface. Once back in his truck, he knew or ought to have known that the intended reverse path of travel of his truck would take him into the vicinity of the plaintiff's last known position at the time of her initial fall. While there is no specific evidence as to precisely how much time passed from the moment he was waved off by the plaintiff to the point he returned to his truck, I infer that stopping to readjust his seatbelt or even have a sip of coffee (which he believes he may have taken) would occupy no more than a few seconds before he began his reversal in the truck. While he admitted to police that he was somewhat bewildered by the plaintiff's "disappearance" when he looked over his shoulder to check for traffic behind him, he took no steps to scan the area to see just where the plaintiff might 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 am satisfied that in all of the circumstances of this case, even rejecting the plaintiff's version of this accident, that the defendant is at least partially liable for this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By the same token, I find that the plaintiff also bears some responsibility as well. She had slipped and fallen on the surface of the parking lot behind the defendant's vehicle. After resuming a standing position, I find that she either dropped some items or noted that various items remained on the ground. Although she knew or ought to have known the defendant had returned to his truck and was about to resume his backward path of travel, she chose to stoop or crouch to the ground to retrieve those items. She knew or ought to have known that by doing so, she would put herself out of the line of vision of the approaching truck. I find that in the circumstances of this case, her actions amount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her part, which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contributed to the causation of this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all of the circumstances of this case, both parties must equally share responsibility for the accident. I find the plaintiff 50% at fault and the defendant 50% at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plaintiff claims that as a result of this accident she suffered a variety of injuries including (i) bruises and abrasions; (ii) a prolapse of the L4-5 disc with resulting chronic lower back pain; (iii) a temporary increase in the symptoms of her pre-existing fibromyalgia; and finally (iv) a period of several months of anxiety. While the defence concedes that as a result of the accident, the plaintiff did sustain an injury to her lower back, as well as an aggravation of her pre-existing fibromyalgia, the defence submits that the plaintiff had returned to her pre-accident level of function by mid-summer 1999 and that accordingly, her claim for general and pecuniary damages is inflated.</w:t>
      </w:r>
      <w:r>
        <w:rPr>
          <w:rFonts w:ascii="arial" w:eastAsia="arial" w:hAnsi="arial" w:cs="arial"/>
          <w:sz w:val="20"/>
          <w:lang w:val="en-US" w:eastAsia="en-US" w:bidi="ar-SA"/>
        </w:rPr>
        <w:cr/>
      </w:r>
    </w:p>
    <w:p>
      <w:pPr>
        <w:numPr>
          <w:numId w:val="1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Non 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While Mrs. Dechev claims that as a result of this accident, she has been left with permanent, chronic disabling lower back pain, there is little evidence to support her claims. The two medical experts who have provided opinions in support of this diagnosis have been unable to point to any objectively verifiable evidence to confirm their diagnosis. Instead both Dr. Neumann and Dr. Kelsall have relied almost entirely upon the plaintiff's self-reporting of her symptoms and disabilities.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Unfortunately, due to any number of conflicts in the evidence, I am unable to accept Mrs. Dechev's evidence without any corroboration in support. In almost every aspect of her evidence-whether in regard to the events on the date of the accident, her pre-accident condition or her course of recovery following the accident, Mrs. Dechev's evidence was glaringly inconsistent with the evidence of other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Apart from Mrs. Dechev's evidence (as corroborated by her husband), the only evidence before the Court regarding the lower back complaints are a series of reports from Dr. Neumann and a report form Dr. Kelsall who saw Mrs. Dechev for the first time in May 2003, almost 4 1/2 years post-accident.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It is notable that Dr. Neumann referred Mrs. Dechev to Dr. Kelsall, not for any assessment of her lower back complaints, but rather to address a possible diagnosis of connective tissue disorder. In his report (Exhibit 5, Tab 4) Dr. Kelsall noted that the lower back issue was being addressed by other physicians and stated he would focus his attention on the fibromyalgia and the possible connective tissue disorder. While Dr. Kelsall comments on the lower back issue in the latter part of his report (concluding that the MVA was "the initiating factor in this component of her pain"), it is clear that he relies very much on the plaintiff's subjective complaints in reaching this conclusion and that the lower back issue, in any event, was not his focus.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plaintiff's case rests very largely on the three reports authored by Dr. Etela Neumann, a general practitioner who began to work in Dr. Novak's practice in August 1998, and assumed total stewardship of that practice in February 1999. Her first contact with Mrs. Dechev was in March 1999, almost three months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While I do not intend to review her clinical notations in any detail, I am persuaded that in many respects the three medical legal reports which she authored do not accurately reflect many aspects of the history taken from Mrs. Dechev during the many visits she made to Dr. Neumann's office. To the contrary, Mrs. Dechev's disabilities appear to be overstated in the reports, while her improvement and tolerance for work and activity is clearly understated. I accept that Dr. Neumann is a very busy practitioner and that it is not always possible to record all such details with accuracy during the course of a crowded working day. Nevertheless, in the end result, I am unable to place much weight on Dr. Neumann's findings or 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Even assuming I accepted Dr. Neumann's evidence, I am not persuaded that the subjective complaints that Mrs. Dechev related to her were necessarily accurate or reliable. I find that some very serious issues concerning Mrs. Dechev's credibility as an accurate historian have been noted by both Carolyn Neal (the occupational therapist who performed a functional assessment of the plaintiff) as well as by Dr. Hirsch (a psychiatrist), who found a number of inconsistent complaints supporting a finding of pain behaviour unsupported by the objective findings on 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 must note that there was no evidence offered by an orthopaedic specialist on behalf of the plaintiff. Dr. Kokan testified but only in his capacity to relay what Mrs Dechev told him on certain dates and what he observed. He offered no opinion evidence to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defence relied on the reports of Dr. Arthur, an orthopaedic surgeon, as well as the report of Dr. Hirsch. Neither doctor was challenged on their evidence that the plaintiff would be expected to return to her pre-accident level of function within several months of the accident. They were only challenged on their assumptions as to the plaintiff's pre-accident level of function. However, apart from the evidence of the plaintiff and Mr. Dechev, there was no independent evidence to establish any higher level of pre-accident function than was assumed by those doctors. Regardless, Dr. Arthur confirmed that he found nothing objective which would prevent the plaintiff from working 8 hours per day. Dr. Hirsch's evidence gives rise to a similar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In the end result, accepting the evidence of Dr. Arthur and Dr. Hirsch, I find that the plaintiff suffered a fairly significant level of disability prior to the accident and that while she did sustain some injuries as a result of the accident, she returned to her pre-accident level of function within approximately eight months of the accident. In these circumstances, she is entitled to an award of damages in the sum of $20,000. Given the finding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she is entitled to 50% of that amount.</w:t>
      </w:r>
      <w:r>
        <w:rPr>
          <w:rFonts w:ascii="arial" w:eastAsia="arial" w:hAnsi="arial" w:cs="arial"/>
          <w:sz w:val="20"/>
          <w:lang w:val="en-US" w:eastAsia="en-US" w:bidi="ar-SA"/>
        </w:rPr>
        <w:cr/>
      </w:r>
    </w:p>
    <w:p>
      <w:pPr>
        <w:numPr>
          <w:numId w:val="2"/>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Mrs. Dechev contends that as a result of the injuries, she was unable to work at the No. 1 Orchards fruit stand, a "peddler" business which she and her husband have operated at the Granville Island Public Market since October 1979. Prior to the accident she testified that she worked in a number of capacities for the business: doing all of the accounting and payroll records; selecting, ordering and purchasing fruit from the local wholesalers in Vancouver; managing the hiring, firing and scheduling of staff at the fruit stand; sifting fruit; coordinating continual deliveries of fruit to and from the cold storage facility at Granville Market; and cashing out daily. She says that as a result of her injuries and her consequential inability to work at the No. 1 Orchards fruit stand, the business suffered a loss of earnings, primarily represented by the hiring of a supervisor to replace her in 2001 and to date, resulting in damages in the order of approximately $82,000-92,000, as well as future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This theory of the case rests very largely on the contention that Mrs. Dechev worked full-time at the fruit stand prior to the accident and following the accident, could only work intermittently in the summer of 1999 and 2000, and not at all thereafter. The evidence, however, points to a very different set of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evidence is clear that on May 28, 1996, Mrs. Dechev was referred to Dr. Chalmers, a rheumatologist for an investigation of her fibromyalgia. She admitted attending Dr. Chalmers' office but stated that while she was disappointed to find Dr. Chalmers was not present on her arrival, she eventually was persuaded by "two kids" to allow them to examine her. She denied participating in any kind of an interview or providing any history to any doctor.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Dr. Alexander Chan, who was working as a first year general internal medicine resident in Dr. Chalmers' office, reviewed his clinical notes and confirmed that he met with Mrs. Dechev on that date and took a full history from her. Following the taking of the history, Dr. Chan testified that in accordance with the usual practice, he would have attended in the examination room, this time with Dr. Chalmers present, so as to complete the examination of the patient. Following the appointment, he dictated a consultation report on Dr. Chalmers' behalf, directed to Mrs. Dechev's then family physician Dr. Novak. The content of the consultation report is significant. It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According to Mrs. Dechev, her symptoms started approximately twenty years ago with gradual onset of pain in the forearms and shins bilaterally associated with small joint involvement of the hands, neck and shoulders. ... Over the last five years her intermittent symptoms have increased in frequency to the point where over the last two years they have been constant in nature. ... At this point she describes her pain as being "everywhere". Although she continues to work on a daily basis, her symptoms have provided difficulty in that she is now only able to stand on her feet for one hour and has difficulty with lifting because of pain in the shoulders and neck. ... At home she has not difficulty with grooming or dressing but she has had significant difficulty with day to day house chores, such as cleaning, over the last year.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She works daily at the Granville Island Public Market as a cashier operator. She works three hours a day on weekdays and up to eight hours a day on weekends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emphasis)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plaintiff's contention that she worked full-time before the accident was thus contradicted by the information she provided to Dr. Chan and Dr. Chalmers in May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Likewise, Mrs. Dechev's evidence that she worked full-time was not supported by Ms. Tracy Hamilton who worked at the No. 1 Orchards stand at the market prior to the accident. She testified that the plaintiff only worked 3-4 hours daily, primarily in the morning. This mirrors the evidence provided to Dr. Chan in May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Likewise, I am unable to accept Mrs. Dechev's evidence that she remained effectively bedridden for a period of almost five months post-accident. Various bodies of evidence establish this was not the case. First, there is Exhibit 9 (a collection of Visa and other receipts all signed by the plaintiff) which establishes that she was out and about on a regular basis, purchasing various items within days of the accident. Dr. Novak's clinical notes for February 8, 1999 contain a notation that she was "driving a lot".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While Mrs. Dechev insisted that she was only able to attempt to return to work on a few irregular occasions in the summer of 1999 and 2000, it is clear that she told Dr. Kokan (to whom she was referred for a consultation involving her back pain) that she had returned to work for 2-3 hours per day several weeks before mid-July 1999. On July 19, 1999, she told Carolyn Neil (the occupational therapist who conducted a rehabilitation functional assessment on behalf of ICBC) that she had tried working Monday to Friday the previous week for 3 hours. She told Dr. Esdale (the rheumatologist to whom she was referred in August 1999) that she was busy working at the fruit stand and that she got "all the exercise that she needed at work". (See Exhibit 16). She told her new family physician Dr. Neumann on August 24, 1999, that she continued to work 3-4 hours per week at the market. When Carolyn Neil attempted to reach Mrs. Dechev at home in October 1999, she was informed by Mr. Dechev to contact the plaintiff at the work number for the fruit stand.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Finally, I have viewed a videotape of surveillance evidence recorded by a Mr. Thomas Span on June 27, 2000 and August 6, 2000 while Mrs. Dechev worked at the fruit stand. As he walked back and forth near the fruit stand, he was able to confirm that Mrs. Dechev was working at the stand for approximately 3 hours on June 27th and approximately 4 1/4 hours on August 6th. The intermittent video clips of her at the stand on August 6th demonstrate her actively working at the stand, lifting, reaching, bending, crouching, sifting fruit, etc, all without any apparent disability.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It is significant that during some of the period Mrs. Dechev claims she was unable to work at the fruit stand, she was actively marketing the sale of the condominium units at the Evergreen condominium project which she and her husband had developed in North Vancouver. In her evidence at trial, Mrs. Dechev attempted to distance herself from the project and minimize her involvement in the sale of the units. However, a review of the documents made it clear that even after the accident, she was actively involved as the project accountant; that she and her husband met regularly with the architect and contractor; and that the construction was completed just days after the accident. In May 1999 when it eventually became clear that the bank was dissatisfied with the marketing of the units and that there was some possibility the construction loan would remain outstanding beyond the originally contemplated loan period, the bank threatened to intervene in the marketing of the condominium units. In April of 2000, the plaintiff and her husband withdrew the listing from the realtor and Mrs. Dechev herself assumed conduct of the sales, often attending at the project for several hours daily to deal directly with prospective purchasers. Indeed Mr. Spam's videotape of June 28, 2000 demonstrates that Mrs. Dechev spent several hours at the condominium project that day. I infer that she was attempting to sell the units. In August 2001, the Dechevs sold the last of the eleven units, each earning approximately $313,000 by way of profit.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On a review of all the evidence, I am unable to conclude that Mrs. Dechev's evidence concerning her inability to work can be accepted. I accept that there was a period of approximately 8 months when she was not able to perform her usual half-day's work, but beyond that I find she has not proven on a balance of probabilities that there has been any loss of earnings which can be attributed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For a period of approximately two years following the accident, Mr. Dechev did work long hard hours, effectively performing both his own work as well as that of Mrs. Dechev, and thus mitigating any pecuniary loss which might otherwise have been suffered. However it was not until 2001 that the costs incurred to hire extra stock representatives and a supervisor were incurred-all at a time when Mr. Dechev was diagnosed with a serious illness and required surgery and a recovery period. Mr. Mackay, the chartered accountant who testified on behalf of the Plaintiff confirmed the losses here were first incurred in 2001. I conclude that the losses ultimately incurred here were not related to the plaintiff's injuries but rather related to Mr. Dechev's own illness and his resulting absence from work.</w:t>
      </w:r>
      <w:r>
        <w:rPr>
          <w:rFonts w:ascii="arial" w:eastAsia="arial" w:hAnsi="arial" w:cs="arial"/>
          <w:sz w:val="20"/>
          <w:lang w:val="en-US" w:eastAsia="en-US" w:bidi="ar-SA"/>
        </w:rPr>
        <w:cr/>
      </w:r>
    </w:p>
    <w:p>
      <w:pPr>
        <w:numPr>
          <w:numId w:val="4"/>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Regarding the special damages claim, the plaintiff is entitled to all of the prescription expenses at Exhibit 4, Tab 1 and Dr. Ma's (the chiropractor) user fees of $170. However, no evidence was led to support the expenses of the North Shore Natural Health Center (Exhibit 4, Tab 2). I accept that the plaintiff is entitled to the physiotherapy expenses at Exhibit 4, Tab 3. Regarding the costs of Dr. Weller, a chiropractor, the evidence was the plaintiff attended there in respect of the inexplicable leg pain which arose in March 1999. There is no evidence linking that pain with any injury suffered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In the result, I find the plaintiff 50% contributorily negligent for the accident. I award her non-pecuniary damages in the sum of $10,000 for the injuries suffered. I make no award in respect of her claim for pecuniary damages. I have awarded various amounts for special damages, as set out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 leave it to counsel to address the issue of costs. If they are unable to resolve the matter between themselves, I would ask that they contact the Registry in order to obtain directions concerning time limits for the filing of written submissions on the issue of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BOYD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70" style="position:absolute;z-index:25188556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71"/>
          <w:headerReference w:type="default" r:id="rId572"/>
          <w:footerReference w:type="even" r:id="rId573"/>
          <w:footerReference w:type="default" r:id="rId574"/>
          <w:headerReference w:type="first" r:id="rId575"/>
          <w:footerReference w:type="first" r:id="rId57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77" w:history="1">
        <w:r>
          <w:rPr>
            <w:rFonts w:ascii="arial" w:eastAsia="arial" w:hAnsi="arial" w:cs="arial"/>
            <w:b/>
            <w:bCs/>
            <w:i/>
            <w:color w:val="0077CC"/>
            <w:kern w:val="32"/>
            <w:sz w:val="28"/>
            <w:szCs w:val="32"/>
            <w:u w:val="single"/>
            <w:shd w:val="clear" w:color="auto" w:fill="FFFFFF"/>
            <w:lang w:val="en-US" w:eastAsia="en-US" w:bidi="ar-SA"/>
          </w:rPr>
          <w:t>Forde v. Interior Health Authority (c.o.b. Royal Inland Hospital), [2007] B.C.J. No. 2526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L.D. Russell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5,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November 27,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S043004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[2007] B.C.J. No. 2526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2007 BCSC 1706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163 A.C.W.S. (3d) 47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Leonora Forde, Plaintiff, and Interior Health Authority, operating as a public hospital under the name of Royal Inland Hospital, Dr. Majid Faridi, Dr. P. Geoff Newell, Dr. Jeffrey R. Oyler and John Doe,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71" style="position:absolute;z-index:2516889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96" w:name="Keywords_27"/>
      <w:bookmarkEnd w:id="196"/>
      <w:r>
        <w:rPr>
          <w:rFonts w:ascii="arial" w:eastAsia="arial" w:hAnsi="arial" w:cs="arial"/>
          <w:b/>
          <w:color w:val="000000"/>
          <w:sz w:val="20"/>
          <w:lang w:val="en-US" w:eastAsia="en-US" w:bidi="ar-SA"/>
        </w:rPr>
        <w:t xml:space="preserve">Civil procedure — Parties — Adding or substituting — After expiry of limitation period — Application by the plaintiff to add four defendants to her action for medical malpractice dismissed — The plaintiff commenced the action in 2004, claiming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in her medical treatment at the defendant hospital — The plaintiff's allegations against the proposed defendants, all physicians, were not supported by material facts — The allegations merely claimed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without attributing it to any of the proposed defendants on an individual level; there was no sustainable cause of action.</w:t>
      </w:r>
    </w:p>
    <w:p>
      <w:pPr>
        <w:jc w:val="both"/>
        <w:rPr>
          <w:rFonts w:ascii="arial" w:eastAsia="arial" w:hAnsi="arial" w:cs="arial"/>
          <w:sz w:val="20"/>
          <w:lang w:val="en-US" w:eastAsia="en-US" w:bidi="ar-SA"/>
        </w:rPr>
      </w:pPr>
      <w:bookmarkStart w:id="197" w:name="Legislation Cited_23"/>
      <w:bookmarkEnd w:id="19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72" style="position:absolute;z-index:2517401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15(5)(a)(iii)</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98" w:name="Counsel_29"/>
      <w:bookmarkEnd w:id="198"/>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73" style="position:absolute;z-index:2517913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V. Critchley.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 Drs. Akagami, Redekop, Toyota, Bilbey, Clare, Walter and McKeown: A.P. Mayer.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 Dr. M. Faridi: P. Spinks.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99" w:name="Judgment_29"/>
      <w:bookmarkEnd w:id="199"/>
      <w:r>
        <w:pict>
          <v:line id="_x0000_s1174" style="position:absolute;z-index:25184051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00" w:name="L.D. RUSSELL J."/>
            <w:bookmarkEnd w:id="200"/>
            <w:r>
              <w:rPr>
                <w:rFonts w:ascii="arial" w:eastAsia="arial" w:hAnsi="arial" w:cs="arial"/>
                <w:b/>
                <w:color w:val="000000"/>
                <w:sz w:val="30"/>
                <w:lang w:val="en-US" w:eastAsia="en-US" w:bidi="ar-SA"/>
              </w:rPr>
              <w:t>L.D. RUSSELL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This is an application to join several parties to a proceeding pursuant to Rule 15(5)(a)(iii) of the British Columbia </w:t>
      </w:r>
      <w:r>
        <w:rPr>
          <w:rFonts w:ascii="arial" w:eastAsia="arial" w:hAnsi="arial" w:cs="arial"/>
          <w:i/>
          <w:color w:val="000000"/>
          <w:sz w:val="20"/>
          <w:lang w:val="en-US" w:eastAsia="en-US" w:bidi="ar-SA"/>
        </w:rPr>
        <w:t>Supreme Court Rules</w:t>
      </w:r>
      <w:r>
        <w:rPr>
          <w:rFonts w:ascii="arial" w:eastAsia="arial" w:hAnsi="arial" w:cs="arial"/>
          <w:color w:val="000000"/>
          <w:sz w:val="20"/>
          <w:lang w:val="en-US" w:eastAsia="en-US" w:bidi="ar-SA"/>
        </w:rPr>
        <w:t>, B.C. Reg. 221/90.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plaintiff, Ms. Leonora Forde, is pursuing an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various medical professionals. The plaintiff alleges there was an unreasonable delay in diagnosis, a failure to communicate and other negligent acts, thereby causing her injury, loss and expense.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filed a Writ of Summons on June 1, 2004, naming the Royal Inland Hospital, Dr. Faridi, Dr. Newell and Dr. Oyler, as defendants. The plaintiff now applies to add four further medical professionals to the existing action, Drs. Bilbey, Walter, Redekop and Toyota. Should this application fail, the plaintiff will be statute-barred from recovering against the latter four doctors. The limitation periods have expired.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2001, the plaintiff began seeking treatment from her family physician, Dr. Newell, for lower back pain. She was referred to various specialists, but her condition continued to decline until she eventually became quadriplegic. The plaintiff received a diagnosis of vascular malformation (AVM) in November 2002. Surgery was performed in April 2003 by Dr. Redekop.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retained Mr. Renaud as counsel in late 2003 and initiated the action against the original defendants on June 1, 2004. Mr. Renaud argues that he had no basis upon which to add Drs. Bilbey, Walter, Redekop and Toyota as defendants at the time the original writ was filed.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Mr. Renaud states that in June 2004, even though he was aware that there were radiologists involved in the assessment of the plaintiff, he had no reason to believe that Drs. Bilbey and Clare could be held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At that time, Mr. Renaud believed that the defendant hospital was responsible for the creation and administration of a system of communication regarding patient care. On November 6, 2006, Mr. Renaud received a statement of defence from the defendant hospital disclaiming responsibility for any administrative failure and arguing that this responsibility fell on individual radiologists. Mr. Renaud claims that it was at this point that he felt it necessary to add Drs. Bilbey and Clare as defendants. On March 16, 2007, Mr. Renaud applied to add the radiologists as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Although Mr. Renaud was aware at all times that Dr. Redekop had performed surgery on the plaintiff in April 2003, he states that he did not become aware that Dr. Redekop was involved in the plaintiff's care prior to this date until July 2006. At the examination for discovery of Dr. Faridi in July 2006, Mr. Renaud received telephone records indicating telephone communication between Dr. Faridi's office and Dr. Redekop's office on January 3, 2003. Accordingly, Mr. Renaud felt it necessary to add Dr. Redekop as a defendant and Dr. Redekop was served on October 30,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Renaud states that, although he reviewed Dr. Faridi's records around June 2004 and observed a referral letter to Dr. Toyota, he had no reason at that time to believe that Dr. Toyota was involved in the plaintiff's care. There was no corresponding MSP record, the plaintiff was unaware of any involvement of Dr. Toyota, and Dr. Toyota advised Mr. Renaud that he did not have any clinical records relating to the plaintiff. On August 25, 2005, Mr. Renaud received further records from Dr. Faridi indicating that Dr. Toyota had some involvement in the plaintiff's care. However, it was not until July 26, 2006 that Mr. Renaud received documents indicating that diagnostic images had been delivered to Dr. Toyota's office in 2002. At this time, Mr. Renaud felt it necessary to add Dr. Toyota as a defendant in the action. Dr. Toyota was served on November 1,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Renaud states that any delay in adding the proposed defendants stems from error in judgment or inadvertence. He argues that the delay was not a tactical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Rule 15(5)(a)(iii) provides as follows:</w:t>
      </w:r>
      <w:r>
        <w:rPr>
          <w:rFonts w:ascii="arial" w:eastAsia="arial" w:hAnsi="arial" w:cs="arial"/>
          <w:sz w:val="20"/>
          <w:lang w:val="en-US" w:eastAsia="en-US" w:bidi="ar-SA"/>
        </w:rPr>
        <w:cr/>
      </w:r>
    </w:p>
    <w:p>
      <w:pPr>
        <w:numPr>
          <w:numId w:val="1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any stage of a proceeding, the court on application by any person may</w:t>
      </w:r>
    </w:p>
    <w:p>
      <w:pPr>
        <w:numPr>
          <w:numId w:val="2"/>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order that a person be added as a party where there may exist, between the person and any party to the proceeding, a question or issue relating to or connected</w:t>
      </w:r>
    </w:p>
    <w:p>
      <w:pPr>
        <w:numPr>
          <w:numId w:val="4"/>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with any relief claimed in the proceeding, or</w:t>
      </w:r>
    </w:p>
    <w:p>
      <w:pPr>
        <w:numPr>
          <w:numId w:val="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with the subject matter of the proceeding,</w:t>
      </w:r>
    </w:p>
    <w:p>
      <w:pPr>
        <w:spacing w:before="120" w:line="260" w:lineRule="atLeast"/>
        <w:ind w:left="1800"/>
        <w:rPr>
          <w:rFonts w:ascii="arial" w:eastAsia="arial" w:hAnsi="arial" w:cs="arial"/>
          <w:sz w:val="20"/>
          <w:lang w:val="en-US" w:eastAsia="en-US" w:bidi="ar-SA"/>
        </w:rPr>
      </w:pPr>
      <w:r>
        <w:rPr>
          <w:rFonts w:ascii="arial" w:eastAsia="arial" w:hAnsi="arial" w:cs="arial"/>
          <w:color w:val="000000"/>
          <w:sz w:val="20"/>
          <w:lang w:val="en-US" w:eastAsia="en-US" w:bidi="ar-SA"/>
        </w:rPr>
        <w:t>which in the opinion of the court it would be just and convenient to determine as between the person and that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two part test for the addition of parties under Rule 15(5)(a)(iii) is well established:</w:t>
      </w:r>
      <w:r>
        <w:rPr>
          <w:rFonts w:ascii="arial" w:eastAsia="arial" w:hAnsi="arial" w:cs="arial"/>
          <w:sz w:val="20"/>
          <w:lang w:val="en-US" w:eastAsia="en-US" w:bidi="ar-SA"/>
        </w:rPr>
        <w:cr/>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must be satisfied that there is a question or issue between the parties relating to the relief, remedy or subject matter of the suit; and</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it is just and convenient to determine the issue in the proceedings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See </w:t>
      </w:r>
      <w:r>
        <w:rPr>
          <w:rFonts w:ascii="arial" w:eastAsia="arial" w:hAnsi="arial" w:cs="arial"/>
          <w:b/>
          <w:i/>
          <w:color w:val="000000"/>
          <w:sz w:val="20"/>
          <w:lang w:val="en-US" w:eastAsia="en-US" w:bidi="ar-SA"/>
        </w:rPr>
        <w:t>Strata Plan LMS 1816 v. Acastina Investments Ltd.</w:t>
      </w:r>
      <w:r>
        <w:rPr>
          <w:rFonts w:ascii="arial" w:eastAsia="arial" w:hAnsi="arial" w:cs="arial"/>
          <w:color w:val="000000"/>
          <w:sz w:val="20"/>
          <w:lang w:val="en-US" w:eastAsia="en-US" w:bidi="ar-SA"/>
        </w:rPr>
        <w:t xml:space="preserve">, </w:t>
      </w:r>
      <w:hyperlink r:id="rId203" w:history="1">
        <w:r>
          <w:rPr>
            <w:rFonts w:ascii="arial" w:eastAsia="arial" w:hAnsi="arial" w:cs="arial"/>
            <w:i/>
            <w:color w:val="0077CC"/>
            <w:sz w:val="20"/>
            <w:u w:val="single"/>
            <w:shd w:val="clear" w:color="auto" w:fill="FFFFFF"/>
            <w:lang w:val="en-US" w:eastAsia="en-US" w:bidi="ar-SA"/>
          </w:rPr>
          <w:t>2004 BCCA 578</w:t>
        </w:r>
      </w:hyperlink>
      <w:r>
        <w:rPr>
          <w:rFonts w:ascii="arial" w:eastAsia="arial" w:hAnsi="arial" w:cs="arial"/>
          <w:color w:val="000000"/>
          <w:sz w:val="20"/>
          <w:lang w:val="en-US" w:eastAsia="en-US" w:bidi="ar-SA"/>
        </w:rPr>
        <w:t xml:space="preserve">, </w:t>
      </w:r>
      <w:hyperlink r:id="rId203" w:history="1">
        <w:r>
          <w:rPr>
            <w:rFonts w:ascii="arial" w:eastAsia="arial" w:hAnsi="arial" w:cs="arial"/>
            <w:i/>
            <w:color w:val="0077CC"/>
            <w:sz w:val="20"/>
            <w:u w:val="single"/>
            <w:shd w:val="clear" w:color="auto" w:fill="FFFFFF"/>
            <w:lang w:val="en-US" w:eastAsia="en-US" w:bidi="ar-SA"/>
          </w:rPr>
          <w:t>33 B.C.L.R. (4th) 69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The first branch of the Rule 15(5)(a)(iii) test will be met when a plaintiff can show that it has a possible cause of action against a proposed defendant. The threshold at this stage is low, and evidence is not to be analyzed. In </w:t>
      </w:r>
      <w:r>
        <w:rPr>
          <w:rFonts w:ascii="arial" w:eastAsia="arial" w:hAnsi="arial" w:cs="arial"/>
          <w:b/>
          <w:i/>
          <w:color w:val="000000"/>
          <w:sz w:val="20"/>
          <w:lang w:val="en-US" w:eastAsia="en-US" w:bidi="ar-SA"/>
        </w:rPr>
        <w:t>MacMillan Bloedel Ltd. v. Binstead</w:t>
      </w:r>
      <w:r>
        <w:rPr>
          <w:rFonts w:ascii="arial" w:eastAsia="arial" w:hAnsi="arial" w:cs="arial"/>
          <w:color w:val="000000"/>
          <w:sz w:val="20"/>
          <w:lang w:val="en-US" w:eastAsia="en-US" w:bidi="ar-SA"/>
        </w:rPr>
        <w:t xml:space="preserve"> </w:t>
      </w:r>
      <w:hyperlink r:id="rId204" w:history="1">
        <w:r>
          <w:rPr>
            <w:rFonts w:ascii="arial" w:eastAsia="arial" w:hAnsi="arial" w:cs="arial"/>
            <w:i/>
            <w:color w:val="0077CC"/>
            <w:sz w:val="20"/>
            <w:u w:val="single"/>
            <w:shd w:val="clear" w:color="auto" w:fill="FFFFFF"/>
            <w:lang w:val="en-US" w:eastAsia="en-US" w:bidi="ar-SA"/>
          </w:rPr>
          <w:t>(1981), 58 B.C.L.R. 173</w:t>
        </w:r>
      </w:hyperlink>
      <w:r>
        <w:rPr>
          <w:rFonts w:ascii="arial" w:eastAsia="arial" w:hAnsi="arial" w:cs="arial"/>
          <w:color w:val="000000"/>
          <w:sz w:val="20"/>
          <w:lang w:val="en-US" w:eastAsia="en-US" w:bidi="ar-SA"/>
        </w:rPr>
        <w:t>, [1982] B.C.W.L.D. 494 (C.A.) at para. 16, the court set out the correct approach that a trial judge should take when evaluating the first branch of the test: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seems to me clear that one of the functions of the chambers judge hearing an application under this rule must be to decide whether there may exist between the appropriate parties a question which can be answered or an issue which can be decided by a court of law or by a judge exercising jurisdiction in a judicial capacity and to see, through whatever means, and not necessarily affidavits, that the question or issue is a real one in the sense that it is not entirely frivolous and would result in courts wasting judicial time. It is not the function, in my opinion, to decide whether on any kind of balance it is likely that the plaintiff would be able to prove its allegations on a balance of probabilities or to any other degree beyond showing that there may exist a question or such an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To demonstrate a possible cause of action against the defendant, the plaintiff must plead those facts which are material to a viable cause of action (</w:t>
      </w:r>
      <w:r>
        <w:rPr>
          <w:rFonts w:ascii="arial" w:eastAsia="arial" w:hAnsi="arial" w:cs="arial"/>
          <w:b/>
          <w:i/>
          <w:color w:val="000000"/>
          <w:sz w:val="20"/>
          <w:lang w:val="en-US" w:eastAsia="en-US" w:bidi="ar-SA"/>
        </w:rPr>
        <w:t>Acastina Investments</w:t>
      </w:r>
      <w:r>
        <w:rPr>
          <w:rFonts w:ascii="arial" w:eastAsia="arial" w:hAnsi="arial" w:cs="arial"/>
          <w:i/>
          <w:color w:val="000000"/>
          <w:sz w:val="20"/>
          <w:lang w:val="en-US" w:eastAsia="en-US" w:bidi="ar-SA"/>
        </w:rPr>
        <w:t xml:space="preserve">, supra; </w:t>
      </w:r>
      <w:r>
        <w:rPr>
          <w:rFonts w:ascii="arial" w:eastAsia="arial" w:hAnsi="arial" w:cs="arial"/>
          <w:b/>
          <w:i/>
          <w:color w:val="000000"/>
          <w:sz w:val="20"/>
          <w:lang w:val="en-US" w:eastAsia="en-US" w:bidi="ar-SA"/>
        </w:rPr>
        <w:t>Link v. Texas Oil &amp; Gas Inc.</w:t>
      </w:r>
      <w:r>
        <w:rPr>
          <w:rFonts w:ascii="arial" w:eastAsia="arial" w:hAnsi="arial" w:cs="arial"/>
          <w:color w:val="000000"/>
          <w:sz w:val="20"/>
          <w:lang w:val="en-US" w:eastAsia="en-US" w:bidi="ar-SA"/>
        </w:rPr>
        <w:t xml:space="preserve">, </w:t>
      </w:r>
      <w:hyperlink r:id="rId578" w:history="1">
        <w:r>
          <w:rPr>
            <w:rFonts w:ascii="arial" w:eastAsia="arial" w:hAnsi="arial" w:cs="arial"/>
            <w:i/>
            <w:color w:val="0077CC"/>
            <w:sz w:val="20"/>
            <w:u w:val="single"/>
            <w:shd w:val="clear" w:color="auto" w:fill="FFFFFF"/>
            <w:lang w:val="en-US" w:eastAsia="en-US" w:bidi="ar-SA"/>
          </w:rPr>
          <w:t>2006 BCSC 1520</w:t>
        </w:r>
      </w:hyperlink>
      <w:r>
        <w:rPr>
          <w:rFonts w:ascii="arial" w:eastAsia="arial" w:hAnsi="arial" w:cs="arial"/>
          <w:color w:val="000000"/>
          <w:sz w:val="20"/>
          <w:lang w:val="en-US" w:eastAsia="en-US" w:bidi="ar-SA"/>
        </w:rPr>
        <w:t>, [2007] B.C.W.L.D. 1663).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There is ample authority for the proposition that, although pleadings may be general, they must be specific enough to show on what grounds the proposed defendant is being sued (</w:t>
      </w:r>
      <w:r>
        <w:rPr>
          <w:rFonts w:ascii="arial" w:eastAsia="arial" w:hAnsi="arial" w:cs="arial"/>
          <w:b/>
          <w:i/>
          <w:color w:val="000000"/>
          <w:sz w:val="20"/>
          <w:lang w:val="en-US" w:eastAsia="en-US" w:bidi="ar-SA"/>
        </w:rPr>
        <w:t>Strata Plan LMS 2869 v. Redekop Properties (Lonsdale) Inc.</w:t>
      </w:r>
      <w:r>
        <w:rPr>
          <w:rFonts w:ascii="arial" w:eastAsia="arial" w:hAnsi="arial" w:cs="arial"/>
          <w:color w:val="000000"/>
          <w:sz w:val="20"/>
          <w:lang w:val="en-US" w:eastAsia="en-US" w:bidi="ar-SA"/>
        </w:rPr>
        <w:t xml:space="preserve">, </w:t>
      </w:r>
      <w:hyperlink r:id="rId579" w:history="1">
        <w:r>
          <w:rPr>
            <w:rFonts w:ascii="arial" w:eastAsia="arial" w:hAnsi="arial" w:cs="arial"/>
            <w:i/>
            <w:color w:val="0077CC"/>
            <w:sz w:val="20"/>
            <w:u w:val="single"/>
            <w:shd w:val="clear" w:color="auto" w:fill="FFFFFF"/>
            <w:lang w:val="en-US" w:eastAsia="en-US" w:bidi="ar-SA"/>
          </w:rPr>
          <w:t>2002 BCSC 1608</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Mareigh v. Demco</w:t>
      </w:r>
      <w:r>
        <w:rPr>
          <w:rFonts w:ascii="arial" w:eastAsia="arial" w:hAnsi="arial" w:cs="arial"/>
          <w:color w:val="000000"/>
          <w:sz w:val="20"/>
          <w:lang w:val="en-US" w:eastAsia="en-US" w:bidi="ar-SA"/>
        </w:rPr>
        <w:t xml:space="preserve"> (1981), 21 C.P.C. 101 (B.C.S.C.); </w:t>
      </w:r>
      <w:r>
        <w:rPr>
          <w:rFonts w:ascii="arial" w:eastAsia="arial" w:hAnsi="arial" w:cs="arial"/>
          <w:b/>
          <w:i/>
          <w:color w:val="000000"/>
          <w:sz w:val="20"/>
          <w:lang w:val="en-US" w:eastAsia="en-US" w:bidi="ar-SA"/>
        </w:rPr>
        <w:t>Hunt v. T&amp;N plc. et al.</w:t>
      </w:r>
      <w:r>
        <w:rPr>
          <w:rFonts w:ascii="arial" w:eastAsia="arial" w:hAnsi="arial" w:cs="arial"/>
          <w:color w:val="000000"/>
          <w:sz w:val="20"/>
          <w:lang w:val="en-US" w:eastAsia="en-US" w:bidi="ar-SA"/>
        </w:rPr>
        <w:t xml:space="preserve"> </w:t>
      </w:r>
      <w:hyperlink r:id="rId580" w:history="1">
        <w:r>
          <w:rPr>
            <w:rFonts w:ascii="arial" w:eastAsia="arial" w:hAnsi="arial" w:cs="arial"/>
            <w:i/>
            <w:color w:val="0077CC"/>
            <w:sz w:val="20"/>
            <w:u w:val="single"/>
            <w:shd w:val="clear" w:color="auto" w:fill="FFFFFF"/>
            <w:lang w:val="en-US" w:eastAsia="en-US" w:bidi="ar-SA"/>
          </w:rPr>
          <w:t>(1989), 41 B.C.L.R. (2d) 269</w:t>
        </w:r>
      </w:hyperlink>
      <w:r>
        <w:rPr>
          <w:rFonts w:ascii="arial" w:eastAsia="arial" w:hAnsi="arial" w:cs="arial"/>
          <w:color w:val="000000"/>
          <w:sz w:val="20"/>
          <w:lang w:val="en-US" w:eastAsia="en-US" w:bidi="ar-SA"/>
        </w:rPr>
        <w:t xml:space="preserve">, 38 C.P.C. (2d) 1 (B.C.C.A.); </w:t>
      </w:r>
      <w:r>
        <w:rPr>
          <w:rFonts w:ascii="arial" w:eastAsia="arial" w:hAnsi="arial" w:cs="arial"/>
          <w:b/>
          <w:i/>
          <w:color w:val="000000"/>
          <w:sz w:val="20"/>
          <w:lang w:val="en-US" w:eastAsia="en-US" w:bidi="ar-SA"/>
        </w:rPr>
        <w:t>Robson Bulldozing Ltd. v. Royal Bank of Canada et al.</w:t>
      </w:r>
      <w:r>
        <w:rPr>
          <w:rFonts w:ascii="arial" w:eastAsia="arial" w:hAnsi="arial" w:cs="arial"/>
          <w:color w:val="000000"/>
          <w:sz w:val="20"/>
          <w:lang w:val="en-US" w:eastAsia="en-US" w:bidi="ar-SA"/>
        </w:rPr>
        <w:t xml:space="preserve"> </w:t>
      </w:r>
      <w:hyperlink r:id="rId581" w:history="1">
        <w:r>
          <w:rPr>
            <w:rFonts w:ascii="arial" w:eastAsia="arial" w:hAnsi="arial" w:cs="arial"/>
            <w:i/>
            <w:color w:val="0077CC"/>
            <w:sz w:val="20"/>
            <w:u w:val="single"/>
            <w:shd w:val="clear" w:color="auto" w:fill="FFFFFF"/>
            <w:lang w:val="en-US" w:eastAsia="en-US" w:bidi="ar-SA"/>
          </w:rPr>
          <w:t>(1985), 62 B.C.L.R. 267</w:t>
        </w:r>
      </w:hyperlink>
      <w:r>
        <w:rPr>
          <w:rFonts w:ascii="arial" w:eastAsia="arial" w:hAnsi="arial" w:cs="arial"/>
          <w:color w:val="000000"/>
          <w:sz w:val="20"/>
          <w:lang w:val="en-US" w:eastAsia="en-US" w:bidi="ar-SA"/>
        </w:rPr>
        <w:t xml:space="preserve">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 respondents rely on </w:t>
      </w:r>
      <w:r>
        <w:rPr>
          <w:rFonts w:ascii="arial" w:eastAsia="arial" w:hAnsi="arial" w:cs="arial"/>
          <w:b/>
          <w:i/>
          <w:color w:val="000000"/>
          <w:sz w:val="20"/>
          <w:lang w:val="en-US" w:eastAsia="en-US" w:bidi="ar-SA"/>
        </w:rPr>
        <w:t>Basdeo (Litigation Guardian of) v. University Health Network</w:t>
      </w:r>
      <w:r>
        <w:rPr>
          <w:rFonts w:ascii="arial" w:eastAsia="arial" w:hAnsi="arial" w:cs="arial"/>
          <w:color w:val="000000"/>
          <w:sz w:val="20"/>
          <w:lang w:val="en-US" w:eastAsia="en-US" w:bidi="ar-SA"/>
        </w:rPr>
        <w:t xml:space="preserve">, </w:t>
      </w:r>
      <w:hyperlink r:id="rId582" w:history="1">
        <w:r>
          <w:rPr>
            <w:rFonts w:ascii="arial" w:eastAsia="arial" w:hAnsi="arial" w:cs="arial"/>
            <w:i/>
            <w:color w:val="0077CC"/>
            <w:sz w:val="20"/>
            <w:u w:val="single"/>
            <w:shd w:val="clear" w:color="auto" w:fill="FFFFFF"/>
            <w:lang w:val="en-US" w:eastAsia="en-US" w:bidi="ar-SA"/>
          </w:rPr>
          <w:t>[2002] O.T.C. 54</w:t>
        </w:r>
      </w:hyperlink>
      <w:r>
        <w:rPr>
          <w:rFonts w:ascii="arial" w:eastAsia="arial" w:hAnsi="arial" w:cs="arial"/>
          <w:color w:val="000000"/>
          <w:sz w:val="20"/>
          <w:lang w:val="en-US" w:eastAsia="en-US" w:bidi="ar-SA"/>
        </w:rPr>
        <w:t xml:space="preserve">, </w:t>
      </w:r>
      <w:hyperlink r:id="rId582" w:history="1">
        <w:r>
          <w:rPr>
            <w:rFonts w:ascii="arial" w:eastAsia="arial" w:hAnsi="arial" w:cs="arial"/>
            <w:i/>
            <w:color w:val="0077CC"/>
            <w:sz w:val="20"/>
            <w:u w:val="single"/>
            <w:shd w:val="clear" w:color="auto" w:fill="FFFFFF"/>
            <w:lang w:val="en-US" w:eastAsia="en-US" w:bidi="ar-SA"/>
          </w:rPr>
          <w:t>111 A.C.W.S. (3d) 33</w:t>
        </w:r>
      </w:hyperlink>
      <w:r>
        <w:rPr>
          <w:rFonts w:ascii="arial" w:eastAsia="arial" w:hAnsi="arial" w:cs="arial"/>
          <w:color w:val="000000"/>
          <w:sz w:val="20"/>
          <w:lang w:val="en-US" w:eastAsia="en-US" w:bidi="ar-SA"/>
        </w:rPr>
        <w:t xml:space="preserve"> (O.S.C.J.) to argue that the pleadings in this case fail to contain material facts giving rise to a viable cause of action. </w:t>
      </w:r>
      <w:r>
        <w:rPr>
          <w:rFonts w:ascii="arial" w:eastAsia="arial" w:hAnsi="arial" w:cs="arial"/>
          <w:b/>
          <w:i/>
          <w:color w:val="000000"/>
          <w:sz w:val="20"/>
          <w:lang w:val="en-US" w:eastAsia="en-US" w:bidi="ar-SA"/>
        </w:rPr>
        <w:t>Basdeo</w:t>
      </w:r>
      <w:r>
        <w:rPr>
          <w:rFonts w:ascii="arial" w:eastAsia="arial" w:hAnsi="arial" w:cs="arial"/>
          <w:i/>
          <w:color w:val="000000"/>
          <w:sz w:val="20"/>
          <w:lang w:val="en-US" w:eastAsia="en-US" w:bidi="ar-SA"/>
        </w:rPr>
        <w:t>, supra</w:t>
      </w:r>
      <w:r>
        <w:rPr>
          <w:rFonts w:ascii="arial" w:eastAsia="arial" w:hAnsi="arial" w:cs="arial"/>
          <w:color w:val="000000"/>
          <w:sz w:val="20"/>
          <w:lang w:val="en-US" w:eastAsia="en-US" w:bidi="ar-SA"/>
        </w:rPr>
        <w:t xml:space="preserve"> stands for the proposition that it is inappropriate to lump defendants together and make blanket allegations against them, unless those defendants were in an identical relationship to the plaintiff. Standard or "boilerplate" allegations in a statement of claim will often not satisfy the requirements under the first stage of the Rule 15(5)(a)(iii)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I agree that the plaintiff has improperly made blanket allegations against the proposed defendants. The pleadings are imprecise and overly general. Paragraph 23 of the Amended Statement of Claim alleges that the "Defendants, or any one combination thereof, and/or their servants or agents who treated, attended and advised the Plaintiff are guilty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Paragraph 24 purports to set out the particulars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containing 11 allegations that are applicable to one, several, or all of the defendants. As has been pointed out by the respondents, if the defendants were involved in the plaintiff's care, they would have provided different types of care, for different reasons, at different times.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It is impossible to discern on what basis each of the proposed defendants could be held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This is further complicated by the fact that affidavit evidence of some of the respondent physicians suggests that they had nothing to do with the plaintiff's care at the relevant time. Thus, I agree with the respondents that merely setting out a list of negligent actions that may or may not be applicable to each of the defendants on an individual level is so imprecise that it fails to give rise to a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 dismiss the plaintiff's petition with costs to the defendants. This dismissal is without prejudice to the plaintiff's right to amend the pleadings and submit a new application for joinder.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L.D. RUSSELL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75" style="position:absolute;z-index:2518865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83"/>
          <w:headerReference w:type="default" r:id="rId584"/>
          <w:footerReference w:type="even" r:id="rId585"/>
          <w:footerReference w:type="default" r:id="rId586"/>
          <w:headerReference w:type="first" r:id="rId587"/>
          <w:footerReference w:type="first" r:id="rId58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589" w:history="1">
        <w:r>
          <w:rPr>
            <w:rFonts w:ascii="arial" w:eastAsia="arial" w:hAnsi="arial" w:cs="arial"/>
            <w:b/>
            <w:bCs/>
            <w:i/>
            <w:color w:val="0077CC"/>
            <w:kern w:val="32"/>
            <w:sz w:val="28"/>
            <w:szCs w:val="32"/>
            <w:u w:val="single"/>
            <w:shd w:val="clear" w:color="auto" w:fill="FFFFFF"/>
            <w:lang w:val="en-US" w:eastAsia="en-US" w:bidi="ar-SA"/>
          </w:rPr>
          <w:t>Fraser v. Vancouver (City), [2016] B.C.J. No. 1217</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M.L. Fleming J.</w:t>
      </w:r>
    </w:p>
    <w:p>
      <w:pPr>
        <w:spacing w:before="120" w:line="260" w:lineRule="atLeast"/>
        <w:jc w:val="center"/>
        <w:rPr>
          <w:lang w:val="en-US" w:eastAsia="en-US" w:bidi="ar-SA"/>
        </w:rPr>
      </w:pPr>
      <w:r>
        <w:rPr>
          <w:rFonts w:ascii="arial" w:eastAsia="arial" w:hAnsi="arial" w:cs="arial"/>
          <w:color w:val="000000"/>
          <w:sz w:val="20"/>
          <w:lang w:val="en-US" w:eastAsia="en-US" w:bidi="ar-SA"/>
        </w:rPr>
        <w:t>Heard: May 10-12, 2016.</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June 13, 2016.</w:t>
      </w:r>
    </w:p>
    <w:p>
      <w:pPr>
        <w:spacing w:before="120" w:line="260" w:lineRule="atLeast"/>
        <w:jc w:val="center"/>
        <w:rPr>
          <w:lang w:val="en-US" w:eastAsia="en-US" w:bidi="ar-SA"/>
        </w:rPr>
      </w:pPr>
      <w:r>
        <w:rPr>
          <w:rFonts w:ascii="arial" w:eastAsia="arial" w:hAnsi="arial" w:cs="arial"/>
          <w:color w:val="000000"/>
          <w:sz w:val="20"/>
          <w:lang w:val="en-US" w:eastAsia="en-US" w:bidi="ar-SA"/>
        </w:rPr>
        <w:t>Docket: S138613</w:t>
      </w:r>
    </w:p>
    <w:p>
      <w:pPr>
        <w:spacing w:before="120" w:line="260" w:lineRule="atLeast"/>
        <w:jc w:val="center"/>
        <w:rPr>
          <w:lang w:val="en-US" w:eastAsia="en-US" w:bidi="ar-SA"/>
        </w:rPr>
      </w:pPr>
      <w:r>
        <w:rPr>
          <w:rFonts w:ascii="arial" w:eastAsia="arial" w:hAnsi="arial" w:cs="arial"/>
          <w:color w:val="000000"/>
          <w:sz w:val="20"/>
          <w:lang w:val="en-US" w:eastAsia="en-US" w:bidi="ar-SA"/>
        </w:rPr>
        <w:t>Registry: Vancouver</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[2016] B.C.J. No. 1217</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2016 BCSC 1074</w:t>
      </w:r>
    </w:p>
    <w:p>
      <w:pPr>
        <w:spacing w:before="120" w:line="260" w:lineRule="atLeast"/>
        <w:rPr>
          <w:lang w:val="en-US" w:eastAsia="en-US" w:bidi="ar-SA"/>
        </w:rPr>
      </w:pPr>
      <w:r>
        <w:rPr>
          <w:rFonts w:ascii="arial" w:eastAsia="arial" w:hAnsi="arial" w:cs="arial"/>
          <w:color w:val="000000"/>
          <w:sz w:val="20"/>
          <w:lang w:val="en-US" w:eastAsia="en-US" w:bidi="ar-SA"/>
        </w:rPr>
        <w:t>Between Ranald Craig Fraser, Plaintiff, and City of Vancouver and ABC Company Ltd.,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(51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176" style="position:absolute;z-index:251689984"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201" w:name="Keywords_28"/>
      <w:bookmarkEnd w:id="201"/>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Causation — Causal connection — Action by Fraser for damages in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dismissed — Fraser was walking with his mountain bike in area where City was engaged in construction project — Fraser claimed his bicycle dropped from main sidewalk into construction area next to road because there was no safety equipment in place to warn of any risk or to prevent access to area — Fraser experienced injury to his thumb — Fraser failed to establish accident occurred as he alleged — There were several problems with Fraser's evidence, which together undermined his credibility — Expert undermined Fraser's account of accident.</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202" w:name="Case Summary_26"/>
            <w:bookmarkEnd w:id="202"/>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Action by Fraser for damages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Fraser was walking with his mountain bike in an area where the City was engaged in a construction project involving the roadway, the curbs, and the outer sections of the sidewalks. Fraser claimed his bicycle dropped from the main sidewalk into the construction area next to the road because there was no safety equipment in place to warn of any risk or to prevent access to the area. Fraser experienced an injury to his thumb, which required two minor surgical procedures. The City denied liability on the basis that Fraser had not established how the injury occurred. </w:t>
            </w:r>
            <w:r>
              <w:rPr>
                <w:lang w:val="en-US" w:eastAsia="en-US" w:bidi="ar-SA"/>
              </w:rPr>
              <w:cr/>
            </w:r>
          </w:p>
          <w:p>
            <w:pPr>
              <w:spacing w:before="120" w:line="260" w:lineRule="atLeast"/>
              <w:ind w:left="240"/>
              <w:jc w:val="both"/>
              <w:rPr>
                <w:lang w:val="en-US" w:eastAsia="en-US" w:bidi="ar-SA"/>
              </w:rPr>
            </w:pPr>
            <w:bookmarkStart w:id="203" w:name="Holdings of Court_19"/>
            <w:bookmarkEnd w:id="203"/>
            <w:r>
              <w:rPr>
                <w:rFonts w:ascii="arial" w:eastAsia="arial" w:hAnsi="arial" w:cs="arial"/>
                <w:color w:val="000000"/>
                <w:sz w:val="20"/>
                <w:lang w:val="en-US" w:eastAsia="en-US" w:bidi="ar-SA"/>
              </w:rPr>
              <w:t>HELD: Action dismissed.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Fraser failed to establish the accident occurred as he alleged. A doubt was raised by Fraser's evidence about what actually happened to cause the injury to his right thumb. There were several problems with Fraser's evidence, which together undermined his credibility. The most concerning aspect of his evidence was his very limited account of the accident itself. It seemed unlikely that after walking without any difficulty along a straight stretch of sidewalk that was 6 feet 3 inches wide, Fraser would have veered left into the construction area, which contained brightly coloured safety equipment that was there to be seen. The evidence of a reconstructionist expert undermined Fraser's account of the accident. </w:t>
            </w:r>
            <w:r>
              <w:rPr>
                <w:lang w:val="en-US" w:eastAsia="en-US" w:bidi="ar-SA"/>
              </w:rPr>
              <w:cr/>
            </w:r>
          </w:p>
          <w:p>
            <w:pPr>
              <w:rPr>
                <w:lang w:val="en-US" w:eastAsia="en-US" w:bidi="ar-SA"/>
              </w:rPr>
            </w:pPr>
          </w:p>
        </w:tc>
      </w:tr>
    </w:tbl>
    <w:p>
      <w:pPr>
        <w:jc w:val="both"/>
        <w:rPr>
          <w:lang w:val="en-US" w:eastAsia="en-US" w:bidi="ar-SA"/>
        </w:rPr>
      </w:pPr>
      <w:bookmarkStart w:id="204" w:name="Counsel_30"/>
      <w:bookmarkEnd w:id="204"/>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177" style="position:absolute;z-index:251741184"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the Plaintiff: K.J. McLaren, A. Truong.</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 City of Vancouver: F. LeTourneux.</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 ABC Company Ltd.: No Appearance.</w:t>
      </w:r>
      <w:r>
        <w:rPr>
          <w:lang w:val="en-US" w:eastAsia="en-US" w:bidi="ar-SA"/>
        </w:rPr>
        <w:cr/>
      </w:r>
    </w:p>
    <w:p>
      <w:pPr>
        <w:spacing w:after="240"/>
        <w:rPr>
          <w:lang w:val="en-US" w:eastAsia="en-US" w:bidi="ar-SA"/>
        </w:rPr>
      </w:pPr>
      <w:bookmarkStart w:id="205" w:name="Judgment_30"/>
      <w:bookmarkEnd w:id="205"/>
      <w:r>
        <w:pict>
          <v:line id="_x0000_s1178" style="position:absolute;z-index:251792384" from="0,12pt" to="512pt,12pt" strokecolor="#009ddb" strokeweight="1.5pt">
            <v:stroke linestyle="single"/>
          </v:line>
        </w:pict>
      </w:r>
    </w:p>
    <w:p>
      <w:pPr>
        <w:spacing w:before="120" w:line="260" w:lineRule="atLeast"/>
        <w:jc w:val="center"/>
        <w:rPr>
          <w:lang w:val="en-US" w:eastAsia="en-US" w:bidi="ar-SA"/>
        </w:rPr>
      </w:pPr>
      <w:r>
        <w:rPr>
          <w:rFonts w:ascii="arial" w:eastAsia="arial" w:hAnsi="arial" w:cs="arial"/>
          <w:b/>
          <w:color w:val="000000"/>
          <w:sz w:val="20"/>
          <w:lang w:val="en-US" w:eastAsia="en-US" w:bidi="ar-SA"/>
        </w:rPr>
        <w:t>Reasons for Judgment</w:t>
      </w:r>
      <w:r>
        <w:rPr>
          <w:lang w:val="en-US" w:eastAsia="en-US" w:bidi="ar-SA"/>
        </w:rPr>
        <w:cr/>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206" w:name="M.L. FLEMING J."/>
            <w:bookmarkEnd w:id="206"/>
            <w:r>
              <w:rPr>
                <w:rFonts w:ascii="arial" w:eastAsia="arial" w:hAnsi="arial" w:cs="arial"/>
                <w:b/>
                <w:color w:val="000000"/>
                <w:sz w:val="30"/>
                <w:lang w:val="en-US" w:eastAsia="en-US" w:bidi="ar-SA"/>
              </w:rPr>
              <w:t>M.L. FLEMING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plaintiff, Ranald Fraser, brings this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seeking damages in relation to a fall he says occurred on May 26, 2013, while he was walking with his mountain bike in the 1600 block of West 4th Avenue in the City of Vancouver. At the time the City was engaged in a construction project involving the roadway, the curbs and the outer sections of the sidewalks in the same location. Mr. Fraser says his bicycle dropped from the main sidewalk into the construction area next to the road because there was no safety equipment in place to warn of any risk or to prevent access to the area.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Mr. Fraser injured his right thumb, which required two minor surgical procedures, the first to repair a torn ligament and the second to remove a pin. He seeks non-pecuniary and special 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City denies liability first on the basis the plaintiff has not established how the injury occurred. If the court accepts his evidence regarding the circumstances of the accident, the City takes the position it was not negligent. In other words, leaving the main sidewalk without safety equipment along the edge adjacent to the construction area was not a breach of its duty of care. In the alternative, the City argues Mr. Fraser was contributorily negligent.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There is a direct conflict in the evidence of Mr. Fraser and the City about the presence of safety equipment on the west end of the north side of the 1600 block on May 26, 2013. Mr. Fraser relies in part upon photographs he said he took shortly after the fall to depict the accident scene and the absence of the safety equipment, as well as other photographs he said he took the following day, showing delineators in place. Marijan Mudrovcic testified for the City. He was the foreman for the concrete construction crew working on the City's project in that location before and after the day of the accident. His evidence was that the various photographs do not accurately reflect the state of the construction site on May 26 and 27, 2013, and therefore could not have been taken on those dates.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Although the City does not dispute Mr. Fraser suffered an injury to his right thumb, it urges the court to reject his description of the accident based on several problems with his testimony and in light of Mr. Mudrovcic's evidence. The City also relies upon the expert evidence of Dr. Matthew Yanko, a human factors scientist. He analyzed the visibility of the construction area next to the sidewalk where Mr. Fraser says he fell, based on the circumstances he alleges. Dr. Yanko concluded the construction area and the equipment within it were likely "sufficiently" visible to the plaintiff.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 share many of the City's concerns regarding Mr. Fraser's evidence. In contrast I found Mr. Mudrovcic provided credible testimony regarding the construction that occurred and the use of delineators in the accident location before and after May 26, 2013. His evidence about those events casts serious doubt on the accuracy of Mr. Fraser's account of the accident. Ultimately I have concluded Mr. Fraser has not proven the accident occurred as he alleged on a balance of probabilities. In coming to this conclusion I also rely to some extent on Dr. Yanko's expert opinion regarding the visibility of the construction area.</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Plaintiff's Evidence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Fraser is the sales manager and an owner-operator of Kits Inflatable Boats, located at 1655 West 4th Avenue, where he has worked since 1980. The business used to be situated on Granville Island until it moved to the current location about twenty years ago. Prior to the accident, Mr. Fraser said he was aware the City was doing roadwork in the area, but not sidewalk construction. Kits Boats is just north and west of the accident site. The front entrance is clearly visible from the site, separated by a crosswalk located at the end of an exit ramp from the Granville Street Bridge and a short stretch of sidewalk. Mr. Fraser could not recall, however, ever walking along the portion of sidewalk where he said he fell, stating he always parks at the back of the store and when he leaves by the front door he turns right to visit a coffee shop in the next block west. Inexplicably, he also denied that the crosswalk that begins outside the front door of the business leads directly to the sidewalk where the accident happened.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May 26, 2013, was a Sunday. Mr. Fraser was not working that day. He lives in West Vancouver. He said he decided to drive to the store with his mountain bike and ride from there. He testified that at around 3:00 p.m. he rode his bike from the store to Granville Island through the back lanes, where he estimates he spent three to four hours looking in shops and enjoying a tapas meal. He said he then rode up through the "back trails" and merged onto the road that travels from Granville Island underneath the Granville Street Bridge up to 4th Avenue. In cross-examination he was queried about the existence of any such trails. At that point, Mr. Fraser testified he rode his bike on the grass east of Granville Island. He says he began to walk his bike when he reached the road because he did not have a bike helmet. He did not want to ride on a busy roadway without it and thought it might be illegal to ride on the sidewalk. His plan was to make his way to Kits Point.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Once he reached 4th Avenue, Mr. Fraser headed west along the sidewalk located on the north side of the street. Although he is right handed, he said he pushed his bike on his left hand side. Mr. Fraser crossed the intersection at Fir Street. He said he noticed signs of construction in the curb area up ahead, including some orange cones. In cross-examination he acknowledged he had no difficulty pushing his bike in a straight line along the stretch of sidewalk prior to the intersection, through the intersection, along the east portion of the sidewalk in the 1600 block of West 4th, and across the driveway to a veterinarian hospital located about midblock. Mr. Mudrovcic and Dr. Yanko's evidence establishes the width of the intact sidewalk at that location was and is 1.9 metres, or 6 feet 3 inches, and the length of the portion west of the driveway to the utility pole toward the end of the block is 23 metres.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After crossing the driveway, the plaintiff walked more than half way along the length of the remaining sidewalk before his bike went over the southern edge, or to the left, into the construction area. The plaintiff described landing on his right thumb, which took all of his weight, in an effort to avoid falling onto the pedals. He said he was surprised, got up and looked around, observing there were no cones or warning signs along the stretch of the sidewalk west of the driveway. He thought it was a strange way to leave a construction site, given the "big" drop-off between the concrete sidewalk and the gravel in the construction area. Mr. Mudrovcic's evidence was the depth of the drop between the side walk and the gravel surface in the construction area was approximately four inches, which I accept. Apart from stating he was looking directly into the sun before he fell, the plaintiff gave no other evidence about the circumstances of the accident itself. In cross-examination he indicated he was not wearing sunglasses because he only wears them when he is driving.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Fraser testified that after falling he decided to end his outing and put his bike in the back of the truck parked at his business. His thumb was very sore. He described no other injuries, such as abrasions. He says he walked back to the location of the accident and took a number of photographs with his iPhone because he thought the sidewalk had been left in an unsafe condition and he might need to protect himself. During cross-examination the plaintiff indicated he may have taken the photographs later in the week, but to the best of his knowledge they were taken on the Sunday. He then stated he has dyslexia and sometimes mixes things up. Ultimately he disagreed the photographs were taken on another date. Mr. Fraser said he took additional photographs the next day, Monday, May 27, 2013.</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His photographs for both days are in evidence. They do not show when they were taken. Mr. Fraser said he downloaded the pictures from his phone to his computer at home before having them printed. When it was suggested in cross-examination that he could have printed the photographs showing the date and time, he indicated his computer hard drive has since crashed and been repaired--he has three computers at home, and there are always problems with them.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Fraser also relies upon photographs taken by a friend on April 25, 2016, at 6:47 p.m. and 6:49 p.m. at the accident location to depict the effects of the sun on the day of the accident. The plaintiff described his friend's camera as "quite fancy" and denied having any knowledge of how to use it properly. The photographs are date and time stamped. There is one photograph that faces east of the accident site, which Mr. Fraser explained was intended to show how the sun was impacting on those headed west. The drivers of two cars have they visors pulled down. In cross-examination, Mr. Fraser denied there would be any significant change in the location of the sun at that time of day between April 25 and May 26, which I found surprising. He said he was not familiar with the summer solstice.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day after the accident, Mr. Fraser called his family doctor's office and attended an appointment. The clinical record of Dr. Wayne Smith dated May 27, 2013, confirms the appointment, indicating a number of issues were discussed, including the plaintiff's complaint he "fell yesterday and Jamed [sic] his thumb". Dr. Smith referred him to Dr. Ozberg, a hand surgeon, who diagnosed the plaintiff with a "skier's thumb injury" involving a complete disruption or tear of the ulnar collateral ligament. Dr. Ozberg repaired the plaintiff's injury using local anaesthetic on June 6, 2013. Mr. Fraser described the surgical procedure as extremely painful, part of which involved inserting a pin through the bone or joint in the thumb. The area was then protected with a soft cast. The pin was later removed without anaesthetic and again was very painful.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According to the plaintiff, Dr. Ozberg did not recommend any further treatment, indicating the thumb should heal on its own. Mr. Fraser sought no medical treatment for his thumb until February 2015, after he became concerned about the lack of improvement in his ongoing symptoms, namely pain with activity and stiffness in his right thumb. On July 6, 2015, he was examined by Dr. Daneshvar, an orthopaedic surgeon, who recommended a CT scan to better assess the "MCP" joint and a dorsal osteophyte. Dr. Daneshvar examined the plaintiff again on February 23, 2016, and found ongoing limited motion in the joints of the thumb.</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both his reporting letter dated July 6, 2015, and his consultation report dated February 23, 2016, the doctor described the plaintiff as sustaining the ligament injury to his thumb when he fell off his bike. In cross-examination, the plaintiff said Dr. Daneshvar was mistaken. He denied riding his bike at the time of the accident or saying that he did. In closing submissions, the plaintiff suggested the doctor simply copied the error from his letter to his report. I note, however, that the references to the accident are not the same. In his reporting letter, Dr. Daneshvar wrote: "As you know, Mr. Fraser had an injury a couple of years ago when he fell off his bike, landing onto his thumb". His consultation report reads: "He sustained an ulnar collateral ligament injury in May 2013, when he fell off his bike while going on an uneven sidewalk".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It appears that Mr. Fraser has been involved in two other accidents in the last several years. In 2009 he was involved in a motor vehicle accident. His medical records indicate he has complained of ongoing left leg and knee symptoms as a consequence. In August 2012, he fractured his right ankle while walking. In October 2013 he underwent surgery to have plates or implants removed from his ankle. He was taken to hospital by ambulance, suffering from a severe migraine headache, within a few days of the surgery.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Fraser's special damages claim includes a number of prescriptions for pain and other medications obtained in late October and early November 2013. Cross-examination revealed all of those medications related to his ankle surgery or his migraine headache. He also submitted parking receipts for a follow-up appointment at Vancouver General Hospital regarding his ankle injury and attendance at his examination for discovery on a date different from his discovery. In addition, the plaintiff claimed for the cost of a TV rental while in hospital for his ankle or his migraine headache. He did acknowledge uncertainty about the accuracy of one or two of the items he was claiming, in his direct evidence. In cross-examination, when confronted with the fact that several of them were unrelated to the accident, he said his mistakes were innocent.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special damages claim also includes the cost of attending the West Vancouver and the Vancouver Aquatic Centres on 11 occasions between November 1 and December 11, 2013. Although the soft cast on his right hand was removed in July 2013 and he started attending the aquatic centres not long after his ankle surgery, Mr. Fraser testified all the visits were solely related to his thumb injury. He stated the hot tub relaxed his hand and at the West Vancouver aquatic centre he also attended the gym to exercise it. Given the timing and the nature of the pain medication he was prescribed for his ankle injury, I found this evidence unconvincing.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Prior to the accident the plaintiff said he rode his bike three or four times a week for up to three or four hours. In cross-examination, Mr. Fraser was confronted with a clinical record made by Dr. Smith on December 12, 2012, that reads in part, "[n]o mountain biking for three years now as it is always painful". The entry was made in the context of discussing leg, back and knee symptoms. When asked whether he made that statement to the doctor, the plaintiff responded with words to the effect of, "That doesn't mean that is what I do ... I enjoy riding. I hadn't ridden much". He denied his earlier evidence was inaccurate, however, stating he had been staying off rough trails. I note a clinical entry for January 24, 2013, reads in part, "When he does light work like liftin [sic] boxes or mountain biking he get [sic] pain in the back of his lower thigh and upper calf".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Fraser testified that he stopped riding his bike after the accident, stating that within 45 minutes or less his thumb would become sore. Dr. Smith's clinical record for November 8, 2013, includes: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5. Left posterior calf and thigh are numb with aggressive activities such as riding a bike. On going [sic] since the MVA 4.5 years ago.</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Fraser was not cross-examined about the January or the November 2013 entries.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In addition to being used to impeach credibility, prior inconsistent statements of a party may also be treated as admissions and accepted for the truth of their content. However, as discussed in </w:t>
      </w:r>
      <w:r>
        <w:rPr>
          <w:rFonts w:ascii="arial" w:eastAsia="arial" w:hAnsi="arial" w:cs="arial"/>
          <w:i/>
          <w:color w:val="000000"/>
          <w:sz w:val="20"/>
          <w:lang w:val="en-US" w:eastAsia="en-US" w:bidi="ar-SA"/>
        </w:rPr>
        <w:t>Edmondson v. Payer</w:t>
      </w:r>
      <w:r>
        <w:rPr>
          <w:rFonts w:ascii="arial" w:eastAsia="arial" w:hAnsi="arial" w:cs="arial"/>
          <w:color w:val="000000"/>
          <w:sz w:val="20"/>
          <w:lang w:val="en-US" w:eastAsia="en-US" w:bidi="ar-SA"/>
        </w:rPr>
        <w:t xml:space="preserve">, </w:t>
      </w:r>
      <w:hyperlink r:id="rId590" w:history="1">
        <w:r>
          <w:rPr>
            <w:rFonts w:ascii="arial" w:eastAsia="arial" w:hAnsi="arial" w:cs="arial"/>
            <w:i/>
            <w:color w:val="0077CC"/>
            <w:sz w:val="20"/>
            <w:u w:val="single"/>
            <w:shd w:val="clear" w:color="auto" w:fill="FFFFFF"/>
            <w:lang w:val="en-US" w:eastAsia="en-US" w:bidi="ar-SA"/>
          </w:rPr>
          <w:t>2011 BCSC 118</w:t>
        </w:r>
      </w:hyperlink>
      <w:r>
        <w:rPr>
          <w:rFonts w:ascii="arial" w:eastAsia="arial" w:hAnsi="arial" w:cs="arial"/>
          <w:color w:val="000000"/>
          <w:sz w:val="20"/>
          <w:lang w:val="en-US" w:eastAsia="en-US" w:bidi="ar-SA"/>
        </w:rPr>
        <w:t xml:space="preserve">, aff'd </w:t>
      </w:r>
      <w:hyperlink r:id="rId591" w:history="1">
        <w:r>
          <w:rPr>
            <w:rFonts w:ascii="arial" w:eastAsia="arial" w:hAnsi="arial" w:cs="arial"/>
            <w:i/>
            <w:color w:val="0077CC"/>
            <w:sz w:val="20"/>
            <w:u w:val="single"/>
            <w:shd w:val="clear" w:color="auto" w:fill="FFFFFF"/>
            <w:lang w:val="en-US" w:eastAsia="en-US" w:bidi="ar-SA"/>
          </w:rPr>
          <w:t>2012 BCCA 114</w:t>
        </w:r>
      </w:hyperlink>
      <w:r>
        <w:rPr>
          <w:rFonts w:ascii="arial" w:eastAsia="arial" w:hAnsi="arial" w:cs="arial"/>
          <w:color w:val="000000"/>
          <w:sz w:val="20"/>
          <w:lang w:val="en-US" w:eastAsia="en-US" w:bidi="ar-SA"/>
        </w:rPr>
        <w:t xml:space="preserve">, there are qualifications that apply to such statements in clinical records, regardless of their use. I recognize, as did the Court in </w:t>
      </w:r>
      <w:r>
        <w:rPr>
          <w:rFonts w:ascii="arial" w:eastAsia="arial" w:hAnsi="arial" w:cs="arial"/>
          <w:i/>
          <w:color w:val="000000"/>
          <w:sz w:val="20"/>
          <w:lang w:val="en-US" w:eastAsia="en-US" w:bidi="ar-SA"/>
        </w:rPr>
        <w:t>Payer</w:t>
      </w:r>
      <w:r>
        <w:rPr>
          <w:rFonts w:ascii="arial" w:eastAsia="arial" w:hAnsi="arial" w:cs="arial"/>
          <w:color w:val="000000"/>
          <w:sz w:val="20"/>
          <w:lang w:val="en-US" w:eastAsia="en-US" w:bidi="ar-SA"/>
        </w:rPr>
        <w:t>, that clinical records are not intended to be a verbatim record of what the plaintiff said.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What I take from the clinical records reviewed above is the plaintiff's evidence regarding his involvement in cycling both before and after the accident is somewhat inconsistent with his statements to Dr. Smith. Regarding Dr. Daneshvar's two references to the plaintiff falling off his bike, it may well be the doctor was mistaken both times, but given the descriptions themselves, and the various problems with the plaintiff's evidence, there is more than a distinct possibility the doctor was accurately recording what he was told.</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Expert Evidence of Dr. Yanko</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As indicated above, Dr. Yanko's report dated March 9, 2016 considered the visibility of what he refers to as the "trench" and the "construction equipment" depicted in Mr. Fraser's photograph of the accident location, which he said he took on May 23, 2013. Dr. Yanko analyzed the typical gaze for a pedestrian and the plaintiff's opportunity to have perceived the trench, including whether sun glare may have prevented or interfered with his perception. The trench is the gravel construction area adjacent to the south side of the sidewalk that ran from the western edge of the driveway to the veterinary hospital to the western end of the 1600 block, a distance of 23 metres. The construction equipment within the trench shown in Mr. Fraser's photograph includes several orange and white barricades and a rolled-up flexible orange fence, as well as another large yellow and orange item. Dr. Yanko examined the accident site well after the construction project was complete. Therefore he did not observe the depth of the trench.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Dr. Yanko concluded the construction equipment and the trench adjacent to the sidewalk along the western half of the 1600 block of West 4th Avenue shown in the photograph were sufficiently visible to a westbound pedestrian. Sun glare would not likely have impaired the plaintiff's ability to detect either the trench or the construction equipment within the trench.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Dr. Yanko estimates it would have taken Mr. Fraser at least 8 to 11 seconds to walk from the western edge of the driveway to the veterinary hospital, along the sidewalk to the accident location. Based on the marking Mr. Fraser made on the photograph to show where he fell, Dr. Yanko estimated the distance to be approximately 14 metres from the western edge. Dr. Yanko noted various factors that contributed to a high contrast between the sidewalk, the adjacent grass and the trench area at that point. He also observed the sidewalk continues along a straight trajectory and there were no cues that would have prompted Mr. Fraser to make a left turn.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coming to his conclusions, Dr. Yanko relied in part upon a research study that found pedestrians walking on paved sidewalks spend 65% of the time focusing on areas far ahead of them and 35% on areas immediately in front of them. He states it is likely the plaintiff's gaze was directed towards the general area of the trench as he was walking west along the sidewalk from the 1500 block of West 4th Avenue. Dr. Yanko states that, as the plaintiff approached the accident location, the entire trench and the brightly coloured construction equipment within it would have been within his "useful field of view", or the visual field in which he was likely able to detect tripping hazards or obstacles.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Although Mr. Fraser testified the sun was directly in his eyes before he fell, Dr. Yanko determined the location of the sun at 6:30 p.m. and 7:00 p.m. on May 26, 2013, was unlikely to have caused "disability glare", noting that the sun set at 9:04 p.m. that day. Disability glare occurs when light scatters within the eye, causing a loss of visual contrast on the retina. For someone of Mr. Fraser's age at the time, 52, Dr. Yanko calculated the threshold for disability glare at about 19 degrees. At 6:30 p.m., if Mr. Fraser was looking straight ahead at the horizon as he walked westbound along West 4th Avenue, the sun would have been 22 degrees above the horizon and 5.5 degrees to his right. Altogether, the sun would have been approximately 23 degrees away from a straight forward gaze. The angle would have been greater whenever he looked at the trench. At 7:00 p.m. the sun would have been 18 degrees above the horizon and 11.5 degrees to the right, placing it 21 degrees away from central vision.</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The Evidence of Marijan Mudrovcic</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Mudrovcic testified on behalf of the City. He has been employed by the City for 20 years and has spent the last 10 years working as a foreman of a concrete construction crew. He was the supervisor of Crew 51, assigned to excavate the curbs and outer sidewalks and then construct new curbs and gutters on West 4th Avenue in May 2013. He did not learn of the plaintiff's claim until fairly recently.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Along with his testimony, the City relied upon a number of business records kept by Mr. Mudrovcic and others regarding the project, including daily crew reports from May 21 to May 27, 2013, that he completed and daily crew reports for two road construction crews on May 24 and May 27, 2013.</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On May 21, 2013, Crew 51 started work on the north side of the 1600 block of West 4th Avenue, having completed the 1700 block. Mr. Mudrovcic explained the construction project followed the City's excavation and replacement of water and sewer pipes that caused some damage to the road, curbs and the outer sidewalk, an area he referred to as the "utility strip" because it houses utility wires and poles. At the west end of the 1600 block the utility pole was used by Coast Mountain Bus Company, and the plan was to remove and replacing the trolley wires, the pole and its base. Mr. Mudrovcic referred to the remaining main area of sidewalk, adjacent to the utility strip, as the "main walk", which in the 1600 block of West 4th Avenue has a width of 1.9 metres or 6 feet 3 inches. He testified the water crew had damaged the utility strip and the curb in the 1600 block west of the driveway to the veterinary hospital but not the main walk. According to Mr. Mudrovcic they had left the area safe for pedestrians and cars by placing gravel in the utility strip area and placing temporary asphalt on the road.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He gave evidence that on May 21, 2013, his crew placed delineators along the main walk of the sidewalk of the 1600 block, west of the driveway, and they remained there until some point on May 27, 2013. That day Crew 51 cut the road on the north side of the 1600 block and prepared for the excavation of the curbs and gutters.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Mudrovcic is in charge of leaving his crew's construction site in a safe condition at the end of each day. The second page of every crew report has a series of boxes for each work location that can be ticked to specify what safety equipment was left in place "when departing location". His crew report for May 21, 2013, shows a tick mark for delineators at that location. The same is true for the crew reports he completed on May 22 and May 23, 2013.</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On May 24, 2013, his crew report shows no tick marks at all for work locations one and three in the 1600 block of West 4th. Mr. Mudrovcic testified he simply forgot to complete that part of the form, but he was certain the delineators remained in place over the weekend. There was no reason to move them from where they had been since May 21, 2013. The box for delineators is ticked for location two on the same crew report which was apparently not observed by either counsel or Mr. Mudrovcic while he was giving evidence. He specified Crew 51 was working at the west and east ends of the block that day, pouring concrete into the curb and gutter forms at the west end, meaning west of the driveway to the parking lot, and cutting the road and preparing for excavation of a bus "pad" at the east end. The notations written on the crew report under location two indicates it was situated in the east end of the block. In cross-examination, Mr. Mudrovcic resisted the suggestion he could not possibly have a specific recollection of how the construction site was left, given the passage of time and the number of projects he must have completed in the last three years. It is clear, however, he was relying on his long-standing practice as well as the absence of any reason to remove them from where they had been placed initially, when he politely but firmly maintained his evidence that the delineators remained in place along the western edge of the sidewalk, on the western half of the block.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 Mudrovcic was also challenged about the work he said was done by Crew 51 on Friday May 24, 2013, in the 1600 block. In direct examination he testified about the sequence of the events that occurs whenever curbs and gutters are excavated and constructed on a site. The crew first cuts the road to allow room for placement of the large forms used to create new curbs and gutters; the area is then excavated; forms are brought in and put in place; and concrete is poured into the forms. Although it solidifies in four to five hours, it is "green" at that point and can be easily damaged, so the forms must remain in place for at least one day (although part of the form is removed to allow for finishing work while it remains green). Once the concrete is cured, the forms are removed, and then the paving crew restores the road.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Referring to his various crew reports, Mr. Mudrovcic gave evidence that after the road was cut on May 21, 2013, the next day, his crew excavated, graded and compacted the area up to edge of the main walk. On May 23, 2013, Crew 51 put steel and wood forms in place. Mr. Mudrovcic was not shaken in cross-examination when it was suggested the curbs and gutters were actually completed on Friday, May 24, 2013. He maintained the concrete was poured into the forms located west of the driveway that day and the forms remained in place until Monday morning--May 27, 2013. Although his crew report for May 24, 2013, is consistent with his evidence, there is no reference to removing the forms in his crew report for May 27, 2013. Mr. Mudrovcic explained the task is so minor, he did not make a note of it. Indeed, the descriptions of the work done in all of the crew reports are very summary. He indicated it would take about an hour for a few members of his crew to remove the forms. The focus of the work that day was on excavating, grading and compacting the bus slab--the area of the road where the bus stops at the east end of the block, which is made of concrete, not asphalt, because of the loads involved.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Mr. Mudrovcic testified Crew 30 was one of the paving crews restoring the road alongside his curb and gutter crew. Their crew report for May 24, 2013, indicates they were idle that day, consistent with his evidence that the curb and gutter forms were in place, preventing any paving from occurring. The crew report for Crew 81, another paving crew that worked together with Crew 30, although not that day, indicates they used a "con saw" and "flagger" on West 4th Avenue from Pine to Fir (the 1600 block), but did no paving. Mr. Mudrovcic explained a con saw is a large machine used to cut the road in damaged areas to allow for excavation.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Mr. Mudrovcic was also cross-examined about a document entitled "City Engineering Services - Record of Cuts and/or Damaged Surfaces", numbered 211417 (the "Cut Sheet"). The Cut Sheet relates to the curb and gutter work being done by Crew 51 in the 1600 block of West 4th. Mr. Mudrovcic signed the form and entered May 24, 2013, as the "date completed". He denied the date indicated his crew had actually removed the forms by then rather than on the May 27, 2013, explaining the concrete work for the curbs and gutters in that block was otherwise complete and the cut sheet was used to bill another department, in this case water works, for the cost of the repairing that concrete asset (based on a unit price and the units completed) in that particular block. He specified May 24, 2013 as the "date completed" because by the end of that day the curb and gutter had been replaced and the only remaining task, removing the forms, was an insignificant amount of work. Mr. Mudrovcic explained he received several cut sheets for each concrete asset in that particular block including the bus slab located at the east end of the block and the utility strip which was replaced later.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 Mudrovcic denied the photographs the plaintiff said were from May 23, 2013, could have been taken that day. He pointed out that in the first of those photographs the new curb and gutters are completed both east and west of the driveway to the veterinary hospital, which occurred three or more days later. The second shows the inside lane of the north side of the 1600 block at the west end of the block restored and the curb and gutters completed. Mr. Mudrovcic reiterated the curb and gutters were encased in forms on May 26, 2013, and that portion of the road was paved on May 27, 2013. With respect to the photograph marked by the plaintiff to indicate where his bike fell off the sidewalk edge, which shows the absence of delineators along that edge, Mr. Mudrovcic made the same comments. When asked to explain why there were no delineators in place, he testified that while working on the bus slab at the east end of the block on May 27, 2013, the paving crew used his delineators on the roadside at the west end. Mr. Mudrovcic acknowledged he did not observe them moving the delineators from the edge of the sidewalk but he emphasized only his crew and the paving crew were present that day, and there is simply no other explanation. The photograph itself shows a multitude of delineators on the north side of the road at the west end of the block.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Mudrovcic also disputed the accuracy of the date for the photographs Mr. Fraser said he took on Monday, May 27, 2013, noting they show the road completely restored--re-paved from one side of the street to the other, with the center and lane lines painted. There is also a new utility pole standing on a new base next to the old one, surrounded by a much larger hole than is shown in the earlier pictures.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Even without Mr. Mudrovcic's evidence, it is plain the changes between the first and second sets of photographs could not have occurred in one day.</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Analysis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In assessing credibility, I am guided by </w:t>
      </w:r>
      <w:r>
        <w:rPr>
          <w:rFonts w:ascii="arial" w:eastAsia="arial" w:hAnsi="arial" w:cs="arial"/>
          <w:i/>
          <w:color w:val="000000"/>
          <w:sz w:val="20"/>
          <w:lang w:val="en-US" w:eastAsia="en-US" w:bidi="ar-SA"/>
        </w:rPr>
        <w:t>Faryna v. Chorney</w:t>
      </w:r>
      <w:r>
        <w:rPr>
          <w:rFonts w:ascii="arial" w:eastAsia="arial" w:hAnsi="arial" w:cs="arial"/>
          <w:color w:val="000000"/>
          <w:sz w:val="20"/>
          <w:lang w:val="en-US" w:eastAsia="en-US" w:bidi="ar-SA"/>
        </w:rPr>
        <w:t xml:space="preserve">, </w:t>
      </w:r>
      <w:hyperlink r:id="rId592" w:history="1">
        <w:r>
          <w:rPr>
            <w:rFonts w:ascii="arial" w:eastAsia="arial" w:hAnsi="arial" w:cs="arial"/>
            <w:i/>
            <w:color w:val="0077CC"/>
            <w:sz w:val="20"/>
            <w:u w:val="single"/>
            <w:shd w:val="clear" w:color="auto" w:fill="FFFFFF"/>
            <w:lang w:val="en-US" w:eastAsia="en-US" w:bidi="ar-SA"/>
          </w:rPr>
          <w:t>[1952] 2 D.L.R. 354</w:t>
        </w:r>
      </w:hyperlink>
      <w:r>
        <w:rPr>
          <w:rFonts w:ascii="arial" w:eastAsia="arial" w:hAnsi="arial" w:cs="arial"/>
          <w:color w:val="000000"/>
          <w:sz w:val="20"/>
          <w:lang w:val="en-US" w:eastAsia="en-US" w:bidi="ar-SA"/>
        </w:rPr>
        <w:t xml:space="preserve">, and the factors summarized in </w:t>
      </w:r>
      <w:r>
        <w:rPr>
          <w:rFonts w:ascii="arial" w:eastAsia="arial" w:hAnsi="arial" w:cs="arial"/>
          <w:i/>
          <w:color w:val="000000"/>
          <w:sz w:val="20"/>
          <w:lang w:val="en-US" w:eastAsia="en-US" w:bidi="ar-SA"/>
        </w:rPr>
        <w:t>Bradshaw v. Stenner</w:t>
      </w:r>
      <w:r>
        <w:rPr>
          <w:rFonts w:ascii="arial" w:eastAsia="arial" w:hAnsi="arial" w:cs="arial"/>
          <w:color w:val="000000"/>
          <w:sz w:val="20"/>
          <w:lang w:val="en-US" w:eastAsia="en-US" w:bidi="ar-SA"/>
        </w:rPr>
        <w:t xml:space="preserve">, </w:t>
      </w:r>
      <w:hyperlink r:id="rId593" w:history="1">
        <w:r>
          <w:rPr>
            <w:rFonts w:ascii="arial" w:eastAsia="arial" w:hAnsi="arial" w:cs="arial"/>
            <w:i/>
            <w:color w:val="0077CC"/>
            <w:sz w:val="20"/>
            <w:u w:val="single"/>
            <w:shd w:val="clear" w:color="auto" w:fill="FFFFFF"/>
            <w:lang w:val="en-US" w:eastAsia="en-US" w:bidi="ar-SA"/>
          </w:rPr>
          <w:t>2010 BCSC 1398</w:t>
        </w:r>
      </w:hyperlink>
      <w:r>
        <w:rPr>
          <w:rFonts w:ascii="arial" w:eastAsia="arial" w:hAnsi="arial" w:cs="arial"/>
          <w:color w:val="000000"/>
          <w:sz w:val="20"/>
          <w:lang w:val="en-US" w:eastAsia="en-US" w:bidi="ar-SA"/>
        </w:rPr>
        <w:t xml:space="preserve">, aff'd </w:t>
      </w:r>
      <w:hyperlink r:id="rId594" w:history="1">
        <w:r>
          <w:rPr>
            <w:rFonts w:ascii="arial" w:eastAsia="arial" w:hAnsi="arial" w:cs="arial"/>
            <w:i/>
            <w:color w:val="0077CC"/>
            <w:sz w:val="20"/>
            <w:u w:val="single"/>
            <w:shd w:val="clear" w:color="auto" w:fill="FFFFFF"/>
            <w:lang w:val="en-US" w:eastAsia="en-US" w:bidi="ar-SA"/>
          </w:rPr>
          <w:t>2012 BCCA 296</w:t>
        </w:r>
      </w:hyperlink>
      <w:r>
        <w:rPr>
          <w:rFonts w:ascii="arial" w:eastAsia="arial" w:hAnsi="arial" w:cs="arial"/>
          <w:color w:val="000000"/>
          <w:sz w:val="20"/>
          <w:lang w:val="en-US" w:eastAsia="en-US" w:bidi="ar-SA"/>
        </w:rPr>
        <w:t>. Those factors include the ability of the witness to resist the influence of interest to modify his or her recollection; whether the witness's evidence harmonizes with independent evidence that has been accepted; whether the witness changes his or her evidence during direct and cross-examination (or between examination for discovery and trial) or is otherwise inconsistent in recalling events; whether the witness's evidence seems unreasonable, impossible or unlikely; and the witness's demeanour. Fundamentally, the question is whether the evidence of the witness is consistent with the probabilities affecting the case as a whole. I am also aware that I may accept all, some or none of the evidence of a witness and that truthfulness and reliability are not necessarily the same. An honest witness can be mistaken (</w:t>
      </w:r>
      <w:r>
        <w:rPr>
          <w:rFonts w:ascii="arial" w:eastAsia="arial" w:hAnsi="arial" w:cs="arial"/>
          <w:i/>
          <w:color w:val="000000"/>
          <w:sz w:val="20"/>
          <w:lang w:val="en-US" w:eastAsia="en-US" w:bidi="ar-SA"/>
        </w:rPr>
        <w:t>Xu v. Hu</w:t>
      </w:r>
      <w:r>
        <w:rPr>
          <w:rFonts w:ascii="arial" w:eastAsia="arial" w:hAnsi="arial" w:cs="arial"/>
          <w:color w:val="000000"/>
          <w:sz w:val="20"/>
          <w:lang w:val="en-US" w:eastAsia="en-US" w:bidi="ar-SA"/>
        </w:rPr>
        <w:t xml:space="preserve">, </w:t>
      </w:r>
      <w:hyperlink r:id="rId595" w:history="1">
        <w:r>
          <w:rPr>
            <w:rFonts w:ascii="arial" w:eastAsia="arial" w:hAnsi="arial" w:cs="arial"/>
            <w:i/>
            <w:color w:val="0077CC"/>
            <w:sz w:val="20"/>
            <w:u w:val="single"/>
            <w:shd w:val="clear" w:color="auto" w:fill="FFFFFF"/>
            <w:lang w:val="en-US" w:eastAsia="en-US" w:bidi="ar-SA"/>
          </w:rPr>
          <w:t>2015 BCSC 1400</w:t>
        </w:r>
      </w:hyperlink>
      <w:r>
        <w:rPr>
          <w:rFonts w:ascii="arial" w:eastAsia="arial" w:hAnsi="arial" w:cs="arial"/>
          <w:color w:val="000000"/>
          <w:sz w:val="20"/>
          <w:lang w:val="en-US" w:eastAsia="en-US" w:bidi="ar-SA"/>
        </w:rPr>
        <w:t xml:space="preserve"> at para. 26).</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As I have already pointed out, there are several problems with the plaintiff's evidence, each of which on its own might be understandable but considered together undermine his credibility. I also agree with the defendant's submission that at times it was as if the plaintiff was answering questions in a way that he thought would be helpful to his case rather than speaking candidly, for instance, denying any knowledge of the sidewalk construction that had been occurring in the same block as his business for several days prior to the accident, or ever having previously walked on the sidewalk where the accident occurred. I was less than convinced by the plaintiff's account of the bike ride prior to the accident when considered in the context of some of his other evidence. For example, although he testified to riding three or four times a week up to three or four hours at a time, his ride that day would have been very short, given how close his business is located to Granville Island and the time frames he provided, as well as the activities he engaged in--looking in various shops and eating a meal. Mr. Fraser did not indicate what he did with his bike while shopping or eating. At the same time he did say he was without his bike helmet, viewed it as unsafe to ride on a busy road without it, and was concerned that riding on a sidewalk was illegal. In those circumstances, one might expect Mr. Fraser would have decided to walk to Granville Island rather than ride and walk with his bike.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Again viewed contextually, the most concerning aspect of his evidence was his very limited account of the accident itself. While I accept his submission that describing the minutiae of an incident that occurs in a matter of seconds can indicate contrivance, the absence of any evidence about many important aspects of the circumstances--for example, what he observed as he was proceeding across the driveway located midblock and westbound, how he was pushing or walking with his bike and how and where he and the bike landed--is troubling.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Accordingly, I am left in doubt by Mr. Fraser's evidence, about what actually happened to cause the injury to his right thumb.</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My concern about the paucity of his evidence regarding the accident is not alleviated by the expert opinion of Dr. Yanko, who concluded the trench (the gravel construction area) and the (brightly coloured) equipment within it were likely sufficiently visible to a westbound pedestrian. Contrary to the plaintiff's claim he was facing directly into the sun and therefore his perception of the trench was obscured when the accident occurred, Dr. Yanko also concluded the location of the sun at that time was unlikely to have impaired his ability to see either the trench or the equipment within it. I accept Dr. Yanko's evidence. When combined with the plaintiff's testimony, it seems unlikely that after walking without any difficulty along a straight stretch of sidewalk that was 6 feet 3 inches wide, the plaintiff would have veered left into the construction area, which contained brightly coloured safety equipment that was there to be seen.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Finally, the testimony of Mr. Mudrovcic, which I largely accept, entirely undermines Mr. Fraser's account of the accident, along with his claim that his photographs depict the circumstances at the time of the accident and the next day.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Although the plaintiff suggests important aspects of Mr. Mudrovcic's evidence were unreliable because they involved the reconstruction of events influenced by his own interest, I found Mr. Mudrovcic to be a very credible witness. He testified in a straight forward, careful manner. Apart from failing to acknowledge he could not recall specific events that occurred during the construction project, he provided a consistent, logical, plausible account of the sequence and timing of the work done by his crew and others. His explanations for what appeared to be discrepancies between the City's documents and his evidence were also entirely reasonable. For these same reasons, although the absence of delineators depicted in some of Mr. Fraser's photographs suggests Mr. Mudrovcic failed to ensure they were placed at the edge of the sidewalk at the end of the work day on May 24, 2013, I have no difficulty accepting they remained in place from May 21, 2013, onward, and he simply forgot to mark the box on the crew report for that day. I accept Mr. Fraser's photographs could not have been taken that day, given the state of the construction it shows.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 am therefore unable to accept Mr. Fraser's evidence about when, where and how the accident occurred.</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Because Mr. Fraser has failed to establish the accident occurred as he alleged on a balance of probabilities, his claim is dismissed.</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Costs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The City will have its costs.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M.L. FLEMING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9" style="position:absolute;z-index:25184153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96"/>
          <w:headerReference w:type="default" r:id="rId597"/>
          <w:footerReference w:type="even" r:id="rId598"/>
          <w:footerReference w:type="default" r:id="rId599"/>
          <w:headerReference w:type="first" r:id="rId600"/>
          <w:footerReference w:type="first" r:id="rId60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02" w:history="1">
        <w:r>
          <w:rPr>
            <w:rFonts w:ascii="arial" w:eastAsia="arial" w:hAnsi="arial" w:cs="arial"/>
            <w:b/>
            <w:bCs/>
            <w:i/>
            <w:color w:val="0077CC"/>
            <w:kern w:val="32"/>
            <w:sz w:val="28"/>
            <w:szCs w:val="32"/>
            <w:u w:val="single"/>
            <w:shd w:val="clear" w:color="auto" w:fill="FFFFFF"/>
            <w:lang w:val="en-US" w:eastAsia="en-US" w:bidi="ar-SA"/>
          </w:rPr>
          <w:t>Gladney v. Capital (Regional District), [2015] B.C.J. No. 3017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G.C. Weatherill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December 3,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December 3,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11-4298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Victoria</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[2015] B.C.J. No. 3017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2015 BCSC 2585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85 C.P.C. (7th) 152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265 A.C.W.S. (3d) 1091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2015 CarswellBC 4062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Moria Gladney, Plaintiff, and Capital Regional District and The Owners of Strata Plan VIS 6679, Defendants, and Capital Regional District and Sheringham Point Lighthouse Preservation Society,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80" style="position:absolute;z-index:2516910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07" w:name="Keywords_29"/>
      <w:bookmarkEnd w:id="207"/>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Causation — Causal connection — Application of principles — Application by CRD for summary judgment dismissal of action allowed — Plaintiff saw sign that described trail's features and included map, but did not read sign — She incorrectly assumed that trail began on path and started walking on it — She lost footing and foot hit lid, dislodging it, and she fell inside hole — There was no evidence that plaintiff would have done anything differently had sign directed her to trail.</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08" w:name="Case Summary_27"/>
            <w:bookmarkEnd w:id="20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Applications by strata owners and CRD for summary judgment dismissal of the action. The plaintiff drove to a parking lot where a public trail began. She saw a sign that described the trail's features and included a map, but did not read the sign. She incorrectly assumed that the trail began on a path that was in fact on a strata property and started walking on the path. She lost her footing and, as she was trying to catch her balance, her foot hit a lid that covered a septic field, dislodging the lid, and she partially fell inside the hole that the lid had been covering. The lid had been fully exposed and she saw it at least 15 feet before the fall. The plaintiff brought a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against the strata and CRD, which maintained the path. She alleged that CRD failed to post proper signage and that the strata acted with reckless disregard for her safety.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09" w:name="Holdings of Court_20"/>
            <w:bookmarkEnd w:id="209"/>
            <w:r>
              <w:rPr>
                <w:rFonts w:ascii="arial" w:eastAsia="arial" w:hAnsi="arial" w:cs="arial"/>
                <w:color w:val="000000"/>
                <w:sz w:val="20"/>
                <w:lang w:val="en-US" w:eastAsia="en-US" w:bidi="ar-SA"/>
              </w:rPr>
              <w:t>HELD: Application by CRD allowed; application by the strata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CRD's liability could be determined on the basis of the available evidence. There was no evidence that the plaintiff would have done anything differently had the sign directed her to the trail. She chose not to read the sign. The CRD likely met any reasonable standard of care by installing the sign. The facts necessary to decide the strata's liability could not be found. There was no evidence as to why the lid was unsecured.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10" w:name="Legislation Cited_24"/>
      <w:bookmarkEnd w:id="21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81" style="position:absolute;z-index:2517422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Occupiers Liability Act, </w:t>
      </w:r>
      <w:hyperlink r:id="rId603" w:history="1">
        <w:r>
          <w:rPr>
            <w:rFonts w:ascii="arial" w:eastAsia="arial" w:hAnsi="arial" w:cs="arial"/>
            <w:i/>
            <w:color w:val="0077CC"/>
            <w:sz w:val="20"/>
            <w:u w:val="single"/>
            <w:shd w:val="clear" w:color="auto" w:fill="FFFFFF"/>
            <w:lang w:val="en-US" w:eastAsia="en-US" w:bidi="ar-SA"/>
          </w:rPr>
          <w:t>R.S.B.C. 1996, c. 337, s. 3</w:t>
        </w:r>
      </w:hyperlink>
      <w:r>
        <w:rPr>
          <w:rFonts w:ascii="arial" w:eastAsia="arial" w:hAnsi="arial" w:cs="arial"/>
          <w:color w:val="000000"/>
          <w:sz w:val="20"/>
          <w:lang w:val="en-US" w:eastAsia="en-US" w:bidi="ar-SA"/>
        </w:rPr>
        <w:t>, s. 3(3), s. 3(3.2), s. 3(3.3), s. 3(3.3)(b)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Supreme Court Civil Rules, Rule 9-7, Scale B</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11" w:name="Counsel_31"/>
      <w:bookmarkEnd w:id="211"/>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82" style="position:absolute;z-index:2517934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S.L. Klinger (as Agent for C. Bing).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and Third Party, Capital Regional District: K. Morley.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The Owners of Strata Plan VIS 6679: S.A. Braun.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12" w:name="Judgment_31"/>
      <w:bookmarkEnd w:id="212"/>
      <w:r>
        <w:pict>
          <v:line id="_x0000_s1183" style="position:absolute;z-index:25184256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Oral 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43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13" w:name="G.C. WEATHERILL J. (orally)"/>
            <w:bookmarkEnd w:id="213"/>
            <w:r>
              <w:rPr>
                <w:rFonts w:ascii="arial" w:eastAsia="arial" w:hAnsi="arial" w:cs="arial"/>
                <w:b/>
                <w:color w:val="000000"/>
                <w:sz w:val="30"/>
                <w:lang w:val="en-US" w:eastAsia="en-US" w:bidi="ar-SA"/>
              </w:rPr>
              <w:t>G.C. WEATHERILL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April 22, 2011, the plaintiff was seriously injured when she tripped and fell while walking on what she believed to be a public trail ("Trail") leading to the Sheringham Point Lighthouse in Shirley,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As it turns out, the plaintiff was not on the designated public trail, but rather on another path located on the adjacent land ("Property") owned by the defendant, The Owners of Strata Plan VIS 6679 ("Strata").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October 2008, the Strata had granted a right of way to the defendant, Capital Regional District ("CRD") to permit the CRD to operate, maintain, repair, and replace the Trail which is on the Strata's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Both the Strata and the CRD apply, pursuant to Rule 9-7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to have the issue of their respective liability determined by way of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approximately 2008, the Strata constructed three underground septic fields ("Septic Fields") on its property for contemplated future development. At all material times, the land upon which the Septic Fields were located was vacant, forested, and otherwise undeveloped. The Strata retained the services of a third party to perform periodic mowing of trees, broom, and invasive roots in the vicinity of the dormant Septic Fields in order to ensure that the root systems of that vegetation did not damage the Septic Fields or its infrastructure. No part of the Trail is near the Septic Fields.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On October 22, 2011, the plaintiff and another woman drove to a parking lot where the Trail begins. A sign was posted at the parking lot that described the Trail's features and included a map showing the Trail's general routing. The plaintiff saw the sign but did not read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 and her companion left the parking lot and began walking on what they believed was the Trail. Approximately one or two minutes later, likely less, given the proximity of the Septic Fields in question to the parking lot, the plaintiff lost her footing and, as she was attempting to catch her balance, her right foot hit a round lid or cap ("Lid") that covered one of the Septic Fields. The force dislodged the Lid, and the plaintiff partially fell inside the hole that the Lid had been covering. The Lid was approximately two feet in diameter and made of what appears to be metal. It was raised approximately ten inches above the ground. The presence of the structure upon which the Lid had been placed was obvious. It was fully exposed and was not hidden in any way. Indeed, the plaintiff's evidence is that she saw the Lid and the structure at least 15 feet before she tripped.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does not know what caused her to trip, but is clear that she did not trip on the Lid or its structure. Rather, the plaintiff came into contact with the Lid as she was falling.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This action was commenced by the plaintiff on October 20, 2011. Initially, the plaintiff alleged that both the CRD and the Strata breached their respective duties of care owed to her as occupiers, as set out in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337</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or were otherwise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 and the Strata conducted examinations for discovery of each other on November 21, 2013. The plaintiff has not yet conducted any examination for discovery of the CRD.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On May 19, 2015, counsel for the Strata wrote to counsel for the plaintiff, who was not counsel on this application, to advise that she intended to have the Strata's liability determined by way of summary trial. Correspondence was exchanged between counsel and a hearing of the summary trial during the November 23, 2015 assize was agreed. The hearing did not take place during that week, and was subsequently scheduled for today.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plaintiff took no steps to conduct an examination for discovery of the CRD during the interim, or indeed at any time after notice from counsel for the Strata of her intention to proceed with a summary trial on the issue of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Strata and the CRD filed their Notices of Application on October 23 and November 3, 2015 respectively.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On November 18, 2015, the plaintiff filed her response to the Notices of Application, as well as an Amended Notice of Civil Claim which removed the allegations against the CRD pursuant to the provisions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and raised, for the first time,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CRD arising out of its alleged failure to post proper signage at the Trail head, which the plaintiff says caused her to believe she was on the Trail when the accident occurred, when in fact she was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plaintiff says that she has not yet had an opportunity to conduct an examination for discovery of the CRD on these allegations and that it would be unfair and unjust for the issue to proceed by way of summary trial without her being given an opportunity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CRD maintains that even if it owed a duty of care to the plaintiff at common law, and even if that duty was breached, the plaintiff's injuries were not caused or contributed to by such breach. The plaintiff's evidence is that she saw the signage that was in place before she embarked on her walk, but did not read it. The evidence is uncontested that she wandered onto the Property where she fell, and that that location was not on or anywhere near the Trail.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Strata concedes that it was an occupier of the Property as defined by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and agrees that the plaintiff was not on the Trail, but rather was on the Property at the time of the accident. However, it says that the Property was vacant or undeveloped premises, or was forested or wilderness premises and that, at the time of her fall, the plaintiff was on the Property for the purpose of a recreational activity and/or was trespassing because she did not have its permission to be on the Property. Accordingly, the Strata says that its duty of care to the plaintiff was limited to a duty not to create a danger with the intent of doing her harm and not to act with reckless disregard for her safety. It relies on the provisions of ss. 3(3), (3.2) and (3.3)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The Strata maintains further that, if it owed a duty of care to the plaintiff, either pursuant to s. 3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or at common law, it did not breach any such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Where a party invokes Rule 9-7 for the purpose of seeking judgment on only part of the case, the court must first consider whether there should be severance at all. If the court decides that severance is appropriate, it then must decide whether the issue is suitable for disposition by summary trial: </w:t>
      </w:r>
      <w:r>
        <w:rPr>
          <w:rFonts w:ascii="arial" w:eastAsia="arial" w:hAnsi="arial" w:cs="arial"/>
          <w:i/>
          <w:color w:val="000000"/>
          <w:sz w:val="20"/>
          <w:lang w:val="en-US" w:eastAsia="en-US" w:bidi="ar-SA"/>
        </w:rPr>
        <w:t>Chun v. Smit</w:t>
      </w:r>
      <w:r>
        <w:rPr>
          <w:rFonts w:ascii="arial" w:eastAsia="arial" w:hAnsi="arial" w:cs="arial"/>
          <w:color w:val="000000"/>
          <w:sz w:val="20"/>
          <w:lang w:val="en-US" w:eastAsia="en-US" w:bidi="ar-SA"/>
        </w:rPr>
        <w:t xml:space="preserve">, </w:t>
      </w:r>
      <w:hyperlink r:id="rId604" w:history="1">
        <w:r>
          <w:rPr>
            <w:rFonts w:ascii="arial" w:eastAsia="arial" w:hAnsi="arial" w:cs="arial"/>
            <w:i/>
            <w:color w:val="0077CC"/>
            <w:sz w:val="20"/>
            <w:u w:val="single"/>
            <w:shd w:val="clear" w:color="auto" w:fill="FFFFFF"/>
            <w:lang w:val="en-US" w:eastAsia="en-US" w:bidi="ar-SA"/>
          </w:rPr>
          <w:t>2011 BCSC 412</w:t>
        </w:r>
      </w:hyperlink>
      <w:r>
        <w:rPr>
          <w:rFonts w:ascii="arial" w:eastAsia="arial" w:hAnsi="arial" w:cs="arial"/>
          <w:color w:val="000000"/>
          <w:sz w:val="20"/>
          <w:lang w:val="en-US" w:eastAsia="en-US" w:bidi="ar-SA"/>
        </w:rPr>
        <w:t xml:space="preserve"> at para. 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Severance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The plaintiff argues that the defendants are attempting to sever the issue of their respective liability from the plaintiff's damages and that severance is inappropriate in this case. The plaintiff relies on </w:t>
      </w:r>
      <w:r>
        <w:rPr>
          <w:rFonts w:ascii="arial" w:eastAsia="arial" w:hAnsi="arial" w:cs="arial"/>
          <w:i/>
          <w:color w:val="000000"/>
          <w:sz w:val="20"/>
          <w:lang w:val="en-US" w:eastAsia="en-US" w:bidi="ar-SA"/>
        </w:rPr>
        <w:t>Chun</w:t>
      </w:r>
      <w:r>
        <w:rPr>
          <w:rFonts w:ascii="arial" w:eastAsia="arial" w:hAnsi="arial" w:cs="arial"/>
          <w:color w:val="000000"/>
          <w:sz w:val="20"/>
          <w:lang w:val="en-US" w:eastAsia="en-US" w:bidi="ar-SA"/>
        </w:rPr>
        <w:t xml:space="preserve">, as well as </w:t>
      </w:r>
      <w:r>
        <w:rPr>
          <w:rFonts w:ascii="arial" w:eastAsia="arial" w:hAnsi="arial" w:cs="arial"/>
          <w:i/>
          <w:color w:val="000000"/>
          <w:sz w:val="20"/>
          <w:lang w:val="en-US" w:eastAsia="en-US" w:bidi="ar-SA"/>
        </w:rPr>
        <w:t>Emtwo Properties Inc. v. Cineplex (Western Canada) Inc</w:t>
      </w:r>
      <w:r>
        <w:rPr>
          <w:rFonts w:ascii="arial" w:eastAsia="arial" w:hAnsi="arial" w:cs="arial"/>
          <w:color w:val="000000"/>
          <w:sz w:val="20"/>
          <w:lang w:val="en-US" w:eastAsia="en-US" w:bidi="ar-SA"/>
        </w:rPr>
        <w:t xml:space="preserve">., </w:t>
      </w:r>
      <w:hyperlink r:id="rId605" w:history="1">
        <w:r>
          <w:rPr>
            <w:rFonts w:ascii="arial" w:eastAsia="arial" w:hAnsi="arial" w:cs="arial"/>
            <w:i/>
            <w:color w:val="0077CC"/>
            <w:sz w:val="20"/>
            <w:u w:val="single"/>
            <w:shd w:val="clear" w:color="auto" w:fill="FFFFFF"/>
            <w:lang w:val="en-US" w:eastAsia="en-US" w:bidi="ar-SA"/>
          </w:rPr>
          <w:t>2009 BCSC 1592</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Bajramovic v. Payne</w:t>
      </w:r>
      <w:r>
        <w:rPr>
          <w:rFonts w:ascii="arial" w:eastAsia="arial" w:hAnsi="arial" w:cs="arial"/>
          <w:color w:val="000000"/>
          <w:sz w:val="20"/>
          <w:lang w:val="en-US" w:eastAsia="en-US" w:bidi="ar-SA"/>
        </w:rPr>
        <w:t xml:space="preserve">, </w:t>
      </w:r>
      <w:hyperlink r:id="rId606" w:history="1">
        <w:r>
          <w:rPr>
            <w:rFonts w:ascii="arial" w:eastAsia="arial" w:hAnsi="arial" w:cs="arial"/>
            <w:i/>
            <w:color w:val="0077CC"/>
            <w:sz w:val="20"/>
            <w:u w:val="single"/>
            <w:shd w:val="clear" w:color="auto" w:fill="FFFFFF"/>
            <w:lang w:val="en-US" w:eastAsia="en-US" w:bidi="ar-SA"/>
          </w:rPr>
          <w:t>2013 BCSC 1569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 test is whether there are extraordinary, exceptional, or compelling reasons to sever the assessment of liability from the assessment of quantum: </w:t>
      </w:r>
      <w:r>
        <w:rPr>
          <w:rFonts w:ascii="arial" w:eastAsia="arial" w:hAnsi="arial" w:cs="arial"/>
          <w:i/>
          <w:color w:val="000000"/>
          <w:sz w:val="20"/>
          <w:lang w:val="en-US" w:eastAsia="en-US" w:bidi="ar-SA"/>
        </w:rPr>
        <w:t>Chun</w:t>
      </w:r>
      <w:r>
        <w:rPr>
          <w:rFonts w:ascii="arial" w:eastAsia="arial" w:hAnsi="arial" w:cs="arial"/>
          <w:color w:val="000000"/>
          <w:sz w:val="20"/>
          <w:lang w:val="en-US" w:eastAsia="en-US" w:bidi="ar-SA"/>
        </w:rPr>
        <w:t xml:space="preserve"> at para. 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my view, there are compelling reasons for severance in this case. There are no issues with credibility. The plaintiff was unable to point to any evidence regarding the assessment of her damages claim that is relevant to the issue of the defendants' liability. There is no good reason why the parties should proceed to a full trial on liability and damages where, as is the case here, the question of liability can easily be determined without a full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Accordingly, in my view, severance is appropriate insofar as the applications before me are concerned.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Suitability for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The determination of whether or not an issue is suitable for determination by summary trial is discretionary. However, where there is no significant difference in the evidence contained in the affidavits, such that the facts relevant to the central issues are not subject to an assessment of credibility, the court may proceed by way of summary trial: </w:t>
      </w:r>
      <w:r>
        <w:rPr>
          <w:rFonts w:ascii="arial" w:eastAsia="arial" w:hAnsi="arial" w:cs="arial"/>
          <w:i/>
          <w:color w:val="000000"/>
          <w:sz w:val="20"/>
          <w:lang w:val="en-US" w:eastAsia="en-US" w:bidi="ar-SA"/>
        </w:rPr>
        <w:t>0997900 B.C. Ltd. v. Askounis</w:t>
      </w:r>
      <w:r>
        <w:rPr>
          <w:rFonts w:ascii="arial" w:eastAsia="arial" w:hAnsi="arial" w:cs="arial"/>
          <w:color w:val="000000"/>
          <w:sz w:val="20"/>
          <w:lang w:val="en-US" w:eastAsia="en-US" w:bidi="ar-SA"/>
        </w:rPr>
        <w:t xml:space="preserve">, </w:t>
      </w:r>
      <w:hyperlink r:id="rId607" w:history="1">
        <w:r>
          <w:rPr>
            <w:rFonts w:ascii="arial" w:eastAsia="arial" w:hAnsi="arial" w:cs="arial"/>
            <w:i/>
            <w:color w:val="0077CC"/>
            <w:sz w:val="20"/>
            <w:u w:val="single"/>
            <w:shd w:val="clear" w:color="auto" w:fill="FFFFFF"/>
            <w:lang w:val="en-US" w:eastAsia="en-US" w:bidi="ar-SA"/>
          </w:rPr>
          <w:t>2015 BCCA 458</w:t>
        </w:r>
      </w:hyperlink>
      <w:r>
        <w:rPr>
          <w:rFonts w:ascii="arial" w:eastAsia="arial" w:hAnsi="arial" w:cs="arial"/>
          <w:color w:val="000000"/>
          <w:sz w:val="20"/>
          <w:lang w:val="en-US" w:eastAsia="en-US" w:bidi="ar-SA"/>
        </w:rPr>
        <w:t xml:space="preserve"> at paras. 20 to 22 inclusive.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If the chambers judge can find the facts, then he or she must give judgment as he or she would upon a trial, unless, for any proper judicial reason, it would be unjust to do so: </w:t>
      </w:r>
      <w:r>
        <w:rPr>
          <w:rFonts w:ascii="arial" w:eastAsia="arial" w:hAnsi="arial" w:cs="arial"/>
          <w:i/>
          <w:color w:val="000000"/>
          <w:sz w:val="20"/>
          <w:lang w:val="en-US" w:eastAsia="en-US" w:bidi="ar-SA"/>
        </w:rPr>
        <w:t>Harrison v. British Columbia (Children and Family Development)</w:t>
      </w:r>
      <w:r>
        <w:rPr>
          <w:rFonts w:ascii="arial" w:eastAsia="arial" w:hAnsi="arial" w:cs="arial"/>
          <w:color w:val="000000"/>
          <w:sz w:val="20"/>
          <w:lang w:val="en-US" w:eastAsia="en-US" w:bidi="ar-SA"/>
        </w:rPr>
        <w:t xml:space="preserve">, </w:t>
      </w:r>
      <w:hyperlink r:id="rId608" w:history="1">
        <w:r>
          <w:rPr>
            <w:rFonts w:ascii="arial" w:eastAsia="arial" w:hAnsi="arial" w:cs="arial"/>
            <w:i/>
            <w:color w:val="0077CC"/>
            <w:sz w:val="20"/>
            <w:u w:val="single"/>
            <w:shd w:val="clear" w:color="auto" w:fill="FFFFFF"/>
            <w:lang w:val="en-US" w:eastAsia="en-US" w:bidi="ar-SA"/>
          </w:rPr>
          <w:t>2010 BCCA 220</w:t>
        </w:r>
      </w:hyperlink>
      <w:r>
        <w:rPr>
          <w:rFonts w:ascii="arial" w:eastAsia="arial" w:hAnsi="arial" w:cs="arial"/>
          <w:color w:val="000000"/>
          <w:sz w:val="20"/>
          <w:lang w:val="en-US" w:eastAsia="en-US" w:bidi="ar-SA"/>
        </w:rPr>
        <w:t xml:space="preserve"> at para. 40.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A summary trial is a trial. The evidence is by way of affidavit rather than through </w:t>
      </w:r>
      <w:r>
        <w:rPr>
          <w:rFonts w:ascii="arial" w:eastAsia="arial" w:hAnsi="arial" w:cs="arial"/>
          <w:i/>
          <w:color w:val="000000"/>
          <w:sz w:val="20"/>
          <w:lang w:val="en-US" w:eastAsia="en-US" w:bidi="ar-SA"/>
        </w:rPr>
        <w:t>viva voce</w:t>
      </w:r>
      <w:r>
        <w:rPr>
          <w:rFonts w:ascii="arial" w:eastAsia="arial" w:hAnsi="arial" w:cs="arial"/>
          <w:color w:val="000000"/>
          <w:sz w:val="20"/>
          <w:lang w:val="en-US" w:eastAsia="en-US" w:bidi="ar-SA"/>
        </w:rPr>
        <w:t xml:space="preserve"> witnesses. As is the case with every civil trial, the plaintiff is obliged to prove his or her case on a balance of probabilities. Where an application for summary trial is made, it is the obligation of the parties to take every reasonable step to put themselves in the best possible position and adduce all evidence they believe is necessary for judgment: </w:t>
      </w:r>
      <w:r>
        <w:rPr>
          <w:rFonts w:ascii="arial" w:eastAsia="arial" w:hAnsi="arial" w:cs="arial"/>
          <w:i/>
          <w:color w:val="000000"/>
          <w:sz w:val="20"/>
          <w:lang w:val="en-US" w:eastAsia="en-US" w:bidi="ar-SA"/>
        </w:rPr>
        <w:t>Harrison</w:t>
      </w:r>
      <w:r>
        <w:rPr>
          <w:rFonts w:ascii="arial" w:eastAsia="arial" w:hAnsi="arial" w:cs="arial"/>
          <w:color w:val="000000"/>
          <w:sz w:val="20"/>
          <w:lang w:val="en-US" w:eastAsia="en-US" w:bidi="ar-SA"/>
        </w:rPr>
        <w:t xml:space="preserve"> at para. 41.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this trial, the facts, to the extent that they are before the court, are not in dispute.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Liability of the CRD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my view, the CRD's liability can be determined on the basis of the available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The plaintiff's claim against the CRD is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She must show that the CRD owed her a duty of care, that it breached the duty of care by failing to meet the standard of care expected of it in the circumstances, and that her injuries were caused or contributed to by the breach. The plaintiff submits that the CRD owed her a duty of care to clearly define the boundaries of the Trail.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In my view, the existence of such a duty is highly doubtful under the second stage of the </w:t>
      </w:r>
      <w:r>
        <w:rPr>
          <w:rFonts w:ascii="arial" w:eastAsia="arial" w:hAnsi="arial" w:cs="arial"/>
          <w:i/>
          <w:color w:val="000000"/>
          <w:sz w:val="20"/>
          <w:lang w:val="en-US" w:eastAsia="en-US" w:bidi="ar-SA"/>
        </w:rPr>
        <w:t>Annes</w:t>
      </w:r>
      <w:r>
        <w:rPr>
          <w:rFonts w:ascii="arial" w:eastAsia="arial" w:hAnsi="arial" w:cs="arial"/>
          <w:color w:val="000000"/>
          <w:sz w:val="20"/>
          <w:lang w:val="en-US" w:eastAsia="en-US" w:bidi="ar-SA"/>
        </w:rPr>
        <w:t xml:space="preserve"> test, but I make no finding in that regard one way or the 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However, assuming that the CRD did owe to the plaintiff such a duty, the plaintiff has proffered no evidence that the CRD failed to meet the standard of care expected of it, or that anything would have changed had the CRD posted better signage directing her to the Trail head such that she would have taken its direction. The plaintiff's evidence is that she saw the large sign in the parking lot, which in her words "described the Trail", but she chose not to read the sign. Rather, she saw that there were two large boulders which had been placed at one end of the parking lot, together with what appeared to her to be a trail between them, and despite having never been on the Trail before, and despite the existence of the sign that she plainly saw, she decided to make the erroneous assumption that the Trail began at that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There is no evidence that, had the sign specifically directed the plaintiff to the start of the Trail, she would have done anything differently. One would have expected that she would have provided such evidence if indeed it existed.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Despite the lack of evidence regarding standard of care, it is my view that the CRD likely met any reasonable standard of care expected of it in the circumstances. It had installed a large, well-constructed, obvious and clear sign and trail map, together with a second large trail marker with an arrow showing the start of the Trail.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Moreover, the duty of care, if it exists, does not extend to warning the plaintiff of potential risks of harm while trespassing on an adjacent property when the CRD was unaware of such risks and played no part in creating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my view, the issue of the CRD's liability is suitable for disposition by way of summary trial. Liability on the part of the CRD has not been made out by the plaintiff. Her action against the CRD is dismissed.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Liability of the Strata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Unlike the CRD, the Strata was an occupier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The relevant provisions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are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 (3) Despite subsection (1), an occupier has no duty of care to a person in respect of risks willingly assumed by that person other than a duty not to</w:t>
      </w:r>
    </w:p>
    <w:p>
      <w:pPr>
        <w:numPr>
          <w:numId w:val="1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create a danger with intent to do harm to the person or damage to the person's property, or</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act with reckless disregard to the safety of the person or the integrity of the person's property.</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who is trespassing on premises while committing, or with the intention of committing, a criminal act is deemed to have willingly assumed all risks and the occupier of those premises is subject only to the duty of care set out in subsection (3).</w:t>
      </w:r>
    </w:p>
    <w:p>
      <w:pPr>
        <w:numPr>
          <w:numId w:val="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who enters any of the categories of premises described in subsection (3.3) is deemed to have willingly assumed all risks and the occupier of those premises is subject only to the duty of care set out in subsection (3) if</w:t>
      </w:r>
    </w:p>
    <w:p>
      <w:pPr>
        <w:numPr>
          <w:numId w:val="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person who enters is trespassing, or</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entry is for the purpose of a recreational activity and</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occupier receives no payment or other consideration for the entry or activity of the person, other than a payment or other consideration from a government or government agency or a non-profit recreational club or association, and</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occupier is not providing the person with living accommodation on those premises.</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categories of premises referred to in subsection (3.2) are as follows:</w:t>
      </w:r>
    </w:p>
    <w:p>
      <w:pPr>
        <w:numPr>
          <w:numId w:val="1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premises that the occupier uses primarily for agricultural purposes;</w:t>
      </w:r>
    </w:p>
    <w:p>
      <w:pPr>
        <w:numPr>
          <w:numId w:val="1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rural premises that are</w:t>
      </w:r>
    </w:p>
    <w:p>
      <w:pPr>
        <w:numPr>
          <w:numId w:val="1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used for forestry or range purposes,</w:t>
      </w:r>
    </w:p>
    <w:p>
      <w:pPr>
        <w:numPr>
          <w:numId w:val="1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vacant or undeveloped premises,</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forested or wilderness premises, or</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private roads reasonably marked as private roads;</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recreational trails reasonably marked as recreational trails;</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utility rights of way and corridors excluding structures located on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The Strata submits that the Property was either "vacant or undeveloped premises" or was "forested or wilderness premises" within the meaning of s. 3(3.3)(b)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and that the plaintiff was trespassing or entered for the purpose of a recreational activity, and that the plaintiff is therefore deemed by s. 3(3.2) to have willingly assumed all risks. The Strata says that, accordingly, its duty to the plaintiff is limited by s. 3(3)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to not create a danger with intent to harm or act with reckless disregard to the plaintiff's safety.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plaintiff concedes that the Strata's position in this regard is correct and that she is required to demonstrate that the Strata acted with reckless disregard for her safety. Here the Lid was plainly visible, and indeed the plaintiff saw it and was aware of its existence well before her fall. Her evidence is that she did not know what she tripped on to cause her fall, but she confirmed that whatever it was, it was not the Lid.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Much like a manhole cover, the Lid has no less than eight holes which are obviously intended for the purpose of securing the Lid with bolts or screws to the overall structure. Indeed, the evidence is that the Lid was secured precisely in this fashion a few days after the plaintiff's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 am not satisfied that a reasonable person seeing the Lid and the structure would or should have expected that it would be unsecured and could be dislodged as easily as it apparently was during the plaintiff's fall, or that, if dislodged, there was a reasonable risk that an open hole would become exposed, large enough for a person to fall into. In my view, it was reasonably foreseeable that, given the proximity of the Lid and the structure to the parking lot, the accidental bumping of the Lid by a member of the public could occur.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Strata chose to install the Septic Fields. There is no evidence as to why the Lid was unsecured at the time of the accident. Clearly, it should have been secured. Had it been secured, it is highly doubtful that the plaintiff's injuries would have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question and the only question left for determination is whether the unsecured state of the Lid was the result of the Strata's reckless disregard for the safety of persons who, like the plaintiff, inadvertently wandered onto the property. There is no evidence, one way or the other, as to why the lid was not secure, whether due to recklessness or otherwise.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On the whole of the evidence before me on this application, I find that I am unable to find the facts necessary to decide the issue of the Strata's liability. Although I recognize that this is a trial and the plaintiff has the onus of establishing her case on the balance of probabilities, I am of the opinion that it would be unjust to decide the question of the Strata's recklessness on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Accordingly, the Strata's application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CRD is entitled to its costs of this action on Scale B. The costs of the Strata's application will be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G.C. WEATHERILL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84" style="position:absolute;z-index:25188761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09"/>
          <w:headerReference w:type="default" r:id="rId610"/>
          <w:footerReference w:type="even" r:id="rId611"/>
          <w:footerReference w:type="default" r:id="rId612"/>
          <w:headerReference w:type="first" r:id="rId613"/>
          <w:footerReference w:type="first" r:id="rId61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15" w:history="1">
        <w:r>
          <w:rPr>
            <w:rFonts w:ascii="arial" w:eastAsia="arial" w:hAnsi="arial" w:cs="arial"/>
            <w:b/>
            <w:bCs/>
            <w:i/>
            <w:color w:val="0077CC"/>
            <w:kern w:val="32"/>
            <w:sz w:val="28"/>
            <w:szCs w:val="32"/>
            <w:u w:val="single"/>
            <w:shd w:val="clear" w:color="auto" w:fill="FFFFFF"/>
            <w:lang w:val="en-US" w:eastAsia="en-US" w:bidi="ar-SA"/>
          </w:rPr>
          <w:t>Henderson v. Porter, [2001] B.C.J. No. 2588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Grist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10 - 14, 2000, May 21 - June 1,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November 21,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Released: November 23,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Victoria Registry No. 982444</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[2001] B.C.J. No. 2588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BCSC 1601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14 C.L.R. (3d) 221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110 A.C.W.S. (3d) 209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Donald Henderson and Linda Beryl Kyle, plaintiffs, and Norman Porter and the Corporation of the District of Central Saanich, defendants, and Linda Beryl Kyle, defendant by way of counterclaim, and The Corporation of the Distict of Central Saanich, William Alfred Eastgate, Norman Porter, and Paul St. Pierre,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85" style="position:absolute;z-index:2516920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14" w:name="Keywords_30"/>
      <w:bookmarkEnd w:id="214"/>
      <w:r>
        <w:rPr>
          <w:rFonts w:ascii="arial" w:eastAsia="arial" w:hAnsi="arial" w:cs="arial"/>
          <w:b/>
          <w:color w:val="000000"/>
          <w:sz w:val="20"/>
          <w:lang w:val="en-US" w:eastAsia="en-US" w:bidi="ar-SA"/>
        </w:rPr>
        <w:t xml:space="preserve">Real property — Title, boundaries — Encroachment — Relief — Municipal law — Liability of municipalities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Standard of care, building construction approval.</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15" w:name="Case Summary_28"/>
            <w:bookmarkEnd w:id="21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Henderson against Porter for an order directing Porter to remove an encroaching portion of a building from Henderson's property and against the District of Saanich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issuing a building permit relating to the garage. The parties owned adjacent properties. Porter constructed a garage which encroached on Henderson's property. When Porter discovered that the garage was encroaching, he altered a sketch and submitted the sketch to the District as proof of compliance. Porter asked for an accommodation.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16" w:name="Holdings of Court_21"/>
            <w:bookmarkEnd w:id="216"/>
            <w:r>
              <w:rPr>
                <w:rFonts w:ascii="arial" w:eastAsia="arial" w:hAnsi="arial" w:cs="arial"/>
                <w:color w:val="000000"/>
                <w:sz w:val="20"/>
                <w:lang w:val="en-US" w:eastAsia="en-US" w:bidi="ar-SA"/>
              </w:rPr>
              <w:t>HELD: Action against Porter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Action against the District dismissed. Porter was ordered to remove the encroachment. The District did not undertake to ensure that the structure did not encroach. The District was entitled to accept the sketch as proof of compliance. Porter acted without proper investigation as to the property line. In addition, the equitable relief claimed by Porter was not available as he had attempted his own remedy through fraud.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17" w:name="Legislation Cited_25"/>
      <w:bookmarkEnd w:id="21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86" style="position:absolute;z-index:2517432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Property Law Act, </w:t>
      </w:r>
      <w:hyperlink r:id="rId616" w:history="1">
        <w:r>
          <w:rPr>
            <w:rFonts w:ascii="arial" w:eastAsia="arial" w:hAnsi="arial" w:cs="arial"/>
            <w:i/>
            <w:color w:val="0077CC"/>
            <w:sz w:val="20"/>
            <w:u w:val="single"/>
            <w:shd w:val="clear" w:color="auto" w:fill="FFFFFF"/>
            <w:lang w:val="en-US" w:eastAsia="en-US" w:bidi="ar-SA"/>
          </w:rPr>
          <w:t>R.S.B.C. 1996, c. 377, s. 36</w:t>
        </w:r>
      </w:hyperlink>
      <w:r>
        <w:rPr>
          <w:rFonts w:ascii="arial" w:eastAsia="arial" w:hAnsi="arial" w:cs="arial"/>
          <w:color w:val="000000"/>
          <w:sz w:val="20"/>
          <w:lang w:val="en-US" w:eastAsia="en-US" w:bidi="ar-SA"/>
        </w:rPr>
        <w:t>(2).</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Court Note: </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These Reasons for Judgment were released from the Victoria Registry on November 23, 2001 and are date stamped accordingly.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18" w:name="Counsel_32"/>
      <w:bookmarkEnd w:id="21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87" style="position:absolute;z-index:2517944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Gregory Harney, for the plaintiffs. Russell Brown, for the Corporation of the District of Central Saanich. Norman Porter was self-represented.</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19" w:name="Judgment_32"/>
      <w:bookmarkEnd w:id="219"/>
      <w:r>
        <w:pict>
          <v:line id="_x0000_s1188" style="position:absolute;z-index:251843584"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5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20" w:name="GRIST J."/>
            <w:bookmarkEnd w:id="220"/>
            <w:r>
              <w:rPr>
                <w:rFonts w:ascii="arial" w:eastAsia="arial" w:hAnsi="arial" w:cs="arial"/>
                <w:b/>
                <w:color w:val="000000"/>
                <w:sz w:val="30"/>
                <w:lang w:val="en-US" w:eastAsia="en-US" w:bidi="ar-SA"/>
              </w:rPr>
              <w:t>GRIST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plaintiffs and the defendant, Norman Porter, own adjacent rural properties in the District of Central Saanich. In the fall of 1996 the defendant, Porter, constructed a two-storey garage, the south east corner of which encroached on the neighbouring property, acquired by the plaintiffs in the following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plaintiffs' action is for an order as may be made under s. 36(2) of the Property Law Act </w:t>
      </w:r>
      <w:r>
        <w:rPr>
          <w:rFonts w:ascii="arial" w:eastAsia="arial" w:hAnsi="arial" w:cs="arial"/>
          <w:i/>
          <w:color w:val="000000"/>
          <w:sz w:val="20"/>
          <w:lang w:val="en-US" w:eastAsia="en-US" w:bidi="ar-SA"/>
        </w:rPr>
        <w:t>R.S.B.C. 1996, c. 377</w:t>
      </w:r>
      <w:r>
        <w:rPr>
          <w:rFonts w:ascii="arial" w:eastAsia="arial" w:hAnsi="arial" w:cs="arial"/>
          <w:color w:val="000000"/>
          <w:sz w:val="20"/>
          <w:lang w:val="en-US" w:eastAsia="en-US" w:bidi="ar-SA"/>
        </w:rPr>
        <w:t xml:space="preserve">, directing the defendant to remove the encroaching portion of the garage from the adjacent property. The plaintiff also brings action against the District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respect of the Municipality's participation in the events leading to the encroachment.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relevant history of this matter begins with a building permit issued September 30th, 1996 to Mr. Porter for a garage, which was to be situated at its closest point, two metres from the property line. The footings for the garage were sited without the assistance of a survey and apparently relying on an old fence located in the area of bush between the two properties. The then owner of the adjacent property suspected the footings were encroaching, or at least were within the setback distance, and inquired of the building department if the building was properly sited.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On October 29, 1996 the District posted a correction notice on site requiring a surveyor's certificate locating footings. At this point much of the framing for the garage was in place and work was ongoing in preparation for a stucco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On November 14, 1996 Mr. Porter instructed Mr. Orrico, a British Columbia Land Surveyor, to investigate the location of the garage. Field workers from Mr. Orrico's office attended the site. As a result of this survey work, Mr. Porter learned that the building was encroaching, or at the kindest, that it was highly likely that the south east corner extended over onto the adjacent land. Subsequent to this a sketch originally prepared by Mr. Orrico was altered, the name of a non-existent surveyor applied, and the document submitted to the Municipality. The Municipality accepted the document as satisfying the concern which had prompted the notice of October 29th,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garage was completed and the encroachment discovered again in February 1998 after Mr. Henderson and Ms. Kyle had acquired the adjoining property. The matter again came to light when the encroachment was discovered by a surveyor hired by Mr. Henderson to assist in locating a fence line between the properties.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encroachment itself is the overlay of the garage's southeast corner onto the plaintiffs' property. The evidence indicates that the garage extends, at its furthest, one meter onto the neighbouring property. The encroachment tapers to nothing over approximately one-half of the length of the building.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defendant, Porter, does not dispute the encroachment and asks for an accommodation under Section 36(2). Specifically, he proposes a conveyance in respect of the affected portion of land, re-routing the property line to accommodate the encroachment and giving up equivalent area from his property to compensate.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Authority recognises Section 36 as, "a basis, on equitable grounds, for resolving disputes over encroachments." Svenson v. Hokhold, </w:t>
      </w:r>
      <w:hyperlink r:id="rId617" w:history="1">
        <w:r>
          <w:rPr>
            <w:rFonts w:ascii="arial" w:eastAsia="arial" w:hAnsi="arial" w:cs="arial"/>
            <w:i/>
            <w:color w:val="0077CC"/>
            <w:sz w:val="20"/>
            <w:u w:val="single"/>
            <w:shd w:val="clear" w:color="auto" w:fill="FFFFFF"/>
            <w:lang w:val="en-US" w:eastAsia="en-US" w:bidi="ar-SA"/>
          </w:rPr>
          <w:t>[1993] B.C.J. No. 859</w:t>
        </w:r>
      </w:hyperlink>
      <w:r>
        <w:rPr>
          <w:rFonts w:ascii="arial" w:eastAsia="arial" w:hAnsi="arial" w:cs="arial"/>
          <w:color w:val="000000"/>
          <w:sz w:val="20"/>
          <w:lang w:val="en-US" w:eastAsia="en-US" w:bidi="ar-SA"/>
        </w:rPr>
        <w:t xml:space="preserve"> (B.C.C.A.).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In Vineberg v. Rerick, </w:t>
      </w:r>
      <w:hyperlink r:id="rId618" w:history="1">
        <w:r>
          <w:rPr>
            <w:rFonts w:ascii="arial" w:eastAsia="arial" w:hAnsi="arial" w:cs="arial"/>
            <w:i/>
            <w:color w:val="0077CC"/>
            <w:sz w:val="20"/>
            <w:u w:val="single"/>
            <w:shd w:val="clear" w:color="auto" w:fill="FFFFFF"/>
            <w:lang w:val="en-US" w:eastAsia="en-US" w:bidi="ar-SA"/>
          </w:rPr>
          <w:t>[1995] B.C.J. No. 2506</w:t>
        </w:r>
      </w:hyperlink>
      <w:r>
        <w:rPr>
          <w:rFonts w:ascii="arial" w:eastAsia="arial" w:hAnsi="arial" w:cs="arial"/>
          <w:color w:val="000000"/>
          <w:sz w:val="20"/>
          <w:lang w:val="en-US" w:eastAsia="en-US" w:bidi="ar-SA"/>
        </w:rPr>
        <w:t>, Leggatt, J. noted three predominant considerations commonly applied to determine if an encroachment should result in an accommodation, or alternatively, if the offending structure should be ordered removed:</w:t>
      </w:r>
      <w:r>
        <w:rPr>
          <w:rFonts w:ascii="arial" w:eastAsia="arial" w:hAnsi="arial" w:cs="arial"/>
          <w:sz w:val="20"/>
          <w:lang w:val="en-US" w:eastAsia="en-US" w:bidi="ar-SA"/>
        </w:rPr>
        <w:cr/>
      </w:r>
    </w:p>
    <w:p>
      <w:pPr>
        <w:numPr>
          <w:numId w:val="1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comprehension of the property lines: Were the parties cognizant of the correct boundary line before the encroachment became an issue? There are three degrees of knowledge: honest belief,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fraud. The party seeking the easement should have an honest belief to be awarded this remedy.</w:t>
      </w:r>
    </w:p>
    <w:p>
      <w:pPr>
        <w:numPr>
          <w:numId w:val="1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nature of the encroachment: Was the encroachment a lasting improvement? What is the effect and cost involved in moving the improvement? What was its effect on the properties in question? The more fixed the improvement, and the more costly and cumbersome it would be to move it, the more these considerations will be weighed in favour of the petitioner.</w:t>
      </w:r>
    </w:p>
    <w:p>
      <w:pPr>
        <w:numPr>
          <w:numId w:val="1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size of the encroachment: How does the encroachment affect the properties, in terms of both their present and future value and use? These questions serve to balance the potential losses and gains of the creation of an easement.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 first requirement (applicable in considering both an easement and a compensating conveyance) is that the party seeking the easement should have acted honestly and without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Here I judge it likely Mr. Porter thought he was locating his garage on his property when he began construction, but the fact is that he acted without proper investigation, apparently relying on an old fence and perhaps a buried piece of pipe as indicating the property line and south east corner of his land. The plans submitted for a building permit showed his intention to place the garage two meters from the property line in an area of brush between the two rural properties. Previous survey evidence was available fixing other points on the perimeter of Mr. Porter's property and it would have been a simple matter for a surveyor to mark the south east corner, as in fact was done by the two surveyors who noted the encroachment.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Mr. Porter was formerly the District Building Inspector and subsequently has been self-employed as a property developer. He should have been aware of the danger of a mistake and his lack of care amounts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Porter's evidence was that the garage footings were set by the framer he hired for the project. I reject his evidence in this regard. The framer's evidence was that he was told by Mr. Porter where to site the building. Specifically, to be in line with a shed further to the rear of the property, as indicated in the site plan prepared by Mr. Porter.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contract with the framer made no reference to fixing the building site. Mr. Porter had knowledge of the property and was experienced in construction and the framer had no technical skill as a surveyor. These factors lead me to conclude Mr. Porter fixed the site. Further, Mr. Porter's subsequent actions give no assurance his testimony is reliable.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More significant to this case, however, is the fact that faced with the prospect that the building was constructed onto the neighbouring property, Mr. Porter undertook to conceal the mistake with fraudulent assurances the garage was property sited. When required to provide proof of compliance he instructed Mr. Orrico, who prepared a sketch and advised him he was encroaching. Mr. Porter then instructed Mr. Orrico and his Office Manager not to go further in preparing a formal survey document and not to give information concerning the finding. Subsequently the sketch prepared by Mr. Orrico was altered and submitted to the Municipality as proof of compliance.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equitable relief under Section 36 is not available to a party who has attempted his own remedy through fraud. Subsequent to these events Mr. Porter has been convicted of criminal offences related to the false document and sentenced to jail.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plaintiffs are entitled to the order requiring removal of the encroachment. The balance of the plaintiffs' case, however, is of a different character. The statement of claim alleges the Municipality acted negligently by failing to take steps to assure the building site conformed to the lot line through its permitting and inspection process and in accepting the fraudulent plan, which did not conform with the stated requirement of a surveyor's certificate. The statement of claim further states that as a result of these omissions the plaintiffs suffered, "further aggravation and damages", and loss of use of property, continued trespass and diminuition of property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I am satisfied that neither the Municipal by-law nor the policy procedures of the Municipality at the time indicate that the Municipality undertook a duty to take steps to assure that structures such as Mr. Porter's garage would not encroach. The permitting and inspection process did not mandate surveys fixing the footings for such structures unless the site plan showed their intended location as being within two feet of the set back. Further, notwithstanding the stated requirement of a surveyor's certificate in the October 29th notice, there was no formal requirement for such a document and the Municipality was free to accept the level of proof inherent in the sketch, which had an appearance of validity. Lastly, I do not accept that a cause of action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can be made out in this case extending liability to the Municipality for the defendant's encroachment. An encroachment of itself may interfere with the enjoyment of land, but can be made subject to a specific legal remedy and will not likely lead to physical damage or unsafe premises. The cause of action proposed in this case has few of the compelling policy features supporting Municipal liability for negligent inspection for breaches of the building code. Additionally, the evidence in this case does not indicate any substantial impairment of the use of the land or diminuition of value. The action against the Municipality is dismissed and the third party claim by Porter is also without substance.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GRIST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89" style="position:absolute;z-index:2518886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19"/>
          <w:headerReference w:type="default" r:id="rId620"/>
          <w:footerReference w:type="even" r:id="rId621"/>
          <w:footerReference w:type="default" r:id="rId622"/>
          <w:headerReference w:type="first" r:id="rId623"/>
          <w:footerReference w:type="first" r:id="rId62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625" w:history="1">
        <w:r>
          <w:rPr>
            <w:rFonts w:ascii="arial" w:eastAsia="arial" w:hAnsi="arial" w:cs="arial"/>
            <w:b/>
            <w:bCs/>
            <w:i/>
            <w:color w:val="0077CC"/>
            <w:kern w:val="32"/>
            <w:sz w:val="28"/>
            <w:szCs w:val="32"/>
            <w:u w:val="single"/>
            <w:shd w:val="clear" w:color="auto" w:fill="FFFFFF"/>
            <w:lang w:val="en-US" w:eastAsia="en-US" w:bidi="ar-SA"/>
          </w:rPr>
          <w:t>Hertz Canada Ltd. v. Suburban Motors Ltd., [2000] B.C.J. No. 830</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Warren J.</w:t>
      </w:r>
    </w:p>
    <w:p>
      <w:pPr>
        <w:spacing w:before="120" w:line="260" w:lineRule="atLeast"/>
        <w:jc w:val="center"/>
        <w:rPr>
          <w:lang w:val="en-US" w:eastAsia="en-US" w:bidi="ar-SA"/>
        </w:rPr>
      </w:pPr>
      <w:r>
        <w:rPr>
          <w:rFonts w:ascii="arial" w:eastAsia="arial" w:hAnsi="arial" w:cs="arial"/>
          <w:color w:val="000000"/>
          <w:sz w:val="20"/>
          <w:lang w:val="en-US" w:eastAsia="en-US" w:bidi="ar-SA"/>
        </w:rPr>
        <w:t>Heard: March 15 and 16, 2000.</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April 20, 2000.</w:t>
      </w:r>
    </w:p>
    <w:p>
      <w:pPr>
        <w:spacing w:before="120" w:line="260" w:lineRule="atLeast"/>
        <w:jc w:val="center"/>
        <w:rPr>
          <w:lang w:val="en-US" w:eastAsia="en-US" w:bidi="ar-SA"/>
        </w:rPr>
      </w:pPr>
      <w:r>
        <w:rPr>
          <w:rFonts w:ascii="arial" w:eastAsia="arial" w:hAnsi="arial" w:cs="arial"/>
          <w:color w:val="000000"/>
          <w:sz w:val="20"/>
          <w:lang w:val="en-US" w:eastAsia="en-US" w:bidi="ar-SA"/>
        </w:rPr>
        <w:t>Vancouver Registry No. C992594</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[2000] B.C.J. No. 830</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2000 BCSC 667</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 M.V.R. (4th) 214</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96 A.C.W.S. (3d) 317</w:t>
      </w:r>
    </w:p>
    <w:p>
      <w:pPr>
        <w:spacing w:before="120" w:line="260" w:lineRule="atLeast"/>
        <w:rPr>
          <w:lang w:val="en-US" w:eastAsia="en-US" w:bidi="ar-SA"/>
        </w:rPr>
      </w:pPr>
      <w:r>
        <w:rPr>
          <w:rFonts w:ascii="arial" w:eastAsia="arial" w:hAnsi="arial" w:cs="arial"/>
          <w:color w:val="000000"/>
          <w:sz w:val="20"/>
          <w:lang w:val="en-US" w:eastAsia="en-US" w:bidi="ar-SA"/>
        </w:rPr>
        <w:t>Between Hertz Canada Limited, plaintiff, and Suburban Motors Ltd., defendant</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(12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190" style="position:absolute;z-index:251693056"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221" w:name="Keywords_31"/>
      <w:bookmarkEnd w:id="221"/>
      <w:r>
        <w:rPr>
          <w:rFonts w:ascii="arial" w:eastAsia="arial" w:hAnsi="arial" w:cs="arial"/>
          <w:b/>
          <w:color w:val="000000"/>
          <w:sz w:val="20"/>
          <w:lang w:val="en-US" w:eastAsia="en-US" w:bidi="ar-SA"/>
        </w:rPr>
        <w:t xml:space="preserve">Bailment — Liability of bailee — Bailment for benefit of bailor and bailee — Duty of bailee for hire or reward — What constitutes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Bailment of chattel for repair — Evidence and burden of proof on bailee.</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222" w:name="Case Summary_29"/>
            <w:bookmarkEnd w:id="222"/>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This was an action by Hertz Canada against Suburban Motors for damages. Hertz delivered its new vehicle to Suburban for servicing. The key was numbered and placed on an open rack in a locked room of the service department. A corresponding number was placed on the vehicle left in the general parking area. Overnight, an intruder broke into the locked premises using a crowbar. He forced his way through the locked interior door to gain access to the keys left on the turnstile. A number of tagged keys were taken, but only the key for the Hertz car was used. In its two other locations, the dealership stored such keys in a safe after hours. There was evidence that other dealers in the area used a similar method to Suburban's. Changes were made to Suburban's security after the break-in. The vehicle was found damaged beyond repair. Hertz brought an action against the dealership as a bailee for reward. </w:t>
            </w:r>
            <w:r>
              <w:rPr>
                <w:lang w:val="en-US" w:eastAsia="en-US" w:bidi="ar-SA"/>
              </w:rPr>
              <w:cr/>
            </w:r>
          </w:p>
          <w:p>
            <w:pPr>
              <w:spacing w:before="120" w:line="260" w:lineRule="atLeast"/>
              <w:ind w:left="240"/>
              <w:jc w:val="both"/>
              <w:rPr>
                <w:lang w:val="en-US" w:eastAsia="en-US" w:bidi="ar-SA"/>
              </w:rPr>
            </w:pPr>
            <w:bookmarkStart w:id="223" w:name="Holdings of Court_22"/>
            <w:bookmarkEnd w:id="223"/>
            <w:r>
              <w:rPr>
                <w:rFonts w:ascii="arial" w:eastAsia="arial" w:hAnsi="arial" w:cs="arial"/>
                <w:color w:val="000000"/>
                <w:sz w:val="20"/>
                <w:lang w:val="en-US" w:eastAsia="en-US" w:bidi="ar-SA"/>
              </w:rPr>
              <w:t>HELD: Action dismissed.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Suburban met the duty resting on it as bailee or custodian for reward to safeguard the goods with reasonable care and diligence according to the circumstances. The loss was not the result of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but rather the result of the efforts of a determined third party who surmounted the safeguards used. </w:t>
            </w:r>
            <w:r>
              <w:rPr>
                <w:lang w:val="en-US" w:eastAsia="en-US" w:bidi="ar-SA"/>
              </w:rPr>
              <w:cr/>
            </w:r>
          </w:p>
          <w:p>
            <w:pPr>
              <w:rPr>
                <w:lang w:val="en-US" w:eastAsia="en-US" w:bidi="ar-SA"/>
              </w:rPr>
            </w:pPr>
          </w:p>
        </w:tc>
      </w:tr>
    </w:tbl>
    <w:p>
      <w:pPr>
        <w:jc w:val="both"/>
        <w:rPr>
          <w:lang w:val="en-US" w:eastAsia="en-US" w:bidi="ar-SA"/>
        </w:rPr>
      </w:pPr>
      <w:bookmarkStart w:id="224" w:name="Counsel_33"/>
      <w:bookmarkEnd w:id="224"/>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191" style="position:absolute;z-index:251744256"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S.M. Winder, for the plaintiff. J.P. Cahan, for the defendant.</w:t>
      </w:r>
      <w:r>
        <w:rPr>
          <w:lang w:val="en-US" w:eastAsia="en-US" w:bidi="ar-SA"/>
        </w:rPr>
        <w:cr/>
      </w:r>
    </w:p>
    <w:p>
      <w:pPr>
        <w:spacing w:after="240"/>
        <w:rPr>
          <w:lang w:val="en-US" w:eastAsia="en-US" w:bidi="ar-SA"/>
        </w:rPr>
      </w:pPr>
      <w:bookmarkStart w:id="225" w:name="Judgment_33"/>
      <w:bookmarkEnd w:id="225"/>
      <w:r>
        <w:pict>
          <v:line id="_x0000_s1192" style="position:absolute;z-index:251795456"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226" w:name="WARREN J."/>
            <w:bookmarkEnd w:id="226"/>
            <w:r>
              <w:rPr>
                <w:rFonts w:ascii="arial" w:eastAsia="arial" w:hAnsi="arial" w:cs="arial"/>
                <w:b/>
                <w:color w:val="000000"/>
                <w:sz w:val="30"/>
                <w:lang w:val="en-US" w:eastAsia="en-US" w:bidi="ar-SA"/>
              </w:rPr>
              <w:t>WARREN J.</w:t>
            </w:r>
          </w:p>
        </w:tc>
      </w:tr>
    </w:tbl>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Introduction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was the owner of a new Lincoln Town Car, which it delivered to the defendant on February 23, 1998 for servicing of a faulty seat belt.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An employee of the plaintiff delivered it to the defendant and left the keys to the vehicle with the service department. The practice of the defendant was to "tag" the keys with a number and place a correspondingly numbered portion of the card on the rear view mirror of the vehicle so that a service technician could locate the vehicle. The vehicle was then left in the general parking area of the defendant's business.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Because the work could not be performed that day, the vehicle was left on the lot overnight. Sometime during the night a person or persons broke into the locked rear door of the premises and by a somewhat circuitous route gained access to the room where the keys were left on a rack on the counter. This required the intruder to pass through another locked door and locate the appropriate key, and then locate and gain access to the plaintiff's vehicle. The car was found the next morning in the ocean off Victoria, damaged beyond repair.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sues the defendant as a bailee for reward for the purchase price of the car, the cost of towing, cellular telephone loss and loss of use of the vehicle. The claim totals $55,371.03 from which is deducted $3,150, which was recovered when the car was sold at auction for salvage. The loss of use claim is based upon an average of the rental value of similar vehicles during a three month period following the loss.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Issue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issue before me is whether the defendant exercised the proper standard of care in the storage of the plaintiff's vehicle. A bailee (or custodian as some authorities term it) for reward owes a duty to safeguard the goods with reasonable care according to the circumstances of the case and is required to redeliver the goods in the condition in which they were bailed: N.E. Palmer, Bailment (Sydney: Law Book Company, 1979). Absent some particular instructions, and there is no evidence of such instructions in the case at bar, the bailee is not an insurer. The burden is on the bailee to show on a balance of probabilities that he used reasonable care and diligence in the particular circumstances.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Findings of Fact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defendant's premises consist of a large unsecured parking compound at the front of the service building. To the rear of the service building there is a large lot surrounded by a high wire fence topped with barbed wire. The plaintiff's vehicle had been left in the front, unsecured lot overnight, along with a number of other vehicles. The entrance to the service bays is through the rear lot, which has gates that are locked at night. In order to gain unauthorized access to this rear, secured area after hours a person must scale the fence topped with barbed wire. There are a number of bays accessible through garage doors that, in turn, are locked at night. Pedestrian traffic into the rear service area during the day is through a regular door and it was through this door that the thief obtained access to the service area. The door is steel clad, hung on a steel frame and secured with a dead-bolt type lock. The whole is set in a cement cinder block wall.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From the evidence, it appears that the thief gained entry to the service area by using a tire iron, forcing the lock on the regular type door. Once inside the service area, the thief had access to some parts of the service area but he still had to force the lock on another interior door before he was in the room where the keys were left on a turnstile. There were a number of keys on the turnstile on the night in question and each bore the tag with a number corresponding to a card that was placed on the rear view mirror of the car. It appears that a number of the keys were taken but only the one for the plaintiff's vehicle was used. Other parts of the interior of the premises were invaded and some minor damage done. A small amount of cash left on the premises was undetected.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has three locations in the greater Victoria area and in each location the plaintiff stores the keys to its vehicles after hours in a safe. Evidence called by the defendant was that a car dealer in Vancouver has a similar method for storing keys as that employed by the defendant in Victoria and there are few, if any, methods used to protect cars left for service in dealers' lots. Further, another Victoria dealer with two locations, stores keys in a similar manner to the method used by the defendant. Although a vehicle is used to block the entry to the parking area at one location, that was because of the secluded location of the lot. In any event, the evidence indicates that blocking the entry will not prevent a determined thief from driving a car over the curb or crashing through a locked gate.</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Submissions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 plaintiff submits that the defendant was negligent in relying only on locked doors for security and in not having an alarm system in place at the time. Further, the keys of customers are identified by numbered tags which correspond to a card placed in the interior of the car and the keys are left in an unsecured area hanging on a turnstile. The plaintiff submits that by not securing the keys after hours the defendant failed to meet the minimum standards of a bailee. Further, the defendant ought to have taken steps to block the driveway of the front lot after hours in order to prevent or inhibit the removal of cars left with the defendant. Because the defendant is a paid bailee, the plaintiff submits the burden is on it to show that the loss was not the result of a failure to take reasonable care: Duckworth v. Armstrong (c.o.b. Superior Autobody) </w:t>
      </w:r>
      <w:hyperlink r:id="rId626" w:history="1">
        <w:r>
          <w:rPr>
            <w:rFonts w:ascii="arial" w:eastAsia="arial" w:hAnsi="arial" w:cs="arial"/>
            <w:i/>
            <w:color w:val="0077CC"/>
            <w:sz w:val="20"/>
            <w:u w:val="single"/>
            <w:shd w:val="clear" w:color="auto" w:fill="FFFFFF"/>
            <w:lang w:val="en-US" w:eastAsia="en-US" w:bidi="ar-SA"/>
          </w:rPr>
          <w:t>(1996), 29 C.C.L.T. (2d) 239</w:t>
        </w:r>
      </w:hyperlink>
      <w:r>
        <w:rPr>
          <w:rFonts w:ascii="arial" w:eastAsia="arial" w:hAnsi="arial" w:cs="arial"/>
          <w:color w:val="000000"/>
          <w:sz w:val="20"/>
          <w:lang w:val="en-US" w:eastAsia="en-US" w:bidi="ar-SA"/>
        </w:rPr>
        <w:t xml:space="preserve"> at 244 (B.C.S.C.); Sigstad v. Kirmac Collision Repairs Ltd. </w:t>
      </w:r>
      <w:hyperlink r:id="rId627" w:history="1">
        <w:r>
          <w:rPr>
            <w:rFonts w:ascii="arial" w:eastAsia="arial" w:hAnsi="arial" w:cs="arial"/>
            <w:i/>
            <w:color w:val="0077CC"/>
            <w:sz w:val="20"/>
            <w:u w:val="single"/>
            <w:shd w:val="clear" w:color="auto" w:fill="FFFFFF"/>
            <w:lang w:val="en-US" w:eastAsia="en-US" w:bidi="ar-SA"/>
          </w:rPr>
          <w:t>(1989), 1 C.C.L.T. (2d) 295</w:t>
        </w:r>
      </w:hyperlink>
      <w:r>
        <w:rPr>
          <w:rFonts w:ascii="arial" w:eastAsia="arial" w:hAnsi="arial" w:cs="arial"/>
          <w:color w:val="000000"/>
          <w:sz w:val="20"/>
          <w:lang w:val="en-US" w:eastAsia="en-US" w:bidi="ar-SA"/>
        </w:rPr>
        <w:t xml:space="preserve"> at 313 (B.C. Co. Ct.). In Ball v. Brown Bros. Enterprises, </w:t>
      </w:r>
      <w:hyperlink r:id="rId628" w:history="1">
        <w:r>
          <w:rPr>
            <w:rFonts w:ascii="arial" w:eastAsia="arial" w:hAnsi="arial" w:cs="arial"/>
            <w:i/>
            <w:color w:val="0077CC"/>
            <w:sz w:val="20"/>
            <w:u w:val="single"/>
            <w:shd w:val="clear" w:color="auto" w:fill="FFFFFF"/>
            <w:lang w:val="en-US" w:eastAsia="en-US" w:bidi="ar-SA"/>
          </w:rPr>
          <w:t>[1999] B.C.J. No. 816</w:t>
        </w:r>
      </w:hyperlink>
      <w:r>
        <w:rPr>
          <w:rFonts w:ascii="arial" w:eastAsia="arial" w:hAnsi="arial" w:cs="arial"/>
          <w:color w:val="000000"/>
          <w:sz w:val="20"/>
          <w:lang w:val="en-US" w:eastAsia="en-US" w:bidi="ar-SA"/>
        </w:rPr>
        <w:t xml:space="preserve">, (12 March 1999), Vancouver 97-36580 (Prov. Ct.), White P.C.J. held that it was not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a bailee to keep cars in a locked compound where the cars were locked and the keys kept in an area accessible only to employees. Here the plaintiff argues that similar steps ought to have been taken and the failure to do so amounts to a breach of the standard of care of a bailee: see also Sigstad, supra, and Manitoba Public Insurance Corp. v. Midway Chrysler Plymouth Ltd. </w:t>
      </w:r>
      <w:hyperlink r:id="rId629" w:history="1">
        <w:r>
          <w:rPr>
            <w:rFonts w:ascii="arial" w:eastAsia="arial" w:hAnsi="arial" w:cs="arial"/>
            <w:i/>
            <w:color w:val="0077CC"/>
            <w:sz w:val="20"/>
            <w:u w:val="single"/>
            <w:shd w:val="clear" w:color="auto" w:fill="FFFFFF"/>
            <w:lang w:val="en-US" w:eastAsia="en-US" w:bidi="ar-SA"/>
          </w:rPr>
          <w:t>(1977), 82 D.L.R. (3d) 206</w:t>
        </w:r>
      </w:hyperlink>
      <w:r>
        <w:rPr>
          <w:rFonts w:ascii="arial" w:eastAsia="arial" w:hAnsi="arial" w:cs="arial"/>
          <w:color w:val="000000"/>
          <w:sz w:val="20"/>
          <w:lang w:val="en-US" w:eastAsia="en-US" w:bidi="ar-SA"/>
        </w:rPr>
        <w:t xml:space="preserve"> (Man. C.A.).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Finally, while the fact that the defendant made changes to its security after the break-in is not evidence on which to base a finding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plaintiff argues that this fact may be considered with other evidence in order to arrive at a conclusion on the issue of liability: Dahl v. Liberty Investments Ltd., </w:t>
      </w:r>
      <w:hyperlink r:id="rId630" w:history="1">
        <w:r>
          <w:rPr>
            <w:rFonts w:ascii="arial" w:eastAsia="arial" w:hAnsi="arial" w:cs="arial"/>
            <w:i/>
            <w:color w:val="0077CC"/>
            <w:sz w:val="20"/>
            <w:u w:val="single"/>
            <w:shd w:val="clear" w:color="auto" w:fill="FFFFFF"/>
            <w:lang w:val="en-US" w:eastAsia="en-US" w:bidi="ar-SA"/>
          </w:rPr>
          <w:t>[1997] B.C.J. No. 461</w:t>
        </w:r>
      </w:hyperlink>
      <w:r>
        <w:rPr>
          <w:rFonts w:ascii="arial" w:eastAsia="arial" w:hAnsi="arial" w:cs="arial"/>
          <w:color w:val="000000"/>
          <w:sz w:val="20"/>
          <w:lang w:val="en-US" w:eastAsia="en-US" w:bidi="ar-SA"/>
        </w:rPr>
        <w:t>, (21 February 1997), Vancouver C957419 (S.C.) at para. 26, Skipp J.</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Defendant's Submissions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 defendant submits that the mere event of the theft does not automatically make it liable and there must be some default on its part in order for there to be liability. If the bailee can provide sufficient and convincing evidence of having taken reasonable precautions to guard against loss then a bailee will not be liable: Palmer, Bailment, supra, at pp. 443-444. The defendant argues that a bailee is not an insurer and is not liable for acts of independent third parties such as thieves unless he has failed to take reasonable care of the goods: Manitoba Public Insurance Corp., supra, and because the defendant at bar has established on the evidence that it took reasonable care of the plaintiff's vehicle and was not guilty of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which was the proximate cause of the loss, it should not be held liable: Sabean v. Moran </w:t>
      </w:r>
      <w:hyperlink r:id="rId631" w:history="1">
        <w:r>
          <w:rPr>
            <w:rFonts w:ascii="arial" w:eastAsia="arial" w:hAnsi="arial" w:cs="arial"/>
            <w:i/>
            <w:color w:val="0077CC"/>
            <w:sz w:val="20"/>
            <w:u w:val="single"/>
            <w:shd w:val="clear" w:color="auto" w:fill="FFFFFF"/>
            <w:lang w:val="en-US" w:eastAsia="en-US" w:bidi="ar-SA"/>
          </w:rPr>
          <w:t>(1991), 117 N.B.R. (2d) 329</w:t>
        </w:r>
      </w:hyperlink>
      <w:r>
        <w:rPr>
          <w:rFonts w:ascii="arial" w:eastAsia="arial" w:hAnsi="arial" w:cs="arial"/>
          <w:color w:val="000000"/>
          <w:sz w:val="20"/>
          <w:lang w:val="en-US" w:eastAsia="en-US" w:bidi="ar-SA"/>
        </w:rPr>
        <w:t xml:space="preserve"> (Q.B.). The defendant had no prior history of comparable incidents and the plaintiff made no request for special treatment for their vehicle. Accordingly, the defendant submits that it has met the burden of showing that it took the appropriate care and did not contribute to the loss of the vehicle. Further, as a bailee for reward the defendant says that it took the appropriate care as a prudent person would of their own chattel. Any loss was not the result of any default,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misconduct on the part of the defendant.</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Conclusion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The facts of this case when viewed with the relevant law leads to the conclusion that the defendant is not liable for the loss sustained by the plaintiff when its vehicle was taken from the parking lot area of the defendant's premises. I hold that the defendant took reasonable steps to safeguard the plaintiff's vehicle and storing the keys of customers' cars in a locked room inside the locked premises was not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defendant's part. In my view, the loss was not the result of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defendant but the result of the efforts of a truly determined third party who surmounted all of the safeguards employed by the defendant. I hold that the method of storing customers' keys after hours was not negligent and the action is dismissed. Unless there are factors of which I am unaware, the defendant is entitled to its costs.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WARREN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3" style="position:absolute;z-index:25184460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32"/>
          <w:headerReference w:type="default" r:id="rId633"/>
          <w:footerReference w:type="even" r:id="rId634"/>
          <w:footerReference w:type="default" r:id="rId635"/>
          <w:headerReference w:type="first" r:id="rId636"/>
          <w:footerReference w:type="first" r:id="rId63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38" w:history="1">
        <w:r>
          <w:rPr>
            <w:rFonts w:ascii="arial" w:eastAsia="arial" w:hAnsi="arial" w:cs="arial"/>
            <w:b/>
            <w:bCs/>
            <w:i/>
            <w:color w:val="0077CC"/>
            <w:kern w:val="32"/>
            <w:sz w:val="28"/>
            <w:szCs w:val="32"/>
            <w:u w:val="single"/>
            <w:shd w:val="clear" w:color="auto" w:fill="FFFFFF"/>
            <w:lang w:val="en-US" w:eastAsia="en-US" w:bidi="ar-SA"/>
          </w:rPr>
          <w:t>Heuser v. Carnovale, [2016] B.C.J. No. 2937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Kamloops,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L.B. Gerow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2-5,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May 12,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S49373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Kamloops</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[2016] B.C.J. No. 2937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2016 BCSC 2620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Harry Heuser and Madeleine Oxenham, Plaintiffs, and Frank M. Carnovale, Steven P. Carnovale and Tyrone Paris Playboy,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94" style="position:absolute;z-index:2516940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27" w:name="Keywords_32"/>
      <w:bookmarkEnd w:id="227"/>
      <w:r>
        <w:rPr>
          <w:rFonts w:ascii="arial" w:eastAsia="arial" w:hAnsi="arial" w:cs="arial"/>
          <w:b/>
          <w:color w:val="000000"/>
          <w:sz w:val="20"/>
          <w:lang w:val="en-US" w:eastAsia="en-US" w:bidi="ar-SA"/>
        </w:rPr>
        <w:t xml:space="preserve">Damages — For torts — Affecting property — Real property — Trespass — Value of realty — Repair or replacement — Action for trespass,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and vicarious liability allowed — Tenant of defendant's property had hired a friend to cut trees — Friend then also cut trees on plaintiff's property — Plaintiff's awarded $18,600 for restoration, $1,000 for loss of amenity, $2,000 in punitive damages, and $4,168 in special damages.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Trespass — To land — Action for trespass,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and vicarious liability allowed — Plaintiff and Carnavole defendants were abutting landowners — Defendants' tenant, Playboy, hired third party, Gordon, to cut down trees of Carnavole property — Gordon also cut trees on plaintiffs' property — Defendants liable for damages in trespass — Gordon trespassed onto plaintiffs' property to cut the trees — Playboy liable for trespass as a joint tortfeasor as he directed Gordon to cut the trees — Defendants negligent in failing to determine boundary of Carnovale property.</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28" w:name="Case Summary_30"/>
            <w:bookmarkEnd w:id="22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for trespass,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vicarious liability. The plaintiffs owned a vacant, heavily treed lot adjacent to the defendants' property and intended to build a vacation home on it. The Carnovale defendants had leased their property to the defendant Playboy since 2003. In 2013, Playboy hired a friend, Gordon, to fall trees. Gordon felled a large number of trees, including trees on the plaintiffs' property. Playboy testified that he knew he did not have the authority to cut down the trees on the property and that he never asked the Carnovales' permission prior to Gordon felling the trees in late 2012. Playboy testified that he implied to Gordon that he was the owner of the property. Playboy had asked permission before he had a dead tree that had fallen removed in front of the residence removed. The plaintiffs argued that the Carnovale defendants knew of Playboy's plan to cut down the trees and were liable on the basis of agency or on the basis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vicarious liability.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29" w:name="Holdings of Court_23"/>
            <w:bookmarkEnd w:id="229"/>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defendants were liable for damages in trespass. Gordon trespassed onto the plaintiffs' property to cut the trees. Playboy was liable for trespass as a joint tortfeasor as he directed Gordon to cut the trees. The court did not accept the defendants' evidence that Playboy did not need the Carnovales' permission to cut the trees. The Carnovale defendants gave the permission to cut the trees to improve the view from the residence as it added value to their property. It was not believable that if Playboy contacted the Carnovale defendants prior to making any changes to the residence or removing a single tree that had fallen, he would not have contacted them before instructing Gordon to cut down a large number of trees. The court did not accept that the Carnovales did not notice a large number of trees were cut when they attended the property in 2013. While the defendants did not knowingly trespass onto the plaintiffs' property, they were negligent in failing to determine the boundary of the Carnovale defendants' property. The defendants owed a duty to the plaintiffs to take steps to ensure that any trees being felled were on the Carnovale defendants' property, and they did not do so. Gordon relied on Playboy to tell him what trees to cut. There was no evidence that the plaintiffs' property had been diminished in value as a result of the tree felling. The appropriate award for reforestation was $18,600 based on the lower quotation. Having taken into consideration the proposed use of the land, the fact that the area could not be seen from the proposed building site and the felling had not affected the privacy of the proposed building site, the appropriate award for loss of amenity was $1,000. Punitive damages of $2,000 were awarded as neither Playboy nor the Carnovale defendants disclosed any participation in the trespass until 2015. Special damages of $4,168 were awarded.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30" w:name="Counsel_34"/>
      <w:bookmarkEnd w:id="23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95" style="position:absolute;z-index:2517452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D. Hughes.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Frank M. Carnovale and Steven P. Carnovale: H. Chahal.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Appearing on his own behalf: T.P. Playboy.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31" w:name="Judgment_34"/>
      <w:bookmarkEnd w:id="231"/>
      <w:r>
        <w:pict>
          <v:line id="_x0000_s1196" style="position:absolute;z-index:25179648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Oral 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5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32" w:name="L.B. GEROW J. (orally)"/>
            <w:bookmarkEnd w:id="232"/>
            <w:r>
              <w:rPr>
                <w:rFonts w:ascii="arial" w:eastAsia="arial" w:hAnsi="arial" w:cs="arial"/>
                <w:b/>
                <w:color w:val="000000"/>
                <w:sz w:val="30"/>
                <w:lang w:val="en-US" w:eastAsia="en-US" w:bidi="ar-SA"/>
              </w:rPr>
              <w:t>L.B. GEROW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plaintiffs claim against the defendants in trespass,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vicarious liability. In 2011 the plaintiffs, Harry Heuser and Madeleine Oxenham, purchased a property next door to a property owned by the defendants, Frank and Steven Carnovale. The plaintiffs' property is a 3-acre vacant lot that is heavily treed. They plan to build a recreational home on it for their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property owned by the Carnovales defendants is a 2.44-acre lot and has a residence on it. From 2003 to present the defendant Tyrone Paris Playboy has leased the residence from the Carnovale defendants. In 2013, Mr. Playboy hired a friend, Kevin Gordon, to fall trees. Mr. Gordon felled a large number of trees, including trees on the plaintiffs'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plaintiffs have sued the defendants alleging they trespassed on their land. In their notice of civil claim the plaintiffs sought damages, including damages for the cost of cleanup of the felled trees, replacing the trees, punitive damages, disgorgement of benefits and unjust enrichment. At trial the plaintiffs sought damages for cost of cleanup of the trees, replacing the trees, loss of amenity and punitive damages. They did not advance any claim for damages based on the disgorgement of benefits or unjust enrichment.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These are the reasons in the action. I reserve the right to edit these reasons by adding to or subtracting from them, including adding citations, but the result will not change.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issues are:</w:t>
      </w:r>
      <w:r>
        <w:rPr>
          <w:rFonts w:ascii="arial" w:eastAsia="arial" w:hAnsi="arial" w:cs="arial"/>
          <w:sz w:val="20"/>
          <w:lang w:val="en-US" w:eastAsia="en-US" w:bidi="ar-SA"/>
        </w:rPr>
        <w:cr/>
      </w:r>
    </w:p>
    <w:p>
      <w:pPr>
        <w:numPr>
          <w:numId w:val="1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Are the defendants or any of them liable for cutting down the trees on the plaintiffs' property? and</w:t>
      </w:r>
    </w:p>
    <w:p>
      <w:pPr>
        <w:numPr>
          <w:numId w:val="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so, what is the appropriate amount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 will summarize the relevant evidence. The plaintiffs purchased their property in 2011 for $67,000. The property is on a hillside overlooking Shuswap Lake. Mr. Heuser testified to the fact there were many large trees on the property was an attractive feature to the plaintiffs. The lot was private and there was a building site adjacent to the road which had a nice view of the lake. The plan was to build a house that would maximize the plaintiffs' view of the lake.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Heuser's evidence is that soon after the plaintiffs purchased the property, they hired Mr. Johnson, of Browne Johnson Surveyors, to survey and stake the boundaries of their property. Following the completion of the survey, Mr. Heuser installed rebar that was painted orange beside the stakes as he was concerned that wooden stakes would deteriorate over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Late in 2012, Mr. Heuser contacted Omega Engineering Ltd., a firm of civil and structural engineers to start developing a site plan. As well he spoke to a couple of builders of log homes in the summer or fall of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June 2013, Mr. Heuser arranged to meet a representative of Omega Engineering at the site to discuss his plans for development. When Mr. Heuser arrived at the site and started walking it with the representative of Omega Engineering he discovered are large number of trees had been felled on the property. The felled trees consisted of birch, fir and cedar trees.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As a result of the discovery of the felled tree, Mr. Heuser aborted his development plan. He has done no further work on the property except for clearing and removing the felled trees.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Heuser testified that after seeing the trees he went to speak to the neighbours. Mr. Heuser's evidence is that when he went to the residence of his neighbour and attempted to speak to Mr. Playboy in order to find out who had cut down the trees and who owned the property, Mr. Playboy was not forthcoming. According to Mr. Heuser Mr. Playboy was difficult to speak to and refused to acknowledge that any trees had been felled. Mr. Heuser's evidence is that when he tried to pursue the conversation, Mr. Playboy told him he was trespassing and Mr. Heuser left.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Following that encounter Mr. Heuser contacted Lakehead Helicopters to photograph the area of the felled trees. As well he contacted Mr. Johnson to survey the location of the stumps of the felled trees. Mr. Heuser hired a certified tree feller, Anvil Holdings, to inspect the trees and determine if they were professionally cut. He retained Bruce Morrow Forest Consulting Ltd. to assess the potential fire hazard created by the felled trees. Finally Mr. Heuser retained Corrie Appraisals (Commercial) Ltd. to provide a preliminary evaluation of the Carnovale defendants' property to determine if the market value of the property had changed as a result of the removal of the trees to enhance the view from the existing residence.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Heuser testified that despite inquiries he was unable to determine who cut down the trees until the summer of 2015, when he was told that Mr. Playboy had hired someone to cut them down. The plaintiffs received a notice of fire hazard dated June 23, 2013, from the Columbia-Shuswap Regional District requiring them to remove the felled trees and slash on their property within 30 days. The plaintiffs had the felled trees and slash removed in 2015 by Anvil. The Carnovale defendants have not taken steps to remove the felled trees from their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Heuser's evidence is that the plaintiffs have put their development plans for the property on hold because of the damage to their property and the fact that the fallen trees remaining on the Carnovale defendants' property present a fire hazard.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Playboy's evidence was that during the course of his tenancy he contacted the Carnovale defendants to install a propane heater and to replace the refrigerator, the stove and the hot water heater. He also asked their permission prior to painting the residence and getting a new toilet for the residence. Mr. Playboy testified that he obtained the Carnovale defendants' permission prior to having Mr. Gordon buck up and remove a tree that had fallen in the property earlier in the tenancy. As well he contacted the Carnovale defendants when a tree fell on the house and they dealt with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Playboy testified that when Mr. Gordon originally approached him with the idea of cutting some trees to improve the view from the residence, he did not get him to do it because he did not have any money to pay him. Later on Mr. Playboy told Mr. Gordon to go ahead and fell some of the trees. Mr. Playboy's evidence is that he stood on the deck of the residence and indicated some of the trees to be cut. Mr. Playboy's evidence is that he did not ask the Carnovale defendants' permission prior to having the trees cut down. Mr. Playboy testified that he did not tell the Carnovale defendants he was responsible for cutting down the trees until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Playboy denied directly telling Mr. Gordon to cut down the trees to improve the view. His evidence is that he wanted to find a way to give Mr. Gordon some money and that Mr. Gordon had done some work for him in the past when the tree fell down in front of the property. Mr. Playboy's evidence is that he paid Mr. Gordon for his work by giving him an older-model vehicle that he was no longer driving.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Playboy testified that he knew he did not have the authority to cut down the trees on the property and that he never asked the Carnovales' permission prior to Mr. Gordon felling the trees in late 2012. Mr. Playboy testified that he implied to Mr. Gordon that he was the owner of the property by saying things like "come over to my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Gordon evidence was that he visited Mr. Playboy in the summer of 2012. Mr. Gordon's evidence is that he told Mr. Playboy he had a fairly decent view of the lake and he could make it better by taking out some trees. According to Mr. Gordon Mr. Playboy said he would think about. Mr. Gordon denied telling Mr. Playboy he needed money and they did not discuss a price at the time Mr. Gordon first mentioned felling the trees.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Gordon testified that Mr. Playboy took him up on the offer to cut the trees closer to winter. His evidence is that he never saw any stakes or other property boundary markers on the property, and that he relied on Mr. Playboy about which trees to cut. Mr. Gordon thought Mr. Playboy owned the property. Mr. Gordon's evidence is that he never saw a ribbon or asked Mr. Playboy about one. Mr. Gordon testified that Mr. Playboy appeared pleased with the job after it was done. According to Mr. Gordon Mr. Playboy was happy about the view and told Mr. Gordon he had done a good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Gordon testified that Mr. Playboy told him to leave the trees to rot and did not want them cleaned up. According to Mr. Gordon Mr. Playboy paid him by giving him an old Ford Explorer and approximately $400 to $500 cash.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Both Carnovale defendants testified their evidence was that they did not give Mr. Playboy permission to cut down any trees on their property and were unaware he had cut down trees until 2015 when he confessed his involvement to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first issue I will deal with is whether the defendants or any of them are liable for cutting down trees on the plaintiffs'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I will first set out the applicable law. As noted in </w:t>
      </w:r>
      <w:r>
        <w:rPr>
          <w:rFonts w:ascii="arial" w:eastAsia="arial" w:hAnsi="arial" w:cs="arial"/>
          <w:i/>
          <w:color w:val="000000"/>
          <w:sz w:val="20"/>
          <w:lang w:val="en-US" w:eastAsia="en-US" w:bidi="ar-SA"/>
        </w:rPr>
        <w:t>City of Burnaby v. Thandi et al</w:t>
      </w:r>
      <w:r>
        <w:rPr>
          <w:rFonts w:ascii="arial" w:eastAsia="arial" w:hAnsi="arial" w:cs="arial"/>
          <w:color w:val="000000"/>
          <w:sz w:val="20"/>
          <w:lang w:val="en-US" w:eastAsia="en-US" w:bidi="ar-SA"/>
        </w:rPr>
        <w:t xml:space="preserve">, </w:t>
      </w:r>
      <w:hyperlink r:id="rId639" w:history="1">
        <w:r>
          <w:rPr>
            <w:rFonts w:ascii="arial" w:eastAsia="arial" w:hAnsi="arial" w:cs="arial"/>
            <w:i/>
            <w:color w:val="0077CC"/>
            <w:sz w:val="20"/>
            <w:u w:val="single"/>
            <w:shd w:val="clear" w:color="auto" w:fill="FFFFFF"/>
            <w:lang w:val="en-US" w:eastAsia="en-US" w:bidi="ar-SA"/>
          </w:rPr>
          <w:t>2005 BCSC 1478</w:t>
        </w:r>
      </w:hyperlink>
      <w:r>
        <w:rPr>
          <w:rFonts w:ascii="arial" w:eastAsia="arial" w:hAnsi="arial" w:cs="arial"/>
          <w:color w:val="000000"/>
          <w:sz w:val="20"/>
          <w:lang w:val="en-US" w:eastAsia="en-US" w:bidi="ar-SA"/>
        </w:rPr>
        <w:t>, at paras. 113 and 118: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[113] Trespass to land is defined in G.H.L. Fridman, </w:t>
      </w:r>
      <w:r>
        <w:rPr>
          <w:rFonts w:ascii="arial" w:eastAsia="arial" w:hAnsi="arial" w:cs="arial"/>
          <w:i/>
          <w:color w:val="000000"/>
          <w:sz w:val="20"/>
          <w:lang w:val="en-US" w:eastAsia="en-US" w:bidi="ar-SA"/>
        </w:rPr>
        <w:t>The Law of Torts in Canada</w:t>
      </w:r>
      <w:r>
        <w:rPr>
          <w:rFonts w:ascii="arial" w:eastAsia="arial" w:hAnsi="arial" w:cs="arial"/>
          <w:color w:val="000000"/>
          <w:sz w:val="20"/>
          <w:lang w:val="en-US" w:eastAsia="en-US" w:bidi="ar-SA"/>
        </w:rPr>
        <w:t>, 2d ed., (Toronto: Carswell, 2002), at p 37-38:</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Trespass to land consists of entering upon the land of another without lawful justification, or placing, throwing or erecting some material object thereon without the legal right to do so. Such interference must be direct rather than consequential. To constitute trespass the defendant must in some direct way interfere with the land possessed by the plaintiff. The requirement of directness differentiates trespass from nuisance, which is committed when the defendant makes a use of his land indirectly affects the land of the plaintiff.</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[118] In </w:t>
      </w:r>
      <w:r>
        <w:rPr>
          <w:rFonts w:ascii="arial" w:eastAsia="arial" w:hAnsi="arial" w:cs="arial"/>
          <w:i/>
          <w:color w:val="000000"/>
          <w:sz w:val="20"/>
          <w:lang w:val="en-US" w:eastAsia="en-US" w:bidi="ar-SA"/>
        </w:rPr>
        <w:t>Fridman</w:t>
      </w:r>
      <w:r>
        <w:rPr>
          <w:rFonts w:ascii="arial" w:eastAsia="arial" w:hAnsi="arial" w:cs="arial"/>
          <w:color w:val="000000"/>
          <w:sz w:val="20"/>
          <w:lang w:val="en-US" w:eastAsia="en-US" w:bidi="ar-SA"/>
        </w:rPr>
        <w:t>, supra, at p. 888, joint tortfeasors are defined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For two or more persons to be considered to be joint tortfeasors, the tort in question must be committed by one of them on behalf of or in concert with another. The acts must be performed in the furtherance of a common design.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Bains v. Hofs</w:t>
      </w:r>
      <w:r>
        <w:rPr>
          <w:rFonts w:ascii="arial" w:eastAsia="arial" w:hAnsi="arial" w:cs="arial"/>
          <w:color w:val="000000"/>
          <w:sz w:val="20"/>
          <w:lang w:val="en-US" w:eastAsia="en-US" w:bidi="ar-SA"/>
        </w:rPr>
        <w:t xml:space="preserve">, </w:t>
      </w:r>
      <w:hyperlink r:id="rId640" w:history="1">
        <w:r>
          <w:rPr>
            <w:rFonts w:ascii="arial" w:eastAsia="arial" w:hAnsi="arial" w:cs="arial"/>
            <w:i/>
            <w:color w:val="0077CC"/>
            <w:sz w:val="20"/>
            <w:u w:val="single"/>
            <w:shd w:val="clear" w:color="auto" w:fill="FFFFFF"/>
            <w:lang w:val="en-US" w:eastAsia="en-US" w:bidi="ar-SA"/>
          </w:rPr>
          <w:t>(1992), 76 B.C.L.R. (2d) 98</w:t>
        </w:r>
      </w:hyperlink>
      <w:r>
        <w:rPr>
          <w:rFonts w:ascii="arial" w:eastAsia="arial" w:hAnsi="arial" w:cs="arial"/>
          <w:color w:val="000000"/>
          <w:sz w:val="20"/>
          <w:lang w:val="en-US" w:eastAsia="en-US" w:bidi="ar-SA"/>
        </w:rPr>
        <w:t>, the court concluded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...one who knowingly assists or encourages another to commit a tort, or one who is merely present as a conspirator in the wrong that is done, is, in law, a joint tortfeasor.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 now turn to the application of the law to the facts. As set out earlier Mr. Playboy has admitted to directing Mr. Gordon to cut down the trees in issue. Mr. Playboy made no inquiries regarding the property line before telling Mr. Gordon to fell the trees.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uncontroverted evidence is that 32 of the trees felled by Mr. Gordon were on the plaintiffs' property. I find that Mr. Gordon trespassed onto the plaintiffs' property to cut the trees, and that Mr. Playboy is liable for trespass as a joint tortfeasor as he directed Mr. Gordon to cut the trees.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I turn next to the issue of whether the Carnovale defendants are also liable to the plaintiffs for trespass. The plaintiffs argue that the Carnovale defendants knew of Mr. Playboy's plan to cut down the trees and are liable on the basis of agency. In the alternative, they argue the Carnovale defendants are liable on the basis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vicarious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plaintiffs argue the evidence supports a finding that Mr. Playboy asked permission of the Carnovale defendants prior to permitting Mr. Gordon to fell the trees, including:</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Mr. Playboy asked for permission in the past to cut up and remove a fallen tree,</w:t>
      </w:r>
    </w:p>
    <w:p>
      <w:pPr>
        <w:numPr>
          <w:numId w:val="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Mr. Playboy had contacted the Carnovales defendants when a tree fell on the house,</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there was a delay between the time when Mr. Gordon first suggested to Mr. Playboy he cut some trees and once Mr. Playboy told him to go ahead with the work,</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Steven Carnovale had been to the residence to do yard work once or twice a month in the spring of 2013 after the trees were cut and yet denied noticing to removal of the trees,</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improved view resulting from the tree felling increased the value of the Carnovale defendants' property, and</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fact that there were inconsistencies between the Carnovales' evidence on their examinations for discovery and their evidence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The plaintiffs rely on the case of </w:t>
      </w:r>
      <w:r>
        <w:rPr>
          <w:rFonts w:ascii="arial" w:eastAsia="arial" w:hAnsi="arial" w:cs="arial"/>
          <w:i/>
          <w:color w:val="000000"/>
          <w:sz w:val="20"/>
          <w:lang w:val="en-US" w:eastAsia="en-US" w:bidi="ar-SA"/>
        </w:rPr>
        <w:t>Van Hartevelt v. Grewal</w:t>
      </w:r>
      <w:r>
        <w:rPr>
          <w:rFonts w:ascii="arial" w:eastAsia="arial" w:hAnsi="arial" w:cs="arial"/>
          <w:color w:val="000000"/>
          <w:sz w:val="20"/>
          <w:lang w:val="en-US" w:eastAsia="en-US" w:bidi="ar-SA"/>
        </w:rPr>
        <w:t xml:space="preserve">, </w:t>
      </w:r>
      <w:hyperlink r:id="rId641" w:history="1">
        <w:r>
          <w:rPr>
            <w:rFonts w:ascii="arial" w:eastAsia="arial" w:hAnsi="arial" w:cs="arial"/>
            <w:i/>
            <w:color w:val="0077CC"/>
            <w:sz w:val="20"/>
            <w:u w:val="single"/>
            <w:shd w:val="clear" w:color="auto" w:fill="FFFFFF"/>
            <w:lang w:val="en-US" w:eastAsia="en-US" w:bidi="ar-SA"/>
          </w:rPr>
          <w:t>2012 BCSC 658</w:t>
        </w:r>
      </w:hyperlink>
      <w:r>
        <w:rPr>
          <w:rFonts w:ascii="arial" w:eastAsia="arial" w:hAnsi="arial" w:cs="arial"/>
          <w:color w:val="000000"/>
          <w:sz w:val="20"/>
          <w:lang w:val="en-US" w:eastAsia="en-US" w:bidi="ar-SA"/>
        </w:rPr>
        <w:t xml:space="preserve">, in which the court referred to </w:t>
      </w:r>
      <w:r>
        <w:rPr>
          <w:rFonts w:ascii="arial" w:eastAsia="arial" w:hAnsi="arial" w:cs="arial"/>
          <w:i/>
          <w:color w:val="000000"/>
          <w:sz w:val="20"/>
          <w:lang w:val="en-US" w:eastAsia="en-US" w:bidi="ar-SA"/>
        </w:rPr>
        <w:t>Faryna v. Chorny</w:t>
      </w:r>
      <w:r>
        <w:rPr>
          <w:rFonts w:ascii="arial" w:eastAsia="arial" w:hAnsi="arial" w:cs="arial"/>
          <w:color w:val="000000"/>
          <w:sz w:val="20"/>
          <w:lang w:val="en-US" w:eastAsia="en-US" w:bidi="ar-SA"/>
        </w:rPr>
        <w:t xml:space="preserve">, </w:t>
      </w:r>
      <w:hyperlink r:id="rId592" w:history="1">
        <w:r>
          <w:rPr>
            <w:rFonts w:ascii="arial" w:eastAsia="arial" w:hAnsi="arial" w:cs="arial"/>
            <w:i/>
            <w:color w:val="0077CC"/>
            <w:sz w:val="20"/>
            <w:u w:val="single"/>
            <w:shd w:val="clear" w:color="auto" w:fill="FFFFFF"/>
            <w:lang w:val="en-US" w:eastAsia="en-US" w:bidi="ar-SA"/>
          </w:rPr>
          <w:t>[1952] 2 D.L.R. 354</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R. v. Sue</w:t>
      </w:r>
      <w:r>
        <w:rPr>
          <w:rFonts w:ascii="arial" w:eastAsia="arial" w:hAnsi="arial" w:cs="arial"/>
          <w:color w:val="000000"/>
          <w:sz w:val="20"/>
          <w:lang w:val="en-US" w:eastAsia="en-US" w:bidi="ar-SA"/>
        </w:rPr>
        <w:t xml:space="preserve">, </w:t>
      </w:r>
      <w:hyperlink r:id="rId642" w:history="1">
        <w:r>
          <w:rPr>
            <w:rFonts w:ascii="arial" w:eastAsia="arial" w:hAnsi="arial" w:cs="arial"/>
            <w:i/>
            <w:color w:val="0077CC"/>
            <w:sz w:val="20"/>
            <w:u w:val="single"/>
            <w:shd w:val="clear" w:color="auto" w:fill="FFFFFF"/>
            <w:lang w:val="en-US" w:eastAsia="en-US" w:bidi="ar-SA"/>
          </w:rPr>
          <w:t>2011 BCCA 91</w:t>
        </w:r>
      </w:hyperlink>
      <w:r>
        <w:rPr>
          <w:rFonts w:ascii="arial" w:eastAsia="arial" w:hAnsi="arial" w:cs="arial"/>
          <w:color w:val="000000"/>
          <w:sz w:val="20"/>
          <w:lang w:val="en-US" w:eastAsia="en-US" w:bidi="ar-SA"/>
        </w:rPr>
        <w:t>, in saying that in determining credibility of an interested witness, particularly in cases of conflict of evidence, on should consider whether their evidence is consistent with the preponderance of probabilities which a practical and informed person would consider reasonable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plaintiffs assert the defendants' evidence should not be accepted. They point to the fact that the Carnovale defendants admitted that they purchased the property as an investment and the improved view increased the value of the property. The Carnovale defendants say that there was no contradictory evidence and that their evidence should be accepted.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 agree that the evidence of the Carnovale defendants and Mr. Playboy that Mr. Playboy did not ask them before he cut the trees is inconsistent with the past relationship and does not make sense in the circumstances. Mr. Playboy and the Carnovale defendants all testified that Mr. Playboy asked permission before he had a dead tree that had fallen removed in front of the residence removed. It is difficult to believe that he would not ask permission of the Carnovale defendants before cutting numerous trees on their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 Playboy and the Carnovale defendants all testified that Mr. Playboy asked them prior to doing anything else on the property. That evidence was inconsistent with the evidence that the Carnovale defendants gave on their examinations for discovery. Both the Carnovale defendants testified at their examinations for discovery that they had not replaced appliances nor had any discussions with Mr. Playboy regarding work that needed to be done at the residence.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However, at trial both Carnovale defendants testified of numerous times Mr. Playboy had contacted them and work they had done and appliances they had replaced. Frank Carnovale's explanation that he did not discuss any changes at his examination for discovery was because he thought they were there to talk about the trees. However, he was specifically asked if there had been any new appliances, repainting or new roofing. Frank Carnovale's evidence at his examination for discovery was that nothing had been done to the residence.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Steven Carnovale testified at his examination for discovery that no appliances had been changed. His evidence was that the only repairs to the residence had been to the damage that had taken place at the residence when a tree fell on it during a windstorm. Steven Carnovale's evidence was that Mr. Playboy contacted him when that damage occurred, and they had made an insurance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At trial Steven Carnovale testified that Mr. Playboy has contacted him on numerous occasions regarding various items and that a fridge, stove and hot water tank had been replaced. As well he testified that the Carnovales had installed a propane heater because Mr. Playboy told him they were having trouble keeping the residence warm.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my view, it is not believable that if Mr. Playboy contacted the Carnovale defendants prior to making any changes to the residence or removing a single tree that had fallen, he would not have contacted them before instructing Mr. Gordon to cut down a large number of trees. The fact that Mr. Playboy had to first ask permission explains more reasonably why he did not immediately give Mr. Gordon permission to do the work than the fact that he was waiting to get money to pay him. This is particularly so in light of the fact that Mr. Playboy's evidence is that he paid Mr. Gordon with a used vehicle he had at the time Mr. Gordon originally suggested cutting trees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 did not find Mr. Playboy's evidence that he did not care about the view because he did not look out the windows credible. Nor do I accept his evidence that he went along with Mr. Gordon's suggestions because Mr. Gordon needed money.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Having viewed the photographs of the residence and the lot, I do not find Steven Carnovale's evidence that he did not notice a large number of trees were cut when he went to the property to weed whack in string of 2013 credible. The pictures taken by Frank Carnovale show that even looking at the front of the residence, it would have been apparent that trees behind the residence had been removed. The aerial photographs show a large swath of trees removed between the residence and the lake. A view of the front of the residence in pictures taken by Mr. Frank Carnovale, which are in exhibit 3, shows a large treeless gap above the roof. On either side of the gap large trees are evident. The evidence was that prior to the falling of the large number of trees on the Carnovale defendants' and the plaintiffs' properties, there was a peek-a-boo view through trees from the residence. It is clear from the picture that is the gap in the trees would have been visible from the front area of the property where Steven Carnovale testified he weed whacked.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 Gordon testified as an uninterested party. I accept Mr. Gordon's evidence that he suggested to Mr. Playboy that the trees be cut to improve the view and did not tell Mr. Playboy he needed money. I also accept his evidence that Mr. Playboy expressed that he was happy with the improved view after Mr. Gordon had completed the tree felling.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Having considered the evidence I do not accept the defendants' evidence that Mr. Playboy did not need the Carnovales' permission to cut the trees. Rather I find on a balance of probabilities that Mr. Playboy sought the permission of the Carnovale defendants to cut the trees prior to instructing Mr. Gordon to cut them. I have no doubt that the Carnovale defendants gave the permission to cut the trees to improve the view from the residence as it added value to their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However, I do not accept the plaintiffs' argument that the defendants knowingly trespassed onto their property. While the plaintiffs argue that Mr. Playboy told Mr. Gordon to ignore a ribbon that would have indicated a boundary line, there is no evidence that the boundary was marked by ribbons. Rather the evidence from Mr. Heuser was the property boundaries were marked with wooden stakes and painted rebar.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While I do not find that either Mr. Playboy or the Carnovale defendants intended to Mr. Gordon to trespass on the plaintiff's property, I find they were negligent in failing to determine the boundary of the Carnovale defendants' property. The defendants owed a duty to the plaintiffs to take steps to ensure that any trees being felled were on the Carnovale defendants' property, and they did not do so. I accept Mr. Gordon's evidence that he relied on Mr. Playboy to tell him what trees to cut. I also accept Mr. Gordon's evidence that he did not notice any property markers or stakes when he was cutting the trees. The trees were located on a very steep slope in a heavily wooded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Having considered the evidence, submissions and the case law, I have concluded that the defendants are liable to the plaintiffs for Mr. Gordon entering onto their lands and cutting they trees. There is no evidence that Mr. Playboy or the Carnovale defendants took any steps to determine the property lines before authorizing the tree falling.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I find that the trespass logging was a concerted action by and on behalf of the Carnovale defendants, Mr. Playboy and Mr. Gordon for the purpose of improving the view of the residence. On the basis of the case law, including </w:t>
      </w:r>
      <w:r>
        <w:rPr>
          <w:rFonts w:ascii="arial" w:eastAsia="arial" w:hAnsi="arial" w:cs="arial"/>
          <w:i/>
          <w:color w:val="000000"/>
          <w:sz w:val="20"/>
          <w:lang w:val="en-US" w:eastAsia="en-US" w:bidi="ar-SA"/>
        </w:rPr>
        <w:t>Horseshoe Bay Retirement Society v. S.I.F. Development Corp.</w:t>
      </w:r>
      <w:r>
        <w:rPr>
          <w:rFonts w:ascii="arial" w:eastAsia="arial" w:hAnsi="arial" w:cs="arial"/>
          <w:color w:val="000000"/>
          <w:sz w:val="20"/>
          <w:lang w:val="en-US" w:eastAsia="en-US" w:bidi="ar-SA"/>
        </w:rPr>
        <w:t xml:space="preserve">, </w:t>
      </w:r>
      <w:hyperlink r:id="rId643" w:history="1">
        <w:r>
          <w:rPr>
            <w:rFonts w:ascii="arial" w:eastAsia="arial" w:hAnsi="arial" w:cs="arial"/>
            <w:i/>
            <w:color w:val="0077CC"/>
            <w:sz w:val="20"/>
            <w:u w:val="single"/>
            <w:shd w:val="clear" w:color="auto" w:fill="FFFFFF"/>
            <w:lang w:val="en-US" w:eastAsia="en-US" w:bidi="ar-SA"/>
          </w:rPr>
          <w:t>[1990] B.C.J. No. 201</w:t>
        </w:r>
      </w:hyperlink>
      <w:r>
        <w:rPr>
          <w:rFonts w:ascii="arial" w:eastAsia="arial" w:hAnsi="arial" w:cs="arial"/>
          <w:color w:val="000000"/>
          <w:sz w:val="20"/>
          <w:lang w:val="en-US" w:eastAsia="en-US" w:bidi="ar-SA"/>
        </w:rPr>
        <w:t xml:space="preserve"> (S.C.), and </w:t>
      </w:r>
      <w:r>
        <w:rPr>
          <w:rFonts w:ascii="arial" w:eastAsia="arial" w:hAnsi="arial" w:cs="arial"/>
          <w:i/>
          <w:color w:val="000000"/>
          <w:sz w:val="20"/>
          <w:lang w:val="en-US" w:eastAsia="en-US" w:bidi="ar-SA"/>
        </w:rPr>
        <w:t>City of Burnaby v. Thandi et al</w:t>
      </w:r>
      <w:r>
        <w:rPr>
          <w:rFonts w:ascii="arial" w:eastAsia="arial" w:hAnsi="arial" w:cs="arial"/>
          <w:color w:val="000000"/>
          <w:sz w:val="20"/>
          <w:lang w:val="en-US" w:eastAsia="en-US" w:bidi="ar-SA"/>
        </w:rPr>
        <w:t xml:space="preserve">, </w:t>
      </w:r>
      <w:hyperlink r:id="rId639" w:history="1">
        <w:r>
          <w:rPr>
            <w:rFonts w:ascii="arial" w:eastAsia="arial" w:hAnsi="arial" w:cs="arial"/>
            <w:i/>
            <w:color w:val="0077CC"/>
            <w:sz w:val="20"/>
            <w:u w:val="single"/>
            <w:shd w:val="clear" w:color="auto" w:fill="FFFFFF"/>
            <w:lang w:val="en-US" w:eastAsia="en-US" w:bidi="ar-SA"/>
          </w:rPr>
          <w:t>2005 BCSC 1478</w:t>
        </w:r>
      </w:hyperlink>
      <w:r>
        <w:rPr>
          <w:rFonts w:ascii="arial" w:eastAsia="arial" w:hAnsi="arial" w:cs="arial"/>
          <w:color w:val="000000"/>
          <w:sz w:val="20"/>
          <w:lang w:val="en-US" w:eastAsia="en-US" w:bidi="ar-SA"/>
        </w:rPr>
        <w:t>, I find the defendants liable for damages in trespass.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 turn next to the issue of damages. The plaintiffs are seeking damages for reforesting their land, loss of amenity and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As set out in </w:t>
      </w:r>
      <w:r>
        <w:rPr>
          <w:rFonts w:ascii="arial" w:eastAsia="arial" w:hAnsi="arial" w:cs="arial"/>
          <w:i/>
          <w:color w:val="000000"/>
          <w:sz w:val="20"/>
          <w:lang w:val="en-US" w:eastAsia="en-US" w:bidi="ar-SA"/>
        </w:rPr>
        <w:t>Kates v. Hall</w:t>
      </w:r>
      <w:r>
        <w:rPr>
          <w:rFonts w:ascii="arial" w:eastAsia="arial" w:hAnsi="arial" w:cs="arial"/>
          <w:color w:val="000000"/>
          <w:sz w:val="20"/>
          <w:lang w:val="en-US" w:eastAsia="en-US" w:bidi="ar-SA"/>
        </w:rPr>
        <w:t xml:space="preserve">, </w:t>
      </w:r>
      <w:hyperlink r:id="rId644" w:history="1">
        <w:r>
          <w:rPr>
            <w:rFonts w:ascii="arial" w:eastAsia="arial" w:hAnsi="arial" w:cs="arial"/>
            <w:i/>
            <w:color w:val="0077CC"/>
            <w:sz w:val="20"/>
            <w:u w:val="single"/>
            <w:shd w:val="clear" w:color="auto" w:fill="FFFFFF"/>
            <w:lang w:val="en-US" w:eastAsia="en-US" w:bidi="ar-SA"/>
          </w:rPr>
          <w:t>(1991), 53 B.C.L.R. (2d) 322</w:t>
        </w:r>
      </w:hyperlink>
      <w:r>
        <w:rPr>
          <w:rFonts w:ascii="arial" w:eastAsia="arial" w:hAnsi="arial" w:cs="arial"/>
          <w:color w:val="000000"/>
          <w:sz w:val="20"/>
          <w:lang w:val="en-US" w:eastAsia="en-US" w:bidi="ar-SA"/>
        </w:rPr>
        <w:t>, the appropriate award of damages in trespass is the amount necessary to compensate the plaintiff for remedial work a reasonable person would have incurred to address the loss and to compensate fairly for the loss of use of enjoyment of the land to the extent that the remedial work does not fully replace the loss. In determining what is reasonable, the diminution in the value of the property as well as the cost of reasonable repairs is considered. The courts will balance the actual benefits to the plaintiff of meticulous reinstatement against the extra costs of the defendants over and above any damages based on the diminution in value of the land. The use to which the injured party has and will put the property is to be considered.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Kates</w:t>
      </w:r>
      <w:r>
        <w:rPr>
          <w:rFonts w:ascii="arial" w:eastAsia="arial" w:hAnsi="arial" w:cs="arial"/>
          <w:color w:val="000000"/>
          <w:sz w:val="20"/>
          <w:lang w:val="en-US" w:eastAsia="en-US" w:bidi="ar-SA"/>
        </w:rPr>
        <w:t>, the court noted that the plaintiff had taken no steps to restore their property, and that caused the court concern as to whether the plaintiffs were generally interested in restoring their property or whether they were seeking retribution against the defendant. The court noted that in determining the appropriate award a court is concerned with reinstatement, not retribution.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Great White North Bar &amp; Grill Inc. v. Tompkins</w:t>
      </w:r>
      <w:r>
        <w:rPr>
          <w:rFonts w:ascii="arial" w:eastAsia="arial" w:hAnsi="arial" w:cs="arial"/>
          <w:color w:val="000000"/>
          <w:sz w:val="20"/>
          <w:lang w:val="en-US" w:eastAsia="en-US" w:bidi="ar-SA"/>
        </w:rPr>
        <w:t xml:space="preserve">, </w:t>
      </w:r>
      <w:hyperlink r:id="rId645" w:history="1">
        <w:r>
          <w:rPr>
            <w:rFonts w:ascii="arial" w:eastAsia="arial" w:hAnsi="arial" w:cs="arial"/>
            <w:i/>
            <w:color w:val="0077CC"/>
            <w:sz w:val="20"/>
            <w:u w:val="single"/>
            <w:shd w:val="clear" w:color="auto" w:fill="FFFFFF"/>
            <w:lang w:val="en-US" w:eastAsia="en-US" w:bidi="ar-SA"/>
          </w:rPr>
          <w:t>2010 BCSC 1572</w:t>
        </w:r>
      </w:hyperlink>
      <w:r>
        <w:rPr>
          <w:rFonts w:ascii="arial" w:eastAsia="arial" w:hAnsi="arial" w:cs="arial"/>
          <w:color w:val="000000"/>
          <w:sz w:val="20"/>
          <w:lang w:val="en-US" w:eastAsia="en-US" w:bidi="ar-SA"/>
        </w:rPr>
        <w:t xml:space="preserve">, the court referred to </w:t>
      </w:r>
      <w:r>
        <w:rPr>
          <w:rFonts w:ascii="arial" w:eastAsia="arial" w:hAnsi="arial" w:cs="arial"/>
          <w:i/>
          <w:color w:val="000000"/>
          <w:sz w:val="20"/>
          <w:lang w:val="en-US" w:eastAsia="en-US" w:bidi="ar-SA"/>
        </w:rPr>
        <w:t>Bower v. Rosicky</w:t>
      </w:r>
      <w:r>
        <w:rPr>
          <w:rFonts w:ascii="arial" w:eastAsia="arial" w:hAnsi="arial" w:cs="arial"/>
          <w:color w:val="000000"/>
          <w:sz w:val="20"/>
          <w:lang w:val="en-US" w:eastAsia="en-US" w:bidi="ar-SA"/>
        </w:rPr>
        <w:t xml:space="preserve">, </w:t>
      </w:r>
      <w:hyperlink r:id="rId646" w:history="1">
        <w:r>
          <w:rPr>
            <w:rFonts w:ascii="arial" w:eastAsia="arial" w:hAnsi="arial" w:cs="arial"/>
            <w:i/>
            <w:color w:val="0077CC"/>
            <w:sz w:val="20"/>
            <w:u w:val="single"/>
            <w:shd w:val="clear" w:color="auto" w:fill="FFFFFF"/>
            <w:lang w:val="en-US" w:eastAsia="en-US" w:bidi="ar-SA"/>
          </w:rPr>
          <w:t>2000 BCSC 85</w:t>
        </w:r>
      </w:hyperlink>
      <w:r>
        <w:rPr>
          <w:rFonts w:ascii="arial" w:eastAsia="arial" w:hAnsi="arial" w:cs="arial"/>
          <w:color w:val="000000"/>
          <w:sz w:val="20"/>
          <w:lang w:val="en-US" w:eastAsia="en-US" w:bidi="ar-SA"/>
        </w:rPr>
        <w:t xml:space="preserve">, for the proposition that there are two general principles in dealing with trespass situations involving cutting of trees on a neighbour's property. One is for situations involving an intentional trespass, and the second is for situations in which the trespass is accidental. In </w:t>
      </w:r>
      <w:r>
        <w:rPr>
          <w:rFonts w:ascii="arial" w:eastAsia="arial" w:hAnsi="arial" w:cs="arial"/>
          <w:i/>
          <w:color w:val="000000"/>
          <w:sz w:val="20"/>
          <w:lang w:val="en-US" w:eastAsia="en-US" w:bidi="ar-SA"/>
        </w:rPr>
        <w:t>Bower</w:t>
      </w:r>
      <w:r>
        <w:rPr>
          <w:rFonts w:ascii="arial" w:eastAsia="arial" w:hAnsi="arial" w:cs="arial"/>
          <w:color w:val="000000"/>
          <w:sz w:val="20"/>
          <w:lang w:val="en-US" w:eastAsia="en-US" w:bidi="ar-SA"/>
        </w:rPr>
        <w:t xml:space="preserve"> the court found that the trespass was inadvertent and took a "less severe" approach in assessing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The same approach was taken in </w:t>
      </w:r>
      <w:r>
        <w:rPr>
          <w:rFonts w:ascii="arial" w:eastAsia="arial" w:hAnsi="arial" w:cs="arial"/>
          <w:i/>
          <w:color w:val="000000"/>
          <w:sz w:val="20"/>
          <w:lang w:val="en-US" w:eastAsia="en-US" w:bidi="ar-SA"/>
        </w:rPr>
        <w:t>Great White North</w:t>
      </w:r>
      <w:r>
        <w:rPr>
          <w:rFonts w:ascii="arial" w:eastAsia="arial" w:hAnsi="arial" w:cs="arial"/>
          <w:color w:val="000000"/>
          <w:sz w:val="20"/>
          <w:lang w:val="en-US" w:eastAsia="en-US" w:bidi="ar-SA"/>
        </w:rPr>
        <w:t>. The court noted that the trespass was not intentional or deliberate, but that the defendant had acted carelessly, in that he took minimal steps to confirm the ownership or the property line. There was no loss of value to the plaintiff's property, and the damage to the property was relatively minimal because it represented a small portion of the plaintiff's property, was not generally accessible and would regenerate naturally. The cuts could be seen from the residence of the principals of the plaintiff company. The court awarded costs for restoration based on the low assessment, cleanup of the site and general damages of $1,000 in lieu of cost of loss of amenities which a company cannot suffer.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The case law indicates that there is a substantial difference in the assessment of damages between properties located in rural or urban settings. See, for example, </w:t>
      </w:r>
      <w:r>
        <w:rPr>
          <w:rFonts w:ascii="arial" w:eastAsia="arial" w:hAnsi="arial" w:cs="arial"/>
          <w:i/>
          <w:color w:val="000000"/>
          <w:sz w:val="20"/>
          <w:lang w:val="en-US" w:eastAsia="en-US" w:bidi="ar-SA"/>
        </w:rPr>
        <w:t>Konno v. Harrison-Jones</w:t>
      </w:r>
      <w:r>
        <w:rPr>
          <w:rFonts w:ascii="arial" w:eastAsia="arial" w:hAnsi="arial" w:cs="arial"/>
          <w:color w:val="000000"/>
          <w:sz w:val="20"/>
          <w:lang w:val="en-US" w:eastAsia="en-US" w:bidi="ar-SA"/>
        </w:rPr>
        <w:t xml:space="preserve">, </w:t>
      </w:r>
      <w:hyperlink r:id="rId647" w:history="1">
        <w:r>
          <w:rPr>
            <w:rFonts w:ascii="arial" w:eastAsia="arial" w:hAnsi="arial" w:cs="arial"/>
            <w:i/>
            <w:color w:val="0077CC"/>
            <w:sz w:val="20"/>
            <w:u w:val="single"/>
            <w:shd w:val="clear" w:color="auto" w:fill="FFFFFF"/>
            <w:lang w:val="en-US" w:eastAsia="en-US" w:bidi="ar-SA"/>
          </w:rPr>
          <w:t>2011 BCCA 50</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Hutton v. Morehouse</w:t>
      </w:r>
      <w:r>
        <w:rPr>
          <w:rFonts w:ascii="arial" w:eastAsia="arial" w:hAnsi="arial" w:cs="arial"/>
          <w:color w:val="000000"/>
          <w:sz w:val="20"/>
          <w:lang w:val="en-US" w:eastAsia="en-US" w:bidi="ar-SA"/>
        </w:rPr>
        <w:t xml:space="preserve">, </w:t>
      </w:r>
      <w:hyperlink r:id="rId648" w:history="1">
        <w:r>
          <w:rPr>
            <w:rFonts w:ascii="arial" w:eastAsia="arial" w:hAnsi="arial" w:cs="arial"/>
            <w:i/>
            <w:color w:val="0077CC"/>
            <w:sz w:val="20"/>
            <w:u w:val="single"/>
            <w:shd w:val="clear" w:color="auto" w:fill="FFFFFF"/>
            <w:lang w:val="en-US" w:eastAsia="en-US" w:bidi="ar-SA"/>
          </w:rPr>
          <w:t>[1998] B.C.J. No. 668</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Awards have also been made for loss of amenity in cases involving cutting of trees on someone else's property in recognition of the loss of use and enjoyment the plaintiffs will suffer as a result of a less than perfect restoration. These damages are at large and based on an estimate of the value of the loss of amenities for the plaintiffs: </w:t>
      </w:r>
      <w:r>
        <w:rPr>
          <w:rFonts w:ascii="arial" w:eastAsia="arial" w:hAnsi="arial" w:cs="arial"/>
          <w:i/>
          <w:color w:val="000000"/>
          <w:sz w:val="20"/>
          <w:lang w:val="en-US" w:eastAsia="en-US" w:bidi="ar-SA"/>
        </w:rPr>
        <w:t>Graw v. Rockwell</w:t>
      </w:r>
      <w:r>
        <w:rPr>
          <w:rFonts w:ascii="arial" w:eastAsia="arial" w:hAnsi="arial" w:cs="arial"/>
          <w:color w:val="000000"/>
          <w:sz w:val="20"/>
          <w:lang w:val="en-US" w:eastAsia="en-US" w:bidi="ar-SA"/>
        </w:rPr>
        <w:t xml:space="preserve">, </w:t>
      </w:r>
      <w:hyperlink r:id="rId649" w:history="1">
        <w:r>
          <w:rPr>
            <w:rFonts w:ascii="arial" w:eastAsia="arial" w:hAnsi="arial" w:cs="arial"/>
            <w:i/>
            <w:color w:val="0077CC"/>
            <w:sz w:val="20"/>
            <w:u w:val="single"/>
            <w:shd w:val="clear" w:color="auto" w:fill="FFFFFF"/>
            <w:lang w:val="en-US" w:eastAsia="en-US" w:bidi="ar-SA"/>
          </w:rPr>
          <w:t>2010 BCSC 1295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The leading case on punitive damages is </w:t>
      </w:r>
      <w:r>
        <w:rPr>
          <w:rFonts w:ascii="arial" w:eastAsia="arial" w:hAnsi="arial" w:cs="arial"/>
          <w:i/>
          <w:color w:val="000000"/>
          <w:sz w:val="20"/>
          <w:lang w:val="en-US" w:eastAsia="en-US" w:bidi="ar-SA"/>
        </w:rPr>
        <w:t>Whiten v. Pilot Insurance Co.</w:t>
      </w:r>
      <w:r>
        <w:rPr>
          <w:rFonts w:ascii="arial" w:eastAsia="arial" w:hAnsi="arial" w:cs="arial"/>
          <w:color w:val="000000"/>
          <w:sz w:val="20"/>
          <w:lang w:val="en-US" w:eastAsia="en-US" w:bidi="ar-SA"/>
        </w:rPr>
        <w:t xml:space="preserve">, </w:t>
      </w:r>
      <w:hyperlink r:id="rId650" w:history="1">
        <w:r>
          <w:rPr>
            <w:rFonts w:ascii="arial" w:eastAsia="arial" w:hAnsi="arial" w:cs="arial"/>
            <w:i/>
            <w:color w:val="0077CC"/>
            <w:sz w:val="20"/>
            <w:u w:val="single"/>
            <w:shd w:val="clear" w:color="auto" w:fill="FFFFFF"/>
            <w:lang w:val="en-US" w:eastAsia="en-US" w:bidi="ar-SA"/>
          </w:rPr>
          <w:t>2002 SCC 18</w:t>
        </w:r>
      </w:hyperlink>
      <w:r>
        <w:rPr>
          <w:rFonts w:ascii="arial" w:eastAsia="arial" w:hAnsi="arial" w:cs="arial"/>
          <w:color w:val="000000"/>
          <w:sz w:val="20"/>
          <w:lang w:val="en-US" w:eastAsia="en-US" w:bidi="ar-SA"/>
        </w:rPr>
        <w:t>, in which the Supreme Court stated at para. 94 that the following points are important in determining whether an award of punitive damage is appropriate:</w:t>
      </w:r>
      <w:r>
        <w:rPr>
          <w:rFonts w:ascii="arial" w:eastAsia="arial" w:hAnsi="arial" w:cs="arial"/>
          <w:sz w:val="20"/>
          <w:lang w:val="en-US" w:eastAsia="en-US" w:bidi="ar-SA"/>
        </w:rPr>
        <w:cr/>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Punitive damages are very much the exception rather than the rule, (2) imposed only if there has been high-handed, malicious, arbitrary or highly reprehensible misconduct that departs to a marked degree from ordinary standards of decent behaviour. (3) Where they are awarded, punitive damages should be assessed in an amount reasonably proportionate to such factors as the harm caused, the degree of the misconduct, the relative vulnerability of the plaintiff and any advantage or profit gained by the defendant, (4) having regard to any other fines or penalties suffered by the defendant for the misconduct in question. (5) Punitive damages are generally given only where the misconduct would otherwise be unpunished or where other penalties are or are likely to be inadequate to achieve the objectives of retribution, deterrence and denunciation. (6) Their purpose is not to compensate the plaintiff, but (7) to give a defendant his or her just desert (retribution), to deter the defendant and others from similar misconduct in the future (deterrence), and to mark the community's collective condemnation (denunciation) of what has happened. (8) Punitive damages are awarded only where compensatory damages, which to some extent are punitive, are insufficient to accomplish these objectives, and (9) they are given in an amount that is no greater than necessary to rationally accomplish their purpose. (10) While normally the state would be the recipient of any fine or penalty for misconduct, the plaintiff will keep punitive damages as a "windfall" in addition to compensatory damages. (11) Judges and juries in our system have usually found that moderate awards of punitive damages, which inevitably carry a stigma in the broader community, are generally sufficient.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The Court in </w:t>
      </w:r>
      <w:r>
        <w:rPr>
          <w:rFonts w:ascii="arial" w:eastAsia="arial" w:hAnsi="arial" w:cs="arial"/>
          <w:i/>
          <w:color w:val="000000"/>
          <w:sz w:val="20"/>
          <w:lang w:val="en-US" w:eastAsia="en-US" w:bidi="ar-SA"/>
        </w:rPr>
        <w:t>Whiten</w:t>
      </w:r>
      <w:r>
        <w:rPr>
          <w:rFonts w:ascii="arial" w:eastAsia="arial" w:hAnsi="arial" w:cs="arial"/>
          <w:color w:val="000000"/>
          <w:sz w:val="20"/>
          <w:lang w:val="en-US" w:eastAsia="en-US" w:bidi="ar-SA"/>
        </w:rPr>
        <w:t xml:space="preserve"> went on to note at para. 95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What is essential in a particular case will be a function of its particular circumstances, the need to emphasize the nature, scope and exceptional nature of the remedy, and fairness to both sides.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Punitive damages have been awarded in cases involving cutting of trees on another person's property when it has been found the trespass was deliberate or willful, or the trespassers acted in a high handed manner. See </w:t>
      </w:r>
      <w:r>
        <w:rPr>
          <w:rFonts w:ascii="arial" w:eastAsia="arial" w:hAnsi="arial" w:cs="arial"/>
          <w:i/>
          <w:color w:val="000000"/>
          <w:sz w:val="20"/>
          <w:lang w:val="en-US" w:eastAsia="en-US" w:bidi="ar-SA"/>
        </w:rPr>
        <w:t>Ovens v. Kirkman</w:t>
      </w:r>
      <w:r>
        <w:rPr>
          <w:rFonts w:ascii="arial" w:eastAsia="arial" w:hAnsi="arial" w:cs="arial"/>
          <w:color w:val="000000"/>
          <w:sz w:val="20"/>
          <w:lang w:val="en-US" w:eastAsia="en-US" w:bidi="ar-SA"/>
        </w:rPr>
        <w:t xml:space="preserve">, </w:t>
      </w:r>
      <w:hyperlink r:id="rId651" w:history="1">
        <w:r>
          <w:rPr>
            <w:rFonts w:ascii="arial" w:eastAsia="arial" w:hAnsi="arial" w:cs="arial"/>
            <w:i/>
            <w:color w:val="0077CC"/>
            <w:sz w:val="20"/>
            <w:u w:val="single"/>
            <w:shd w:val="clear" w:color="auto" w:fill="FFFFFF"/>
            <w:lang w:val="en-US" w:eastAsia="en-US" w:bidi="ar-SA"/>
          </w:rPr>
          <w:t>2006 BCSC 394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Dykuizen v. Saanich (District)</w:t>
      </w:r>
      <w:r>
        <w:rPr>
          <w:rFonts w:ascii="arial" w:eastAsia="arial" w:hAnsi="arial" w:cs="arial"/>
          <w:color w:val="000000"/>
          <w:sz w:val="20"/>
          <w:lang w:val="en-US" w:eastAsia="en-US" w:bidi="ar-SA"/>
        </w:rPr>
        <w:t xml:space="preserve">, </w:t>
      </w:r>
      <w:hyperlink r:id="rId652" w:history="1">
        <w:r>
          <w:rPr>
            <w:rFonts w:ascii="arial" w:eastAsia="arial" w:hAnsi="arial" w:cs="arial"/>
            <w:i/>
            <w:color w:val="0077CC"/>
            <w:sz w:val="20"/>
            <w:u w:val="single"/>
            <w:shd w:val="clear" w:color="auto" w:fill="FFFFFF"/>
            <w:lang w:val="en-US" w:eastAsia="en-US" w:bidi="ar-SA"/>
          </w:rPr>
          <w:t>[1989] B.C.J. No. 1964</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Horseshoe Bay Retirement Society v. S.I.F. Development Limited Corp.</w:t>
      </w:r>
      <w:r>
        <w:rPr>
          <w:rFonts w:ascii="arial" w:eastAsia="arial" w:hAnsi="arial" w:cs="arial"/>
          <w:color w:val="000000"/>
          <w:sz w:val="20"/>
          <w:lang w:val="en-US" w:eastAsia="en-US" w:bidi="ar-SA"/>
        </w:rPr>
        <w:t xml:space="preserve">, </w:t>
      </w:r>
      <w:hyperlink r:id="rId643" w:history="1">
        <w:r>
          <w:rPr>
            <w:rFonts w:ascii="arial" w:eastAsia="arial" w:hAnsi="arial" w:cs="arial"/>
            <w:i/>
            <w:color w:val="0077CC"/>
            <w:sz w:val="20"/>
            <w:u w:val="single"/>
            <w:shd w:val="clear" w:color="auto" w:fill="FFFFFF"/>
            <w:lang w:val="en-US" w:eastAsia="en-US" w:bidi="ar-SA"/>
          </w:rPr>
          <w:t>(1990), 66 DLR (4th) 42</w:t>
        </w:r>
      </w:hyperlink>
      <w:r>
        <w:rPr>
          <w:rFonts w:ascii="arial" w:eastAsia="arial" w:hAnsi="arial" w:cs="arial"/>
          <w:color w:val="000000"/>
          <w:sz w:val="20"/>
          <w:lang w:val="en-US" w:eastAsia="en-US" w:bidi="ar-SA"/>
        </w:rPr>
        <w:t xml:space="preserve"> (B.C.S.C.); and </w:t>
      </w:r>
      <w:r>
        <w:rPr>
          <w:rFonts w:ascii="arial" w:eastAsia="arial" w:hAnsi="arial" w:cs="arial"/>
          <w:i/>
          <w:color w:val="000000"/>
          <w:sz w:val="20"/>
          <w:lang w:val="en-US" w:eastAsia="en-US" w:bidi="ar-SA"/>
        </w:rPr>
        <w:t>Prince Rupert (City) v. Pederson</w:t>
      </w:r>
      <w:r>
        <w:rPr>
          <w:rFonts w:ascii="arial" w:eastAsia="arial" w:hAnsi="arial" w:cs="arial"/>
          <w:color w:val="000000"/>
          <w:sz w:val="20"/>
          <w:lang w:val="en-US" w:eastAsia="en-US" w:bidi="ar-SA"/>
        </w:rPr>
        <w:t xml:space="preserve">, </w:t>
      </w:r>
      <w:hyperlink r:id="rId653" w:history="1">
        <w:r>
          <w:rPr>
            <w:rFonts w:ascii="arial" w:eastAsia="arial" w:hAnsi="arial" w:cs="arial"/>
            <w:i/>
            <w:color w:val="0077CC"/>
            <w:sz w:val="20"/>
            <w:u w:val="single"/>
            <w:shd w:val="clear" w:color="auto" w:fill="FFFFFF"/>
            <w:lang w:val="en-US" w:eastAsia="en-US" w:bidi="ar-SA"/>
          </w:rPr>
          <w:t>[1992] B.C.J. No. 425</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 now turn to an application of the law to the facts. The plaintiffs are claiming $39,911.434 for restoration of the cut trees based on a quotation prepared by Koby's Plant Maintenance. As well they are claiming $32,000 or $1,000 per tree for loss of amenities, $32,000 for punitive damages, and $5,092.50 for special damages for a total damage award of $109,003.93.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plaintiffs concede that complete restoration in this case is impractical and unreasonable, and that the restoration must be reasonable. I note that in this case there is no evidence that the plaintiffs' property has been diminished in value as a result of the tree felling. The plaintiffs had not been using the property and have not made any plans for construction of the residence they were planning to build. Mr. Heuser testified that they have put their development plans for the property on hold until this matter is resolved.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fact the plaintiffs have taken no steps to restore the area is not surprising given that the cutting of the trees will not impact the privacy of their proposed residence and the area where the trees were cut cannot be seen from the proposed residence. Mr. Heuser testified that he did not have a final plan as to what he will use the area where the trees were cut for. However, he thought he would probably build some trails through the area. The evidence is that natural regrowth has begun in the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As stated earlier there is no evidence that the trespass was intentional or deliberate. However, Mr. Playboy and the Carnovale defendants were careless in that they took no steps to ensure that only trees on the Carnovale defendants' property were cut. Mr. Playboy acted precipitously by directing Mr. Gordon to cut down trees without determining the location of the boundary line between the Carnovale defendants' property and the plaintiffs' property. However, there is no evidence to support a finding that he deliberately instructed Mr. Gordon to trespass on the plaintiffs'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Accordingly I am of a view that the severe approach to damages as argued by the plaintiffs is inappropriate. As noted in </w:t>
      </w:r>
      <w:r>
        <w:rPr>
          <w:rFonts w:ascii="arial" w:eastAsia="arial" w:hAnsi="arial" w:cs="arial"/>
          <w:i/>
          <w:color w:val="000000"/>
          <w:sz w:val="20"/>
          <w:lang w:val="en-US" w:eastAsia="en-US" w:bidi="ar-SA"/>
        </w:rPr>
        <w:t>Great White North</w:t>
      </w:r>
      <w:r>
        <w:rPr>
          <w:rFonts w:ascii="arial" w:eastAsia="arial" w:hAnsi="arial" w:cs="arial"/>
          <w:color w:val="000000"/>
          <w:sz w:val="20"/>
          <w:lang w:val="en-US" w:eastAsia="en-US" w:bidi="ar-SA"/>
        </w:rPr>
        <w:t>, a less severe measure of damages will be applied when the trespass was not deliberate but a result of carelessness.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plaintiffs and the Carnovale defendants have provided quotations for the restoration of the trees. The plaintiffs say their quote of $39,911.63 should be preferred over the quote provided by the Carnovale defendants in the amount of $18,600.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In my opinion the damages should be based on the lower quotation. Both Mr. Kobayashi, the individual who prepared the quotation for the plaintiffs, and Mr. Lewis, who prepared the quotation for the Carnovale defendants, testified.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quotation prepared by Mr. Lewis provides a breakdown of trees and costs of labour based on the trees. He has extensive experience in providing reforestation in the area where the plaintiff's property is located. The trees to be planted are the same varieties as the ones that were felled, i.e., cedar, birch and fir. Mr. Lewis testified the quotation is good for one year as it is based on trees he has access to as a result of owning a tree farm. According to Mr. Lewis the planting should take place in the fall at the beginning of the rainy season to give the trees the best chance for survival. His company provides a one year warranty on the trees.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quote provided for the plaintiffs is based on bringing in high end topsoil and primer. The quote prepared by Mr. Kobayashi was good only for 60 days. It was apparent from Mr. Kobayashi's evidence that there was no plan to delay the planting to the fall. His company does not provide any warranty on the trees, nor did he provide a description of the varieties of the trees that will be planted. Mr. Kobayashi explained that he does not know what varieties will be available when it comes to plant the trees.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As noted in the case law the nature of the land cannot be ignored when assessing the appropriate level of damages. The area in issue is a steep portion of a heavily forested 3-acre lot. Solutions that tree restoring affords is a type of landscaping that should be approached with caution.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Having considered the evidence and authorities I am of the view that the appropriate award for reforestation is $18,600 based on the lower quotation.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 turn next to the claim for loss of amenities. In determining the appropriate award under this head of damages, the proposed use of the land needs to be taken into account. As noted earlier the area where the trees were cut is on a steep area of the property and access to it is difficult. Mr. Heuser testified he did not know what use he would make of it, and he would probably put trails 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Having taken into consideration the proposed use of the land, the fact that the area cannot be seen from the proposed building site and the felling has not affected the privacy of the proposed building site, I am of the view that the appropriate award for loss of amenity is $1,000.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In my opinion this is an appropriate case for the award of punitive damages. While I have found that the defendants did not act in a malicious or highhanded manner in trespassing on the land, neither Mr. Playboy nor the Carnovale defendants disclosed any participation in the trespass until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However, I am of the view that the amount of punitive damages sought by the plaintiffs is not appropriate in the circumstances of this case. The plaintiffs rely in part on </w:t>
      </w:r>
      <w:r>
        <w:rPr>
          <w:rFonts w:ascii="arial" w:eastAsia="arial" w:hAnsi="arial" w:cs="arial"/>
          <w:i/>
          <w:color w:val="000000"/>
          <w:sz w:val="20"/>
          <w:lang w:val="en-US" w:eastAsia="en-US" w:bidi="ar-SA"/>
        </w:rPr>
        <w:t>Ovens v. Kirkman</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Prince Rupert (City of) v. Pederson</w:t>
      </w:r>
      <w:r>
        <w:rPr>
          <w:rFonts w:ascii="arial" w:eastAsia="arial" w:hAnsi="arial" w:cs="arial"/>
          <w:color w:val="000000"/>
          <w:sz w:val="20"/>
          <w:lang w:val="en-US" w:eastAsia="en-US" w:bidi="ar-SA"/>
        </w:rPr>
        <w:t xml:space="preserve">. However, it is my view that the facts in the cases referred to by the plaintiffs are more egregious. As noted in </w:t>
      </w:r>
      <w:r>
        <w:rPr>
          <w:rFonts w:ascii="arial" w:eastAsia="arial" w:hAnsi="arial" w:cs="arial"/>
          <w:i/>
          <w:color w:val="000000"/>
          <w:sz w:val="20"/>
          <w:lang w:val="en-US" w:eastAsia="en-US" w:bidi="ar-SA"/>
        </w:rPr>
        <w:t>Whiten</w:t>
      </w:r>
      <w:r>
        <w:rPr>
          <w:rFonts w:ascii="arial" w:eastAsia="arial" w:hAnsi="arial" w:cs="arial"/>
          <w:color w:val="000000"/>
          <w:sz w:val="20"/>
          <w:lang w:val="en-US" w:eastAsia="en-US" w:bidi="ar-SA"/>
        </w:rPr>
        <w:t>, any award for punitive damages must be appropriate in the circumstances of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Having considered the circumstances, including the fact that the trespass with you not deliberate or intentional, but that the defendants did not admit their involvement until 2015, two years after the plaintiffs started making inquiries, I am of the view that an award of $2,000 in punitive damages is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 turn next to the issue of special damages. The plaintiffs claim $6,699.84 for the following special damages:</w:t>
      </w:r>
      <w:r>
        <w:rPr>
          <w:rFonts w:ascii="arial" w:eastAsia="arial" w:hAnsi="arial" w:cs="arial"/>
          <w:sz w:val="20"/>
          <w:lang w:val="en-US" w:eastAsia="en-US" w:bidi="ar-SA"/>
        </w:rPr>
        <w:cr/>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Anvil Holdings two invoices, one of $1,575 and another of $3,438.75;</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Bruce Morrow Fire Consulting for assessment of fire hazard, an invoice of $630;</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Omega Engineering for costs thrown away as a result of the aborted trip to the site in June 2013 of $420.84;</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Koby's Plant Maintenance for the preparation of a quote to reforest the area in issue of $635.25.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In my view the invoice from Anvil Holdings in the amount of $3,438.75 for clearing the lot is properly recoverable. However, an invoice in the amount of $1,575 paid to Anvil Holdings for preparing a report for litigation purposes is not properly recoverable as special damages. The Bruce Morrow Fire Consulting invoice for the assessment of the fire hazard in the amount of $630 is recoverable.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In the Omega Engineering invoices for professional services rendered during June 2013, which are identified as Pine Avenue site plan and driveway access, there is no breakdown in the invoice for the cost of travelling to the site on the day when Mr. Heuser ordered the site visit. Doing the best I can with the limited evidence, I am of the view that the appropriate measure of damages throne away is more likely $100.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As well there was no explanation as to why Mr. Kobayashi charged $635.25 for a "consultation for replantation quote for 5.5 hours at $110 per hour." This was not an expert's report. Nor was it prepared to present in court. Rather it was an email quote which provided limited information of the cost of replanting the trees that were cut. Accordingly I find this is not a special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Having considered the evidence and the submissions I conclude that the appropriate award for special damages is $4,168.75.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In conclusion I find the defendants liable to the plaintiffs for damages arising out of the trespass onto their property by Mr. Gordon to cut the trees.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 award the following damages to the plaintiffs:</w:t>
      </w:r>
      <w:r>
        <w:rPr>
          <w:rFonts w:ascii="arial" w:eastAsia="arial" w:hAnsi="arial" w:cs="arial"/>
          <w:sz w:val="20"/>
          <w:lang w:val="en-US" w:eastAsia="en-US" w:bidi="ar-SA"/>
        </w:rPr>
        <w:cr/>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cost of reforestation $18,600;</w:t>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amenity $1,000;</w:t>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punitive damages $2,000;</w:t>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 $4,168.75;</w:t>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Total of $25,768.75.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plaintiffs are also entitled to their costs at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L.B. GEROW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97" style="position:absolute;z-index:25184563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54"/>
          <w:headerReference w:type="default" r:id="rId655"/>
          <w:footerReference w:type="even" r:id="rId656"/>
          <w:footerReference w:type="default" r:id="rId657"/>
          <w:headerReference w:type="first" r:id="rId658"/>
          <w:footerReference w:type="first" r:id="rId65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60" w:history="1">
        <w:r>
          <w:rPr>
            <w:rFonts w:ascii="arial" w:eastAsia="arial" w:hAnsi="arial" w:cs="arial"/>
            <w:b/>
            <w:bCs/>
            <w:i/>
            <w:color w:val="0077CC"/>
            <w:kern w:val="32"/>
            <w:sz w:val="28"/>
            <w:szCs w:val="32"/>
            <w:u w:val="single"/>
            <w:shd w:val="clear" w:color="auto" w:fill="FFFFFF"/>
            <w:lang w:val="en-US" w:eastAsia="en-US" w:bidi="ar-SA"/>
          </w:rPr>
          <w:t>Insurance Corp. of British Columbia v. Hilbar Enterprises, [2005] B.C.J. No. 1464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Ralph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18, 2005 (further written</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submissions received March 30,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29,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S030742</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[2005] B.C.J. No. 1464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2005 BCSC 974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140 A.C.W.S. (3d) 281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Insurance Corporation of British Columbia, plaintiff, and Hilbar Enterprises, Rockline Construction Ltd., Bulldog Developments, Inc., Hilbar Enterprises doing business as Capilano Highway Services Company, Rockline Construction Ltd., doing business as Capilano Highway Services Company and Bulldog Developments, Inc. doing business as Capilano Highway Services Company and Her Majesty The Queen in Right of the Province of British Columbia,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98" style="position:absolute;z-index:2516951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33" w:name="Keywords_33"/>
      <w:bookmarkEnd w:id="233"/>
      <w:r>
        <w:rPr>
          <w:rFonts w:ascii="arial" w:eastAsia="arial" w:hAnsi="arial" w:cs="arial"/>
          <w:b/>
          <w:color w:val="000000"/>
          <w:sz w:val="20"/>
          <w:lang w:val="en-US" w:eastAsia="en-US" w:bidi="ar-SA"/>
        </w:rPr>
        <w:t>Civil procedure — Judgments and orders — Summary judgments — To dismiss action — Whether genuine issue for trial.</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34" w:name="Case Summary_31"/>
            <w:bookmarkEnd w:id="23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 Capilano Highway Services, for summary judgment dismissing the action by the plaintiff, Insurance Corporation of British Columbia,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province of British Columbia was also a defendant. A tractor pulling trailers with gasoline and oil went off the road and was demolished by fire. ICBC insured the tractor and trailers. ICBC alleged that the defendants breached their duties to maintain the highway and that the driver lost control on black ice. ICBC argued that testimony from the road maintenance crew about sanding and de-icing was conflicting, and that evidence from other witnesses about road conditions was not before the court on the application. Capilano conceded the road was icy.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35" w:name="Holdings of Court_24"/>
            <w:bookmarkEnd w:id="235"/>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There was conflicting evidence about the timing and extent of application of sand and de-icing chemical. The evidence was relevant to the standard of care. If summary judgment was ordered, the province would remain a defendant and the matter would still need to proceed to trial.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36" w:name="Legislation Cited_26"/>
      <w:bookmarkEnd w:id="23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99" style="position:absolute;z-index:2517463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18A, Rule 18A(11)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r>
        <w:rPr>
          <w:rFonts w:ascii="arial" w:eastAsia="arial" w:hAnsi="arial" w:cs="arial"/>
          <w:i/>
          <w:color w:val="000000"/>
          <w:sz w:val="20"/>
          <w:lang w:val="en-US" w:eastAsia="en-US" w:bidi="ar-SA"/>
        </w:rPr>
        <w:t>R.S.B.C. 1996, c. 333</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37" w:name="Counsel_35"/>
      <w:bookmarkEnd w:id="237"/>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00" style="position:absolute;z-index:2517975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C.J. Hope.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(other than Her Majesty The Queen): J.S. Stanley.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Her Majesty The Queen in Right of the Province of British Columbia: Not appearing.</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38" w:name="Judgment_35"/>
      <w:bookmarkEnd w:id="238"/>
      <w:r>
        <w:pict>
          <v:line id="_x0000_s1201" style="position:absolute;z-index:25184665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6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39" w:name="RALPH J."/>
            <w:bookmarkEnd w:id="239"/>
            <w:r>
              <w:rPr>
                <w:rFonts w:ascii="arial" w:eastAsia="arial" w:hAnsi="arial" w:cs="arial"/>
                <w:b/>
                <w:color w:val="000000"/>
                <w:sz w:val="30"/>
                <w:lang w:val="en-US" w:eastAsia="en-US" w:bidi="ar-SA"/>
              </w:rPr>
              <w:t>RALPH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facts of this case arise from a motor vehicle accident. Around 6:00 a.m. on February 8, 2001, a tractor pulling two tanker trailers, one filled with gasoline and the other with diesel oil, went off the road on Highway 99 south of Squamish and was demolished by fire. The driver of the tractor, Mr. Randy Gothard, had lost control of the vehicle after encountering what is alleged to have been black ice on the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insured the tractor and trailers, which were owned by Scamp Industries Ltd. It has paid out approximately $519,000 on account of claims for environmental and other damage arising from the accident. Additional claims totalling approximately $135,000 have been made but the plaintiff has not yet determined whether they will be paid. Additional claims are anticipated.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brings this action on a subrogated basis to recover these amounts. It says that the defendants breached their duties to maintain the highway and that their breaches caused the accident and the resulting loss, damage and expense.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defendants Hilbar Enterprises, Rockline Construction Ltd., and Bulldog Developments Inc. all conduct or have conducted business under the name Capilano Highway Services Company and I will refer to them as "Capilano".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Capilano had contracted with Her Majesty the Queen in Right of the Province of British Columbia ("the Province") through the Ministry of Transportation and Highways ("MOTH") to maintain Highway 99 including the portion of the highway where the accident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Capilano and the Province have denied liability. The Province has pleaded alternatively that if the accident occurred as alleged, which it denies, then it was "caused solely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Contractor (Capilano) and the Provincial Crown repeats the allegations against them as set out in the Statement of Claim." It also pleads and relies upon the provisions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 xml:space="preserve">. Capilano says that it did not breach the standard of care in maintaining the highway and that the accident was caused solely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Mr. Gothard.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Capilano has applied pursuant to Rule 18A to have the action dismissed as against it. The Province has not responded to the Notice of Motion but counsel for Capilano advised me that the Province has "consented" to the motion.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opposing the application the plaintiff submits that this matter is not suitable for disposition by summary trial. However, if the court disagrees on this point, the application ought to be dismissed on its merits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Road condition and weather reports made by employees of Capilano indicate that between 3:55 a.m. and 6:01 a.m. temperatures were in the range of -1? to -2?C and there was light to moderate snow and mixed rain and snow.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Gothard has deposed that, while travelling north of Britannia Beach toward Squamish and approaching the bridge at Gonzales Creek, he observed what from his experience was black ice. Fifteen to 30 seconds later his vehicle began to slip on an ice patch and he lost control of his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Under its contract with MOTH, Capilano was obliged to perform a number of maintenance activities that were set out in a Maintenance Services Manual. The area where the accident occurred has a Class 1A rating requiring the highest level of maintenance. Part of the routine maintenance services required winter patrols within the maximum period of every four hours when freezing temperatures and snowfall were present or anticipated. They also required the application of sand and de-icing chemical within defined time limits if black ice or slippery conditions were encountered during patrols.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Among the arguments of the plaintiff that this action is not suitable for disposition under Rule 18A is its submission that there are contradictions and uncertainties in the evidence that is before the court on this application. Those contradictions are said to be found in the evidence of two truck drivers who carried out patrols on Highway 99 on the evening of February 7 and early morning of February 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Briefly put, it is said that there is conflicting evidence from one driver as to whether the spread of the sand or de-icing chemical from his truck as he drove south on Highway 99 would have extended into the whole of the northbound lane. In the case of the second driver the contradiction relates to his evidence about salting the highway south of Squamish between 2:30 a.m. and 3:20 a.m. and his timesheet that shows he was north of Squamish after 2:30 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Further arguments of the plaintiff that this action is not suitable for disposition under Rule 18A include the following submissions:</w:t>
      </w:r>
      <w:r>
        <w:rPr>
          <w:rFonts w:ascii="arial" w:eastAsia="arial" w:hAnsi="arial" w:cs="arial"/>
          <w:sz w:val="20"/>
          <w:lang w:val="en-US" w:eastAsia="en-US" w:bidi="ar-SA"/>
        </w:rPr>
        <w:cr/>
      </w:r>
    </w:p>
    <w:p>
      <w:pPr>
        <w:numPr>
          <w:numId w:val="1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Regardless of the outcome of the summary trial, the action will still have to proceed to trial as the plaintiff's claim against the Province will still have to be adjudicated;</w:t>
      </w:r>
    </w:p>
    <w:p>
      <w:pPr>
        <w:numPr>
          <w:numId w:val="1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Related to this fact is a concern that, in dismissing the claim against one of the two defendants, the plaintiff could be prejudiced if it is placed in a position where the remaining defendant may attempt to throw all blame for the accident on the then absent defendant Capilano;</w:t>
      </w:r>
    </w:p>
    <w:p>
      <w:pPr>
        <w:numPr>
          <w:numId w:val="1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relevant evidence that will assist the court but which is not before the court and, considering the amount and type of evidence usually presented by the parties in these types of actions, the court cannot find the facts necessary to decide the liability issue. The plaintiff notes that there were numerous witnesses to the road and weather conditions before and after the accident who have not provided evidence in this application;</w:t>
      </w:r>
    </w:p>
    <w:p>
      <w:pPr>
        <w:numPr>
          <w:numId w:val="1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amount involved in the action is substantial and is likely in the $600,000 to $800,000 range;</w:t>
      </w:r>
    </w:p>
    <w:p>
      <w:pPr>
        <w:numPr>
          <w:numId w:val="1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urgency to the matter and no prejudice to any party is likely to arise if the matter proceeds to a conventional trial;</w:t>
      </w:r>
    </w:p>
    <w:p>
      <w:pPr>
        <w:numPr>
          <w:numId w:val="1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Mr. Gothard was not liable for the accident and its cause was the black ice on the highway, which, through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defendants, was allowed to remain on the highway for an unknown period of time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principal arguments made by Capilano are the following:</w:t>
      </w:r>
      <w:r>
        <w:rPr>
          <w:rFonts w:ascii="arial" w:eastAsia="arial" w:hAnsi="arial" w:cs="arial"/>
          <w:sz w:val="20"/>
          <w:lang w:val="en-US" w:eastAsia="en-US" w:bidi="ar-SA"/>
        </w:rPr>
        <w:cr/>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claim against the Province would not require adjudication if the claim against Capilano is dismissed. This submission is, in effect, that Capilano has not breached any standard of care and, absent a breach by Capilano, there could not be a breach by the Province. As a result, proceeding against the Province would have no merit;</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Any relevant evidence the plaintiff seeks to have before the court should have been before the court at the summary trial;</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alleged contradictions and uncertainties in the evidence relating to the timing and scope of their sanding or salting of the accident area are not "true inconsistencies" when the whole of the evidence is examined.</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Capilano has conceded for purposes of the 18A application that the road was icy and the court is, therefore, only required to determine the standard of care and whether it was met by Capilano. As to this, Capilano says a summary trial is appropriate.</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ICBC has the onus of establishing a finding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at a summary trial even thought the application for dismissal was brought y Capilano (Miura v. Miura) </w:t>
      </w:r>
      <w:hyperlink r:id="rId661" w:history="1">
        <w:r>
          <w:rPr>
            <w:rFonts w:ascii="arial" w:eastAsia="arial" w:hAnsi="arial" w:cs="arial"/>
            <w:i/>
            <w:color w:val="0077CC"/>
            <w:sz w:val="20"/>
            <w:u w:val="single"/>
            <w:shd w:val="clear" w:color="auto" w:fill="FFFFFF"/>
            <w:lang w:val="en-US" w:eastAsia="en-US" w:bidi="ar-SA"/>
          </w:rPr>
          <w:t>(1992), 66 B.C.L.R. (2d) 345</w:t>
        </w:r>
      </w:hyperlink>
      <w:r>
        <w:rPr>
          <w:rFonts w:ascii="arial" w:eastAsia="arial" w:hAnsi="arial" w:cs="arial"/>
          <w:color w:val="000000"/>
          <w:sz w:val="20"/>
          <w:lang w:val="en-US" w:eastAsia="en-US" w:bidi="ar-SA"/>
        </w:rPr>
        <w:t xml:space="preserve">, </w:t>
      </w:r>
      <w:hyperlink r:id="rId661" w:history="1">
        <w:r>
          <w:rPr>
            <w:rFonts w:ascii="arial" w:eastAsia="arial" w:hAnsi="arial" w:cs="arial"/>
            <w:i/>
            <w:color w:val="0077CC"/>
            <w:sz w:val="20"/>
            <w:u w:val="single"/>
            <w:shd w:val="clear" w:color="auto" w:fill="FFFFFF"/>
            <w:lang w:val="en-US" w:eastAsia="en-US" w:bidi="ar-SA"/>
          </w:rPr>
          <w:t>12 B.C.A.C. 278</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In considering this application, it is useful to review the decision in Holbrook (Guardian ad litem of) v. Argo Road Maintenance Inc. </w:t>
      </w:r>
      <w:hyperlink r:id="rId662" w:history="1">
        <w:r>
          <w:rPr>
            <w:rFonts w:ascii="arial" w:eastAsia="arial" w:hAnsi="arial" w:cs="arial"/>
            <w:i/>
            <w:color w:val="0077CC"/>
            <w:sz w:val="20"/>
            <w:u w:val="single"/>
            <w:shd w:val="clear" w:color="auto" w:fill="FFFFFF"/>
            <w:lang w:val="en-US" w:eastAsia="en-US" w:bidi="ar-SA"/>
          </w:rPr>
          <w:t>(1996), 31 C.C.L.T. (2d) 70</w:t>
        </w:r>
      </w:hyperlink>
      <w:r>
        <w:rPr>
          <w:rFonts w:ascii="arial" w:eastAsia="arial" w:hAnsi="arial" w:cs="arial"/>
          <w:color w:val="000000"/>
          <w:sz w:val="20"/>
          <w:lang w:val="en-US" w:eastAsia="en-US" w:bidi="ar-SA"/>
        </w:rPr>
        <w:t xml:space="preserve"> (B.C.S.C.) where Meiklem J. stated at [paragraph] 36: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conclusion is that a highways maintenance contractor will be in breach of its duty of care to the users of the highway if it is in breach of the contractual maintenance standards, provided that the contract standards are within the Crown's duty of care and are equal to or less than a reasonable standard determined by the court, but the law does not impose a higher standard of care upon contractors than the courts would impose upon the Crown, simply because of the provisions of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Subrule 18A(11)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the hearing of an application under subrule (1), the court may</w:t>
      </w:r>
    </w:p>
    <w:p>
      <w:pPr>
        <w:numPr>
          <w:numId w:val="4"/>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grant judgment in favour of any party, either on an issue or generally, unless</w:t>
      </w:r>
    </w:p>
    <w:p>
      <w:pPr>
        <w:numPr>
          <w:numId w:val="5"/>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is unable, on the whole of the evidence before the court on the application, to find the facts necessary to decide the issues of fact or law, or</w:t>
      </w:r>
    </w:p>
    <w:p>
      <w:pPr>
        <w:numPr>
          <w:numId w:val="7"/>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is of the opinion that it would be unjust to decide the issues on the application.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In assessing the application I am mindful of the approach to be taken to a summary judgment application set out by the Court of Appeal in Inspiration Management Ltd. v. McDermid St. Lawrence Ltd. </w:t>
      </w:r>
      <w:hyperlink r:id="rId179" w:history="1">
        <w:r>
          <w:rPr>
            <w:rFonts w:ascii="arial" w:eastAsia="arial" w:hAnsi="arial" w:cs="arial"/>
            <w:i/>
            <w:color w:val="0077CC"/>
            <w:sz w:val="20"/>
            <w:u w:val="single"/>
            <w:shd w:val="clear" w:color="auto" w:fill="FFFFFF"/>
            <w:lang w:val="en-US" w:eastAsia="en-US" w:bidi="ar-SA"/>
          </w:rPr>
          <w:t>(1989), 36 B.C.L.R. (2d) 202</w:t>
        </w:r>
      </w:hyperlink>
      <w:r>
        <w:rPr>
          <w:rFonts w:ascii="arial" w:eastAsia="arial" w:hAnsi="arial" w:cs="arial"/>
          <w:color w:val="000000"/>
          <w:sz w:val="20"/>
          <w:lang w:val="en-US" w:eastAsia="en-US" w:bidi="ar-SA"/>
        </w:rPr>
        <w:t xml:space="preserve">, </w:t>
      </w:r>
      <w:hyperlink r:id="rId179" w:history="1">
        <w:r>
          <w:rPr>
            <w:rFonts w:ascii="arial" w:eastAsia="arial" w:hAnsi="arial" w:cs="arial"/>
            <w:i/>
            <w:color w:val="0077CC"/>
            <w:sz w:val="20"/>
            <w:u w:val="single"/>
            <w:shd w:val="clear" w:color="auto" w:fill="FFFFFF"/>
            <w:lang w:val="en-US" w:eastAsia="en-US" w:bidi="ar-SA"/>
          </w:rPr>
          <w:t>36 C.P.C. (2d) 199</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assessing the application there is, in my view, a sense in which the plaintiff has not fully appreciated that, as a Rule 18A application, this matter is a trial of the action. The plaintiff has a substantial obligation to put its evidence before the court unless there is good reason not to have done so. Failure to do so may well result in the application nevertheless proceeding to judgment under the rule.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the present application, however, I have concluded that I am unable to grant judgment in favour of Capilano for two reasons. First, there is conflicting evidence on both the timing and the extent of the application of sand and de-icing chemical in the area of the accident on the morning of February 8, 2001. This evidence is important to the issue of whether Capilano met the provisions of its contract and whether it met the necessary standard of care in maintaining the highway. It is not appropriate for me to resolve the particular conflicting evidence based on the affidavit evidence before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Second, if summary judgment in favour of Capilano is ordered, the Province will remain a defendant and the matter will need to proceed to trial against the Province. While it may be that a dismissal against Capilano will effectively end the plaintiff's claim against the Province, such a result is not certain.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In Thomson v. Kootenay Lake District Hospital </w:t>
      </w:r>
      <w:hyperlink r:id="rId663" w:history="1">
        <w:r>
          <w:rPr>
            <w:rFonts w:ascii="arial" w:eastAsia="arial" w:hAnsi="arial" w:cs="arial"/>
            <w:i/>
            <w:color w:val="0077CC"/>
            <w:sz w:val="20"/>
            <w:u w:val="single"/>
            <w:shd w:val="clear" w:color="auto" w:fill="FFFFFF"/>
            <w:lang w:val="en-US" w:eastAsia="en-US" w:bidi="ar-SA"/>
          </w:rPr>
          <w:t>(1985), 68 B.C.L.R. 142</w:t>
        </w:r>
      </w:hyperlink>
      <w:r>
        <w:rPr>
          <w:rFonts w:ascii="arial" w:eastAsia="arial" w:hAnsi="arial" w:cs="arial"/>
          <w:color w:val="000000"/>
          <w:sz w:val="20"/>
          <w:lang w:val="en-US" w:eastAsia="en-US" w:bidi="ar-SA"/>
        </w:rPr>
        <w:t>, 7 C.P.C. (2d) 212 (S.C.), McEachern C.J.S.C. declined to grant a non-suit against one of two defendants. He noted at [paragraph] 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reason for this, of course, is to prevent the remaining defendant from throwing blame on the absent defendant to the prejudice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On the basis of the same concern the court has also declined to grant summary judgment where there are two defendants (See Boehler v. Blaser Jagdwaffen, </w:t>
      </w:r>
      <w:hyperlink r:id="rId664" w:history="1">
        <w:r>
          <w:rPr>
            <w:rFonts w:ascii="arial" w:eastAsia="arial" w:hAnsi="arial" w:cs="arial"/>
            <w:i/>
            <w:color w:val="0077CC"/>
            <w:sz w:val="20"/>
            <w:u w:val="single"/>
            <w:shd w:val="clear" w:color="auto" w:fill="FFFFFF"/>
            <w:lang w:val="en-US" w:eastAsia="en-US" w:bidi="ar-SA"/>
          </w:rPr>
          <w:t>[2000] B.C.J. No. 931</w:t>
        </w:r>
      </w:hyperlink>
      <w:r>
        <w:rPr>
          <w:rFonts w:ascii="arial" w:eastAsia="arial" w:hAnsi="arial" w:cs="arial"/>
          <w:color w:val="000000"/>
          <w:sz w:val="20"/>
          <w:lang w:val="en-US" w:eastAsia="en-US" w:bidi="ar-SA"/>
        </w:rPr>
        <w:t xml:space="preserve">, </w:t>
      </w:r>
      <w:hyperlink r:id="rId664" w:history="1">
        <w:r>
          <w:rPr>
            <w:rFonts w:ascii="arial" w:eastAsia="arial" w:hAnsi="arial" w:cs="arial"/>
            <w:i/>
            <w:color w:val="0077CC"/>
            <w:sz w:val="20"/>
            <w:u w:val="single"/>
            <w:shd w:val="clear" w:color="auto" w:fill="FFFFFF"/>
            <w:lang w:val="en-US" w:eastAsia="en-US" w:bidi="ar-SA"/>
          </w:rPr>
          <w:t>2000 BCSC 710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As I have noted above, in its Statement of Defence the Province has pleaded in part that, if the accident occurred as alleged, it was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Capilano.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 recognize that Capilano has submitted on the facts of this case that there is no need for the Province to throw blame on Capilano, but I think there is an inadequate evidentiary basis to confirm that position at this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the result, I conclude that Capilano's application for summary judgment must be dismissed. Costs will be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RALPH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02" style="position:absolute;z-index:25188966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65"/>
          <w:headerReference w:type="default" r:id="rId666"/>
          <w:footerReference w:type="even" r:id="rId667"/>
          <w:footerReference w:type="default" r:id="rId668"/>
          <w:headerReference w:type="first" r:id="rId669"/>
          <w:footerReference w:type="first" r:id="rId67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71" w:history="1">
        <w:r>
          <w:rPr>
            <w:rFonts w:ascii="arial" w:eastAsia="arial" w:hAnsi="arial" w:cs="arial"/>
            <w:b/>
            <w:bCs/>
            <w:i/>
            <w:color w:val="0077CC"/>
            <w:kern w:val="32"/>
            <w:sz w:val="28"/>
            <w:szCs w:val="32"/>
            <w:u w:val="single"/>
            <w:shd w:val="clear" w:color="auto" w:fill="FFFFFF"/>
            <w:lang w:val="en-US" w:eastAsia="en-US" w:bidi="ar-SA"/>
          </w:rPr>
          <w:t>Isadore v. MacIntosh, [2000] B.C.J. No. 2247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Prince George,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Meiklem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15 - 17,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31,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Prince George Registry No. 33056</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[2000] B.C.J. No. 2247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2000 BCSC 1592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100 A.C.W.S. (3d) 935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Winnifred Mary Isadore, plaintiff, and Paul MacIntosh, Royal Canadian Mounted Police, Attorney General of Canada, Her Majesty the Queen in Right of the Province of British Columbia,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03" style="position:absolute;z-index:2516961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40" w:name="Keywords_34"/>
      <w:bookmarkEnd w:id="240"/>
      <w:r>
        <w:rPr>
          <w:rFonts w:ascii="arial" w:eastAsia="arial" w:hAnsi="arial" w:cs="arial"/>
          <w:b/>
          <w:color w:val="000000"/>
          <w:sz w:val="20"/>
          <w:lang w:val="en-US" w:eastAsia="en-US" w:bidi="ar-SA"/>
        </w:rPr>
        <w:t xml:space="preserve">Police — Actions against police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to public — Torts — Motor vehicle, pedestrians and bicyclists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of.</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41" w:name="Case Summary_32"/>
            <w:bookmarkEnd w:id="24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was an action by Isadore against MacIntosh, the RCMP and other for damages for personal injuries. Isadore was hit by a RCMP patrol car rushing to the scene of an altercation. There was low light and visibility. Isadore had been confronted twice by an officer at the scene and told to leave and go home. Isadore, who was intoxicated at the time, failed to notice or ignored the sounds of the officer's siren. She was running down the centre of the alley. She was looking backwards while running forward in the darkened back alley.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42" w:name="Holdings of Court_25"/>
            <w:bookmarkEnd w:id="242"/>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Fault was apportioned 20 per cent to the officer and the others and 80 per cent to Isadore. The officer made an error in judgment and was negligent. However, his departure from the requisite standard of care was minimal. His degree of fault was a great deal less than that of Isadore.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43" w:name="Legislation Cited_27"/>
      <w:bookmarkEnd w:id="24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04" style="position:absolute;z-index:2517473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Police Act, s. 21.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44" w:name="Counsel_36"/>
      <w:bookmarkEnd w:id="24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05" style="position:absolute;z-index:2517985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B.A. Coller, for the plaintiff. G. Leven, for the defendants.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45" w:name="Judgment_36"/>
      <w:bookmarkEnd w:id="245"/>
      <w:r>
        <w:pict>
          <v:line id="_x0000_s1206" style="position:absolute;z-index:25184768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46" w:name="MEIKLEM J."/>
            <w:bookmarkEnd w:id="246"/>
            <w:r>
              <w:rPr>
                <w:rFonts w:ascii="arial" w:eastAsia="arial" w:hAnsi="arial" w:cs="arial"/>
                <w:b/>
                <w:color w:val="000000"/>
                <w:sz w:val="30"/>
                <w:lang w:val="en-US" w:eastAsia="en-US" w:bidi="ar-SA"/>
              </w:rPr>
              <w:t>MEIKLEM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then 54 years of age, was struck by an R.C.M.P. patrol car rushing to the scene of an altercation in an alley between Queensway Street and Juniper Street in Prince George on July 9, 1994, at approximately 11:00 p.m. She received various injuries, including a broken leg and soft tissue injuries. The sole issue in the trial is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alley in question runs east and west between Queensway and Juniper Streets, which run north and south parallel to each other. The east-west alley is intersected at approximately the mid-point from the north by a north-south alley, forming a T. On the southern side of that intersection there was a short segment of solid boarded fence behind some deciduous bushes, and a wood telephone/hydro pole punctuated the eastern end of the fence. To the east of the utility pole the alley was contiguous with an open paved area that was part of a service station property occupying the corner of Queensway and 20th Avenue.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Cst. MacIntosh was on the scene of another investigation some 15 blocks away and was informed that a Cst. Becker was calling for assistance, code 10-33, which is the most drastic of codes, meaning he was facing grievous bodily harm. Cst. MacIntosh was accompanied by a civilian "ride along", and although she would normally be dropped off before emergency equipment was activated, he did not have time to do so. He activated lights and siren and proceeded along 20th Avenue at estimated speeds up to 160-180 kph.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Cst. Becker was engaged in breaking up a disturbance at the west end of the alley where it meets Juniper Street, but Cst. MacIntosh did not look down Juniper Street as he passed it. He entered the southern side of the service station property, travelled across it in a northerly direction and turned left into the alley, cutting around the telephone/hydro pole. He said he had his foot on the brake pedal to make the sharp turn into the alley, and as his headlights were about three-quarters of the way through the arc, he saw the plaintiff running toward him, looking backwards over her shoulder. She was in the middle of the alley, but his car was about two-thirds as wide as the alley and he said he had neither time nor space to avoid hitting her, although he jammed on the brakes forcefully. The collision occurred as soon as his car was parallel to the course of the alley.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Cst. Fiedler had also heard the radio call for assistance and arrived at the scene very shortly before Cst. MacIntosh. He said he had driven to the scene at 70-100 kph. He approached along 20th Avenue and went through the service station parking lot and into the alley on the same route as Cst. MacIntosh took. He did look down Juniper Street and did see Cst. Becker's car in the alley. He parked behind it. Another constable had also arrived about the same time and entered the alley from Juniper Street and was parked in front of and facing Cst. Becker's car. Cst. Fiedler saw the plaintiff being directed to leave by a civilian and as she walked away in the alley he started to run to try and catch her. She turned to look at him several times and was doing so when Cst. MacIntosh drove into the alley and collided with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Cst. Fiedler described the lighting as quite dim. He said he saw a small black cylinder rolling away from the plaintiff after she was knocked over. It appeared to be pepper spray.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Retired Cst. Becker testified that before attending the scene where a crowd of youths were fighting, he had seen the plaintiff, a person known to him, and a resident of the nearby Evergreen Motel on Queensway Street, carrying a length of two by four which she said she was carrying for protection because of the crowd of youths. He told her to go home, but while he engaged the youths and used his pepper spray on one of the combatants, he was himself pepper sprayed. He had seen the plaintiff return to the scene and believes he saw her raise her hand just before he was sprayed. He was not certain that it was the plaintiff's hand he saw and since the wind was blowing from behind him, it is logically possible that, even if it was the plaintiff using her pepper spray, she may have sprayed him unintentionally as she was attempting to spray the fighting youths.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Ms. Isadore recalls using her pepper spray, but only at an earlier point in time when she sprayed the youths who were then fighting in front of her residence at the Evergreen Motel. She said she had no recollection of spraying the police or anyone else on a second occasion. She acknowledged that she was "drunk, but not overly drunk" and perhaps was staggering a little bit. She recalled running away from the fighting, and agreed she was looking back over her shoulder when she was hit, but does not remember why she was running. She had no recollection of hearing sirens.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civilian "ride-along", Tawnie Hayne, confirmed that Cst. MacIntosh activated his emergency lights and siren and they remained activated until the impact with Ms. Isadore.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report of the R.C.M.P. Traffic Analyst Investigator indicated the point of impact was 8.08 metres west of the hydro pole. The plaintiff's feet were centred in the alley some 1.78 metres from the point of impact, indicating that Cst. MacIntosh's car was "travelling very slowly or was almost stopped at the time of impact". The investigating constable conducted a daytime series of practical tests and concluded that "the determined minimum speed of 17 km/hr (from skid) at the time of the incident was consistent with the physical evidence located at the scene". The determined minimum speed of the vehicle at the actual time of impact was 11 km/hr.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analyst's report commented on the effects of emergency lighting equipment in the following paragraph:</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possibility of a visual distraction or distortion in this case is also highly suspect. The driver of the Police vehicle is responding to a situation with the emergency lighting equipment activated. This equipment included the overhead red and blue lights and the alternating wig wag headlamps - which work on low beam only. This combination of multiple coloured lights shining and reflecting off the various fences, dumpster and thick foliage in the area would certainly create innumerable shadows and distortions as the vehicle entered the alley. During the practical testing previously described this was in fact the case. However, this lighting problem can also apply to the perceptions and reactions of the pedestrian. It is entirely possible that the pedestrian may have been confused or distracted by all the lights and reflections and not recognized the lights moving towards her as a real Police vehicle. It should also be noted that the driver of the vehicle would probably have been looking Westbound up the alley and been blinded by the overhead emergency lighting of at least two Police vehicles that were stopped at the end of the alley approximately forty (40) metres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analyst's report suggests that the average jogging speed is 8 kilometers per hour or 2.87 metres per second, and postulates that "it is possible that these two parties were as much as ten metres apart if and when they recognized each other as being a hazard but were unable to provide sufficient evasive action in order to avoid contact".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Counsel for the defendants aptly pointed out that the plaintiff must be considered contributory negligent in failing to look after her own safety in the following ways:</w:t>
      </w:r>
      <w:r>
        <w:rPr>
          <w:rFonts w:ascii="arial" w:eastAsia="arial" w:hAnsi="arial" w:cs="arial"/>
          <w:sz w:val="20"/>
          <w:lang w:val="en-US" w:eastAsia="en-US" w:bidi="ar-SA"/>
        </w:rPr>
        <w:cr/>
      </w:r>
    </w:p>
    <w:p>
      <w:pPr>
        <w:numPr>
          <w:numId w:val="1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had been confronted twice by Cst. Becker and told to leave the scene and go home;</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She failed to notice or ignored the sounds of Cst. MacIntosh's siren;</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was abroad, intoxicated, not "keeping her wits about her";</w:t>
      </w:r>
    </w:p>
    <w:p>
      <w:pPr>
        <w:numPr>
          <w:numId w:val="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She was looking backwards while running forward in a darkened back alley frequented by vehicles;</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was running down the centre of the alley, not keeping to one side or the 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Counsel for the plaintiff does not dispute these particulars but argues that Cst. MacIntosh was negligent in blindly turning into the alley too quickly when he could not see what might lay around the turn. He was aware of the circumstances of a lack of lighting and visibility and the presence of a gathering of people.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Counsel for the defendants argued that Cst. MacIntosh may have made errors of judgment, but was not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 standard of care applicable to police officers was reviewed, in the context of highway pursuit, in the case of Doern v. Phillips (Public Trustee of) </w:t>
      </w:r>
      <w:hyperlink r:id="rId467" w:history="1">
        <w:r>
          <w:rPr>
            <w:rFonts w:ascii="arial" w:eastAsia="arial" w:hAnsi="arial" w:cs="arial"/>
            <w:i/>
            <w:color w:val="0077CC"/>
            <w:sz w:val="20"/>
            <w:u w:val="single"/>
            <w:shd w:val="clear" w:color="auto" w:fill="FFFFFF"/>
            <w:lang w:val="en-US" w:eastAsia="en-US" w:bidi="ar-SA"/>
          </w:rPr>
          <w:t>[1994] B.C.J. No. 2840</w:t>
        </w:r>
      </w:hyperlink>
      <w:r>
        <w:rPr>
          <w:rFonts w:ascii="arial" w:eastAsia="arial" w:hAnsi="arial" w:cs="arial"/>
          <w:color w:val="000000"/>
          <w:sz w:val="20"/>
          <w:lang w:val="en-US" w:eastAsia="en-US" w:bidi="ar-SA"/>
        </w:rPr>
        <w:t xml:space="preserve"> (B.C.S.C.), (Kirkpatrick J.), and paras. 67 to 69 provide a useful reference to case authority: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67 It is apparent from a review of these authorities that Canadian courts have been reluctant to find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police officers in the lawful discharge of their duties. Nevertheless, the authorities also demonstrate that each case must be examined according to the circumstances of the case. Thus, in Vallery v. Po </w:t>
      </w:r>
      <w:hyperlink r:id="rId672" w:history="1">
        <w:r>
          <w:rPr>
            <w:rFonts w:ascii="arial" w:eastAsia="arial" w:hAnsi="arial" w:cs="arial"/>
            <w:i/>
            <w:color w:val="0077CC"/>
            <w:sz w:val="20"/>
            <w:u w:val="single"/>
            <w:shd w:val="clear" w:color="auto" w:fill="FFFFFF"/>
            <w:lang w:val="en-US" w:eastAsia="en-US" w:bidi="ar-SA"/>
          </w:rPr>
          <w:t>(1971), 23 D.L.R. (3d) 92</w:t>
        </w:r>
      </w:hyperlink>
      <w:r>
        <w:rPr>
          <w:rFonts w:ascii="arial" w:eastAsia="arial" w:hAnsi="arial" w:cs="arial"/>
          <w:color w:val="000000"/>
          <w:sz w:val="20"/>
          <w:lang w:val="en-US" w:eastAsia="en-US" w:bidi="ar-SA"/>
        </w:rPr>
        <w:t xml:space="preserve"> (B.C.S.C.), the Court found that a police officer dispatched to the scene of an accident must drive with due regard for safety. In that case, the police officer was entitled to exercise the privileges granted by s. 118 of the Motor Vehicle Act. The Court framed the issue as follows, at p. 97:</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question is whether, exercising those privileges, he drove with due regard for safety, considering all the circumstances of the case. One test is to balance the speed and other qualities of his driving, as he proceeded through the intersection on a red light, against the urgency of the duty to which he was responding.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That test was adopted in Pepper v. Hoover </w:t>
      </w:r>
      <w:hyperlink r:id="rId673" w:history="1">
        <w:r>
          <w:rPr>
            <w:rFonts w:ascii="arial" w:eastAsia="arial" w:hAnsi="arial" w:cs="arial"/>
            <w:i/>
            <w:color w:val="0077CC"/>
            <w:sz w:val="20"/>
            <w:u w:val="single"/>
            <w:shd w:val="clear" w:color="auto" w:fill="FFFFFF"/>
            <w:lang w:val="en-US" w:eastAsia="en-US" w:bidi="ar-SA"/>
          </w:rPr>
          <w:t>(1976), 71 D.L.R. (3d) 129</w:t>
        </w:r>
      </w:hyperlink>
      <w:r>
        <w:rPr>
          <w:rFonts w:ascii="arial" w:eastAsia="arial" w:hAnsi="arial" w:cs="arial"/>
          <w:color w:val="000000"/>
          <w:sz w:val="20"/>
          <w:lang w:val="en-US" w:eastAsia="en-US" w:bidi="ar-SA"/>
        </w:rPr>
        <w:t xml:space="preserve"> (Alta.S.C.), in which the Court made a finding, based on the circumstances of the case, that the police officer was not negligent.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68 The test was perhaps best formulated by Lord Denning in Watt v. Hertfordshire County Council, [1954] 1 All E.R. 368 (C.A.), at p. 371:</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saving of life or limb justifies taking considerable risk, . . . It is always a question of balancing the risk against the end.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balancing the risk against the end, police officers are required to made decisions that call for the exercise of judgment. In Smith v. British Columbia (Attorney General) </w:t>
      </w:r>
      <w:hyperlink r:id="rId674" w:history="1">
        <w:r>
          <w:rPr>
            <w:rFonts w:ascii="arial" w:eastAsia="arial" w:hAnsi="arial" w:cs="arial"/>
            <w:i/>
            <w:color w:val="0077CC"/>
            <w:sz w:val="20"/>
            <w:u w:val="single"/>
            <w:shd w:val="clear" w:color="auto" w:fill="FFFFFF"/>
            <w:lang w:val="en-US" w:eastAsia="en-US" w:bidi="ar-SA"/>
          </w:rPr>
          <w:t>(1988), 30 B.C.L.R (2d) 356</w:t>
        </w:r>
      </w:hyperlink>
      <w:r>
        <w:rPr>
          <w:rFonts w:ascii="arial" w:eastAsia="arial" w:hAnsi="arial" w:cs="arial"/>
          <w:color w:val="000000"/>
          <w:sz w:val="20"/>
          <w:lang w:val="en-US" w:eastAsia="en-US" w:bidi="ar-SA"/>
        </w:rPr>
        <w:t xml:space="preserve"> (B.C.C.A.), Craig J.A. referred to the following passage from Whitehouse v. Jordan, [1981] 1 W.L.R. 246, [1981] 1 All E.R. 267 (C.A.), at 363:</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true position is that an error of judgment may, or may not, be negligent; it depends on the nature of the error. If it is one that would not have been made by a reasonably competent professional man professing to have the standard and type of skill that the defendant held himself out as having, and acting with ordinary care, then it is negligent. If, on the other hand, it is an error that a man, acting with ordinary care, might have made, then it is not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69 Based on the authorities provided, there is little doubt that the standard of care to which a police officer will be held is that a reasonable police officer, acting reasonably and within the statutory powers imposed upon him or her, according to the circumstances of the case. .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assessing whether Cst. MacIntosh's manner of driving showed due regard to the risks to other users when balanced against the urgency, one must conclude that he misjudged the urgency factor. One cannot fault his rapid arrival at the scene in light of the nature of the drastic call for help, and his driving speed on 20th Avenue is not directly relevant to causation, but it is to be noted that prior to his arrival, there were two other police cars in addition to Cst. Becker's on the scene and, if he had been properly observant, to the standard even of Cst. Fiedler, for example, he would have noted that it would not have been necessary to take the risk of entering the alley blindly, even if as slowly as 17 kph.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While the defendants say that it is only hindsight that shows Cst. MacIntosh made an error of judgment, it seems to me that the hazard of someone running from the altercation, or even lying injured immediately behind the fence segment which obscured his vision at his point of entry to the alley, should have been in the contemplation of a reasonably competent police constable in the observable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 find that Cst. MacIntosh's error of judgment was also negligent, but his departure from the requisite standard of care was minimal, and his degree of fault is a great deal less than that of the plaintiff. I apportion 20% of the total fault to the defendants, and 80%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Counsel agreed that no personal liability attaches to Cst. MacIntosh by virtue of the Police Act, s. 21. The court was not informed of any issue as between the other defendants in respect of the incidence of any judgment, and I expect counsel for the defendants to inform plaintiff's counsel of the proper defendant to name in the judgment to be entered. Costs may be spoken to if an issue arises.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MEIKLEM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07" style="position:absolute;z-index:25189068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75"/>
          <w:headerReference w:type="default" r:id="rId676"/>
          <w:footerReference w:type="even" r:id="rId677"/>
          <w:footerReference w:type="default" r:id="rId678"/>
          <w:headerReference w:type="first" r:id="rId679"/>
          <w:footerReference w:type="first" r:id="rId68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81" w:history="1">
        <w:r>
          <w:rPr>
            <w:rFonts w:ascii="arial" w:eastAsia="arial" w:hAnsi="arial" w:cs="arial"/>
            <w:b/>
            <w:bCs/>
            <w:i/>
            <w:color w:val="0077CC"/>
            <w:kern w:val="32"/>
            <w:sz w:val="28"/>
            <w:szCs w:val="32"/>
            <w:u w:val="single"/>
            <w:shd w:val="clear" w:color="auto" w:fill="FFFFFF"/>
            <w:lang w:val="en-US" w:eastAsia="en-US" w:bidi="ar-SA"/>
          </w:rPr>
          <w:t>Johnny v. Palmantier, [2004] B.C.J. No. 1793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Burnyeat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August 17,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30,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M020313</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[2004] B.C.J. No. 1793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682" w:history="1">
        <w:r>
          <w:rPr>
            <w:rFonts w:ascii="arial" w:eastAsia="arial" w:hAnsi="arial" w:cs="arial"/>
            <w:i/>
            <w:color w:val="0077CC"/>
            <w:sz w:val="20"/>
            <w:u w:val="single"/>
            <w:shd w:val="clear" w:color="auto" w:fill="FFFFFF"/>
            <w:lang w:val="en-US" w:eastAsia="en-US" w:bidi="ar-SA"/>
          </w:rPr>
          <w:t>2004 BCSC 1140</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682" w:history="1">
        <w:r>
          <w:rPr>
            <w:rFonts w:ascii="arial" w:eastAsia="arial" w:hAnsi="arial" w:cs="arial"/>
            <w:i/>
            <w:color w:val="0077CC"/>
            <w:sz w:val="20"/>
            <w:u w:val="single"/>
            <w:shd w:val="clear" w:color="auto" w:fill="FFFFFF"/>
            <w:lang w:val="en-US" w:eastAsia="en-US" w:bidi="ar-SA"/>
          </w:rPr>
          <w:t>133 A.C.W.S. (3d) 264</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Troy Jonathon Johnny, plaintiff, and Leonard John Palmantier and Jason Darrin Houde, defendants, and Insurance Corporation of British Columbia, third party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08" style="position:absolute;z-index:2516971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47" w:name="Keywords_35"/>
      <w:bookmarkEnd w:id="247"/>
      <w:r>
        <w:rPr>
          <w:rFonts w:ascii="arial" w:eastAsia="arial" w:hAnsi="arial" w:cs="arial"/>
          <w:b/>
          <w:color w:val="000000"/>
          <w:sz w:val="20"/>
          <w:lang w:val="en-US" w:eastAsia="en-US" w:bidi="ar-SA"/>
        </w:rPr>
        <w:t xml:space="preserve">Torts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 evidence and burden of proof — Practice — Judgments and orders — Summary judgments — Requirement that question at issue be beyond doubt.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48" w:name="Case Summary_33"/>
            <w:bookmarkEnd w:id="24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Johnny for a summary determination of liability. Johnny sued the defendants for damages sustained in a motor vehicle accident. He claimed that the accident occurred when a jeep driven by the defendant Palmantier drove off a highway and rolled down a steep embankment. Johnny was rendered a quadriplegic without use of or feeling in his lower body. The third party Insurance Corporation of British Columbia filed a statement of defence and denied liability. It claimed that Johnny was the driver. ICBC submitted that the issue of liability had to be decided at a full trial.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49" w:name="Holdings of Court_26"/>
            <w:bookmarkEnd w:id="249"/>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issue of liability could not be determined summarily. There were triable issues. The affidavit evidence did not prove that Palmantier was the driver. ICBC was an adverse party to Palmantier and would be able to impeach his evidence. The evidence contained sufficient conflicts that it was necessary for a judge to hear oral evidence regarding the facts which would establish liability.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50" w:name="Legislation Cited_28"/>
      <w:bookmarkEnd w:id="25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09" style="position:absolute;z-index:2517483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Rules 18, 18A.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Insurance (Motor Vehicle) Act, </w:t>
      </w:r>
      <w:hyperlink r:id="rId683" w:history="1">
        <w:r>
          <w:rPr>
            <w:rFonts w:ascii="arial" w:eastAsia="arial" w:hAnsi="arial" w:cs="arial"/>
            <w:i/>
            <w:color w:val="0077CC"/>
            <w:sz w:val="20"/>
            <w:u w:val="single"/>
            <w:shd w:val="clear" w:color="auto" w:fill="FFFFFF"/>
            <w:lang w:val="en-US" w:eastAsia="en-US" w:bidi="ar-SA"/>
          </w:rPr>
          <w:t>R.S.B.C. 1996, c. 231, s. 21</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51" w:name="Counsel_37"/>
      <w:bookmarkEnd w:id="251"/>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10" style="position:absolute;z-index:2517995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Mr. Johnny: J.U. Buckley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Third Party, Insurance Corporation of British Columbia: M.A. Dery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52" w:name="Judgment_37"/>
      <w:bookmarkEnd w:id="252"/>
      <w:r>
        <w:pict>
          <v:line id="_x0000_s1211" style="position:absolute;z-index:251848704"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53" w:name="BURNYEAT J."/>
            <w:bookmarkEnd w:id="253"/>
            <w:r>
              <w:rPr>
                <w:rFonts w:ascii="arial" w:eastAsia="arial" w:hAnsi="arial" w:cs="arial"/>
                <w:b/>
                <w:color w:val="000000"/>
                <w:sz w:val="30"/>
                <w:lang w:val="en-US" w:eastAsia="en-US" w:bidi="ar-SA"/>
              </w:rPr>
              <w:t>BURNYEAT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action arises out of a single motor vehicle accident that occurred on June 9, 2001 near Williams Lake. The accident occurred when a 1980 Jeep pickup truck owned by the Defendant, Jason Darrin Houde, drove off the travelled portion of the highway and rolled down a steep embankment. As a result of the accident, Mr. Johnny suffered grave injuries and was rendered a quadriplegic without use of, or feeling in, his lower body. There is a dispute regarding the question of whether Mr. Johnny was the driver of the vehicle or was a passenger with the vehicle being driven by Mr. Palmantier.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Neither Defendant has entered an Appearance in this matter although both were served. The Insurance Corporation of British Columbia ("I.C.B.C.") filed a Third Party Notice and Statement of Defence pursuant to s. 21 of the Insurance (Motor Vehicle) Act,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 in which liability for the accident and for the injuries sustained by the Plaintiff is denied. In the Statement of Defence of the Third Party, it is alleged that the Plaintiff was driving the vehicle at the time of the accident and was not a passenger as he alleges.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On this application, the Plaintiff seeks an order pursuant to Rule 18 and/or Rule 18A of the Rules of Court that the issue of liability in these proceedings be determined summarily in favour of the Plaintiff. The Plaintiff also submits that I.C.B.C. and the Defendant, Mr. Palmantier, are not "adverse parties" so that I.C.B.C. should not be in a position to challenge the evidence of Mr. Palmantier regarding the circumstances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I.C.B.C. submits that the issue of liability should be decided on the whole of the evidence during a full trial with viva voce evidence. In the alternative, I.C.B.C. submits that, if the Court should find that Mr. Palmantier was the driver of the vehicle, the issue of the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Plaintiff should be considered at a later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SHOULD THE MATTER BE REFERRED TO THE TRIAL LIST?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In Montroyal Estates Ltd. v. D.J.C.A. Invt. Ltd. </w:t>
      </w:r>
      <w:hyperlink r:id="rId684" w:history="1">
        <w:r>
          <w:rPr>
            <w:rFonts w:ascii="arial" w:eastAsia="arial" w:hAnsi="arial" w:cs="arial"/>
            <w:i/>
            <w:color w:val="0077CC"/>
            <w:sz w:val="20"/>
            <w:u w:val="single"/>
            <w:shd w:val="clear" w:color="auto" w:fill="FFFFFF"/>
            <w:lang w:val="en-US" w:eastAsia="en-US" w:bidi="ar-SA"/>
          </w:rPr>
          <w:t>(1984), 55 B.C.L.R. 137</w:t>
        </w:r>
      </w:hyperlink>
      <w:r>
        <w:rPr>
          <w:rFonts w:ascii="arial" w:eastAsia="arial" w:hAnsi="arial" w:cs="arial"/>
          <w:color w:val="000000"/>
          <w:sz w:val="20"/>
          <w:lang w:val="en-US" w:eastAsia="en-US" w:bidi="ar-SA"/>
        </w:rPr>
        <w:t xml:space="preserve"> (B.C.C.A.), Lambert J.A.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We were referred by counsel ... to the judgment of Esson J. (as he then was) in Progressive Const. Ltd. v. Newton, </w:t>
      </w:r>
      <w:r>
        <w:rPr>
          <w:rFonts w:ascii="arial" w:eastAsia="arial" w:hAnsi="arial" w:cs="arial"/>
          <w:i/>
          <w:color w:val="000000"/>
          <w:sz w:val="20"/>
          <w:lang w:val="en-US" w:eastAsia="en-US" w:bidi="ar-SA"/>
        </w:rPr>
        <w:t>25 B.C.L.R. 330</w:t>
      </w:r>
      <w:r>
        <w:rPr>
          <w:rFonts w:ascii="arial" w:eastAsia="arial" w:hAnsi="arial" w:cs="arial"/>
          <w:color w:val="000000"/>
          <w:sz w:val="20"/>
          <w:lang w:val="en-US" w:eastAsia="en-US" w:bidi="ar-SA"/>
        </w:rPr>
        <w:t xml:space="preserve"> ... and particularly at p. 334. There Esson J. summarizes, in my opinion, accurately, the law in relation to establishing a defence on an application for summary judgment in these words [pp. 334-35]:</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cases do not establish an invariable rule as to what steps must be taken to resist a R. 18 application for summary judgment. On all such applications the issue is whether, on the relevant facts and applicable law, there is a bona fide triable issue. The onus of establishing that there is not such an issue rests upon the applicant, and must be carried to the point of making it "manifestly clear", which I take to mean much the same as beyond a reasonable doubt. If the judge hearing the application is left in doubt as to whether there is a triable issue, the application should be dismissed.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essence, if the defendant is bound to lose, the application should be granted, but if he is not bound to lose, then the application should be dismissed. (at p. 139)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In Inspiration Management Ltd. v. McDermid St. Lawrence Ltd. </w:t>
      </w:r>
      <w:hyperlink r:id="rId179" w:history="1">
        <w:r>
          <w:rPr>
            <w:rFonts w:ascii="arial" w:eastAsia="arial" w:hAnsi="arial" w:cs="arial"/>
            <w:i/>
            <w:color w:val="0077CC"/>
            <w:sz w:val="20"/>
            <w:u w:val="single"/>
            <w:shd w:val="clear" w:color="auto" w:fill="FFFFFF"/>
            <w:lang w:val="en-US" w:eastAsia="en-US" w:bidi="ar-SA"/>
          </w:rPr>
          <w:t>(1989), 36 B.C.L.R. (2d) 202</w:t>
        </w:r>
      </w:hyperlink>
      <w:r>
        <w:rPr>
          <w:rFonts w:ascii="arial" w:eastAsia="arial" w:hAnsi="arial" w:cs="arial"/>
          <w:color w:val="000000"/>
          <w:sz w:val="20"/>
          <w:lang w:val="en-US" w:eastAsia="en-US" w:bidi="ar-SA"/>
        </w:rPr>
        <w:t xml:space="preserve"> (B.C.C.A.) the Court sat in a five-person panel and McEachern C.J.B.C. with Seaton, Esson and Wallace JJ.A. concurring set out this test regarding whether a trial should be heard pursuant to Rule 18A of the Rules of Court: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R. 18A substitutes other safeguards which are sufficient to ensure the proper attainment of justice. First, 14 days' notice of the application must be given (R. 18A(1.1)); secondly, the chambers judge cannot give judgment unless he can find the facts necessary to decide issues of fact or law (R. 18A(3)(a)); and thirdly, the chambers judge, even if he can decide the necessary factual and legal issues, may nevertheless decline to give judgment if he thinks it would be unjust to do so. The procedure prescribed by R. 18A may not furnish perfect justice in every case, but that elusive and unattainable goal cannot always be assured even after a conventional trial and I believe the safeguards furnished by the Rule and the common sense of the chambers judge are sufficient for the attainment of justice in any case likely to be found suitable for this procedure. Chambers judges should be careful but not timid in using R. 18A for the purpose for which it was intended. (at p. 214)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AFFIDAVIT EVIDENCE - IS THERE A TRIABLE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his Affidavit, Mr. Palmantier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was driving a 1980 Jeep pick-up truck motor vehicle eastbound on Highway 20. I was driving away from the Toosey Reserve and towards Williams Lake.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lost control of the vehicle going around a bend in the highway at Sheep Creek Hill and the vehicle went off the roadway and rolled over a few times as it went down a steep embankment. This happened shortly after noon. It was a clear day and the roads were dry.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the time of the accident the Plaintiff, Troy Jonathon Johnny, was the front seat passenger in the vehicle I was driving.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his Affidavit, Mr. Johnny states: "I have no recollection of the details surrounding the events of that day. My last recollection before the accident is of being at a party at my ... [aunt's] house. I remember Leonard Palmantier was also at the party and both of us were drinking hard liquor." Mr. Johnny states that he did not have a valid driver's licence, his licence was suspended when he turned 17, he had "never driven Leonard Palmantier's vehicle", he had "never been in Leonard Palmantier's truck prior to June 9, 2001", and his first memory after the accident was waking up and seeing his mother and his aunt in a hospital. Mr. Johnny also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experience Leonard Palmantier usually drove his vehicle himself. He never let me drive the pick-up truck ... or any other vehicles he has owned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his Affidavit, Constable Meaver states that he attended the scene, stood at the top of the embankment while ambulance and search and rescue personnel brought up a male who was identified to him as Mr. Johnny, Mr. Johnny was unable to speak to him but was able to "communicate with head movements", he asked Mr. Johnny whether he could hear him and Mr. Johnny "moved his head in an up and down manner indicating 'yes'", he asked Mr. Johnny, "Are you the driver?", and Mr. Johnny "moved his head in a side to side manner indicating 'no'", he asked Mr. Johnny, "Are you the passenger?", and Mr. Johnny "moved his head in an up and down manner indicating 'yes'".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her Affidavit, Kelsey Johnny, who is the first cousin of the Plaintiff, states that Messrs. Johnny and Palmantier came to a gas bar and store where she was on the day of the accident and she observed them leaving between 12:45 p.m. and 1:00 p.m. that day and that Mr. Palmantier "was driving the pick-up truck ... They were headed towards the highway and the location where the accident happened." Ms. Johnny also states: "I have never seen anyone other than Leonard [Palmantier] drive Leonard's pick-up truck before this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his Affidavit, Wayne Stieman, who is the cousin of Mr. Johnny, indicates that he was fixing a flat tire at the gas bar and store on June 9, 2001 and that he "observed" that Mr. Johnny was sitting in the passenger seat of the vehicle of Mr. Palmantier, Mr. Palmantier was sitting in the driver's seat, and that when he walked back from the store "... I again observed Troy and Leonard still in the vehicle. They were seated as before with Troy in the passenger seat and Leonard behind the steering wheel in the driver's seat of Leonard's vehicle ....". Mr. Stieman also states: "I heard their vehicle leave about 5 or 10 minutes after I came out of the store."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her Affidavit, Mildred Tenale states that she was working as a clerk in the gas bar and store on the day of the accident and that she is not related to either Mr. Johnny or Mr. Palmantier. She states that she "observed" the two men arriving at the gas bar and store and that Mr. Palmantier was driving the pickup, that they left at approximately 12:45 p.m. and that Mr. Palmantier was "... driving Leonard's pick-up truck .... They were headed towards the highway and the location where the accident happened". Ms. Tenale also states: "I have never seen Troy [Johnny] or anyone other than Leonard [Palmantier] drive Leonard's pick-up truck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her Affidavit, Maureen Harrison states that she is a Registered Nurse in the Emergency Room of the Cariboo Memorial Hospital in Williams Lake, she was on duty at the Hospital on the afternoon of June 9, 2001, she was involved in attending to Mr. Johnny, and Mr. Johnny was brought to the Hospital by ambulance and arrived at about 3:09 p.m. Ms. Harrison also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duties as a Registered Nurse include assessing patients' injuries when they are brought into the Emergency Room. In the case of a motor vehicle accident victim, I will typically ask several standard questions to help me determine the extent of the injuries suffered. For medical reasons only, I routinely ask a series of questions which would include the following:</w:t>
      </w:r>
    </w:p>
    <w:p>
      <w:pPr>
        <w:numPr>
          <w:numId w:val="1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position in the car were you sitting at the time of the accident?</w:t>
      </w:r>
    </w:p>
    <w:p>
      <w:pPr>
        <w:numPr>
          <w:numId w:val="1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Were you wearing a seatbelt?</w:t>
      </w:r>
    </w:p>
    <w:p>
      <w:pPr>
        <w:numPr>
          <w:numId w:val="1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Were you the driver of the vehicle?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June 9, 2001, I asked Mr. Johnny these questions as part of my assessment of his injuries. In response to my questions, he told me that he was the driver of the vehicle at the time of the accident. He also told me that he was not wearing a seatbelt at the time of the accident and that he was thrown out of the vehicle.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also asked Mr. Johnny several questions regarding how much alcohol he had consumed and whether he had been taking any drugs. The answers to these questions were also important for medical reasons because the consumption of alcohol and the use of drugs can aggravate certain injuries.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remember Mr. Johnny quite vividly because of the severity of his injuries. He was understandably quite verbal, agitated and angry. I made a note on the Emergency Record, which indicated that he was "verbalizing". This indicates that Mr. Johnny appeared conscious, alert and awake at the time that I was asking him the questions mentioned above.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While he was seriously injured, Mr. Johnny appeared to understand my questions and was able to respond coherently and appropriately. I have no reason to believe that his answers to my questions were untrue. The Critical Care Record indicates that Mr. Johnny's verbal response was orientated.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his Affidavit, Constable Deley, states that he was on duty at the R.C.M.P. detachment in Williams Lake on the day of the accident when he received "a complaint of a possible impaired driver eastbound on Highway 20 near Cotton Road. The names 'Palmantier' and 'Johnny' were mentioned. I headed west in an attempt to intercept the vehicle." Constable Deley states that he observed skid marks on the highway, that he stopped his vehicle, that he walked down the hill and came upon the accident scene. He states that Mr. Palmantier was sitting in front of the vehicle "yelling for help" and that he recognized Mr. Palmantier "... as I had previously dealt with him in another unrelated police investigation". Constable Deley states that Mr. Johnny was lying "... next to the Jeep on his left side". He states that he was advised by Mr. Palmantier that Mr. Palmantier had consumed four or five bottles of beer prior to the accident, but that he did not know "... the extent of Mr. Johnny's alcohol consumption."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Constable Deley also states in his Affidavit: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then asked Mr. Palmantier about the speed that the Jeep was travelling when it hit the ditch. Mr. Palmantier responded: "I was doing the speed limit." He then continued to complain of his injuries. I asked him about the ownership of the Jeep and he advised me that the Jeep belonged to "Jason Houde" and that Jason had lent it to him and Mr. Johnny. I then had the following exchange with Mr. Palmantier: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2614"/>
        <w:gridCol w:w="543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Constable Deley:</w:t>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you were driving?"</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Mr. Palmantier:</w:t>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5"/>
        <w:gridCol w:w="2398"/>
        <w:gridCol w:w="240"/>
        <w:gridCol w:w="5421"/>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35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Constable Deley:</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already told me you were driving the speed limit."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35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Mr. Palmantier:</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didn't understand. I meant we were driving the speed limit."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2614"/>
        <w:gridCol w:w="543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Constable Deley:</w:t>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then who was driving?"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5"/>
        <w:gridCol w:w="2398"/>
        <w:gridCol w:w="240"/>
        <w:gridCol w:w="5421"/>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35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Mr. Palmantier:</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"Troy was driving. We switched at Georgina's [Johnny's aunt] place."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Palmantier appeared to have no difficulty in answering my questions. I have no reason to believe that his answers to my questions were untrue.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EXAMINATIONS FOR DISCOVERY OF MESSRS. PALMANTIER AND JOHNNY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Palmantier was examined on May 23, 2003 and I.C.B.C. seeks to rely on a number of questions and answers to oppose the applications of Mr. Johnny. In his Examination for Discovery, Mr. Palmantier stated: "I don't recall if I was driving any vehicle", he did not recall being in a vehicle that day, he did not recall any of the day, he was told by another that he was passed out in the hallway of the home of the aunt of Mr. Johnny, he did not recall how much he drank the night before although he stated that it was: "apparently enough to pass out all day", he did not recall who was at the house the previous night, he did not remember stopping at the gas bar and store, it would not surprise him if some people stated that he was driving the vehicle that day, he did not recall whether he was drinking alcohol the morning of the accident, he had been having "blackouts since I was in my teens from alcohol", he did not recall speaking to the police on the day of the accident, Mr. Johnny has not spoken to him about who was driving or about the accident since the accident, he had no reason to disbelieve Mr. Johnny if he said that he was not driving the vehicle but that he would also say in that regard: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Well, actually maybe I would probably have a little dispute because I know over the years how many impaired charges that I had, that I can't drink and drive, I know that much.", and that he does not recall having told anybody that he was not driving the day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I.C.B.C. also seeks to rely on a number of questions and answers when Mr. Johnny was examined on July 30, 2004. At that Examination for Discovery, Mr. Johnny stated that he did not have a driver's licence at the time of the accident as it had been suspended when he was about 16 or 17 because he had been convicted of driving while his ability to do so was impaired by alcohol, he had hitchhiked into Williams Lake on the previous evening and had spent time at two bars drinking beer, he drank approximately five glasses of beer at each bar, he left the second bar and purchased beer and whiskey at the liquor store, he estimated that he had purchased perhaps as many as 48 bottles of beer at the liquor store, he was driven to his aunt's home, there were a number of people at his aunt's home, he drank beer and then the whiskey, he could only recall that there were three of them drinking that night, Mr. Palmantier and another arrived at the party bringing approximately 24 bottles of beer with them, when he finished drinking beer he started drinking the "hard stuff" and: "When I got into the hard stuff, I don't remember after that". Regarding the whiskey, Mr. Johnny stated that he: "drank quite a bit" of the "40-pounder" he purchased, he probably drank at least half of the bottle, he blacked out "Even before I got halfway through [what he consumed of the whiskey] ....", that his last memory of being at his aunt's house was "Just sitting around the table", and he observed Mr. Palmantier drinking beer but that he was not drinking any of the whiskey prior to when Mr. Johnny blacked out. Mr. Johnny also stated he smoked marijuana on the morning of the accident but was not sure how much he had smoked: "Probably just a couple of joints ....", but he did not smoke any marijuana the previous evening. Mr. Johnny described his relationship with Mr. Palmantier as being "close friends".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 can not be satisfied that it is manifestly clear that there is no bona fide triable issue. In order to establish that Mr. Palmantier is liable for the injuries suffered by Mr. Johnny, Mr. Johnny will have to prove that Mr. Palmantier was the driver of the vehicle that day. Even with the recent affidavit of Mr. Palmantier in this regard, I can not be satisfied that Mr. Johnny will be successful proving the liability of Mr. Palmantier. At the same time, I am not satisfied that the position advanced by counsel for Mr. Johnny that I.C.B.C. is not an adverse party to Mr. Palmantier so that they would not be in a position to seek to impeach the evidence of Mr. Palmantier that he was the driver of the vehicle is bound to succeed.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 also find that I am not in a position to find the facts necessary to decide the primary issue of fact, being whether Mr. Johnny was the driver of the vehicle or was a passenger in the vehicle. I am satisfied that the evidence presented to date is in such sufficient conflict that it will be necessary for a trial judge to hear viva voce evidence regarding the facts which will have to be found to establish the question of liability. To resolve the present conflicts, the trial judge may well be assisted by evidence relating to how much Messrs. Johnny and Palmantier had to drink the night before and the day of the accident, the driving record of Mr. Palmantier and whether this would have affected his decision about whether he or Mr. Johnny should be driving the vehicle that day, whether Mr. Palmantier would allow others to drive his vehicle and by viva voce evidence to deal with the conflicts between the evidence of what Mr. Palmantier now says, what Palmantier said at his Discovery, what Constable Deley says Mr. Palmantier said at the accident scene, what Ms. Harrison reports Mr. Johnny as saying, what Constable Meaver reports Mr. Johnny as saying at the accident scene, and what Mr. Johnny stated at his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Even assuming that the question of whether Mr. Johnny was the driver or not was clear and could be decided on these applications, I am satisfied that it would be unjust to do so. First, Mr. Johnny has suffered catastrophic injuries and, because of the potential economic effect of determining that Mr. Johnny was the driver, that question should not be determined unless the evidence in that regard is overwhelming. The trial judge should be allowed to assess the testimony of the witnesses regarding the question of liability. Second, if the finding is made that Mr. Johnny was the passenger, the question of whether there was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because Mr. Palmantier had been consuming alcohol and Mr. Johnny was not wearing his seatbelt is best dealt with at a trial dealing with liability. Many of the witnesses required for an assessment of whether there was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will be the same witnesses who would be called at a trial dealing with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 question of liability will be referred to the Trial List along with the question of whether, if Mr. Johnny was the passenger,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contributed to causing the injuries that were suffered in the accident. The question of the role of I.C.B.C. at the Trial should be determined either by the Trial Judge or in a pre-Trial application for directions. The question of the costs available for these applications will be in the discretion of the Trial Judge. By consent of counsel, the issues of liability and the quantum of damages will be split for the purposes of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BURNYEAT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12" style="position:absolute;z-index:25189171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85"/>
          <w:headerReference w:type="default" r:id="rId686"/>
          <w:footerReference w:type="even" r:id="rId687"/>
          <w:footerReference w:type="default" r:id="rId688"/>
          <w:headerReference w:type="first" r:id="rId689"/>
          <w:footerReference w:type="first" r:id="rId69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91" w:history="1">
        <w:r>
          <w:rPr>
            <w:rFonts w:ascii="arial" w:eastAsia="arial" w:hAnsi="arial" w:cs="arial"/>
            <w:b/>
            <w:bCs/>
            <w:i/>
            <w:color w:val="0077CC"/>
            <w:kern w:val="32"/>
            <w:sz w:val="28"/>
            <w:szCs w:val="32"/>
            <w:u w:val="single"/>
            <w:shd w:val="clear" w:color="auto" w:fill="FFFFFF"/>
            <w:lang w:val="en-US" w:eastAsia="en-US" w:bidi="ar-SA"/>
          </w:rPr>
          <w:t>K.F. Evans Ltd. v. Canada (Attorney General), [2002] B.C.J. No. 2764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Pitfield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16 - 19,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10,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C993850</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[2002] B.C.J. No. 2764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2002 BCSC 1709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118 A.C.W.S. (3d) 584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K.F. Evans Ltd., plaintiff, and The Attorney General of Canada and Andre Ouellet,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13" style="position:absolute;z-index:2516981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54" w:name="Keywords_36"/>
      <w:bookmarkEnd w:id="254"/>
      <w:r>
        <w:rPr>
          <w:rFonts w:ascii="arial" w:eastAsia="arial" w:hAnsi="arial" w:cs="arial"/>
          <w:b/>
          <w:color w:val="000000"/>
          <w:sz w:val="20"/>
          <w:lang w:val="en-US" w:eastAsia="en-US" w:bidi="ar-SA"/>
        </w:rPr>
        <w:t xml:space="preserve">Crown — Authority of Ministers, exercise of — Torts by and against Crown — Abuse of power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by Crown — Issuance of permits.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55" w:name="Case Summary_34"/>
            <w:bookmarkEnd w:id="25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KF Evans against Ouellet, the former Minister of Foreign Affairs, for damages based on abuse of public office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Evans wanted to ship raw logs to the United States. It had to apply for a permit to ship the logs, pursuant to the Export and Import Permits Act. Ouellet refused to issue the permit because British Columbia refused to approve the export. Evans claimed that the Minister acted unlawfully when he relied upon provincial considerations.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56" w:name="Holdings of Court_27"/>
            <w:bookmarkEnd w:id="256"/>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It was within the discretion of the Minister to decide whether or not there was any need to restrict the export of any article in order to ensure adequate supply and distribution of that article in Canada. The cause of the concern, whether provincial, national or federal, was not relevant. The Minister was entitled to refuse to issue the permit because of the need to protect Canadian natural resources. He did not act negligently when he considered provincial needs. He did not owe a duty of care to Evans when he identified or settled upon the factors that would be taken into account in the exercise of his discretion under the Act. It was also not appropriate to impose a duty where the Minister acted reasonably and in good faith.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57" w:name="Legislation Cited_29"/>
      <w:bookmarkEnd w:id="25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14" style="position:absolute;z-index:2517493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Export and Import Permits Act, </w:t>
      </w:r>
      <w:hyperlink r:id="rId692" w:history="1">
        <w:r>
          <w:rPr>
            <w:rFonts w:ascii="arial" w:eastAsia="arial" w:hAnsi="arial" w:cs="arial"/>
            <w:i/>
            <w:color w:val="0077CC"/>
            <w:sz w:val="20"/>
            <w:u w:val="single"/>
            <w:shd w:val="clear" w:color="auto" w:fill="FFFFFF"/>
            <w:lang w:val="en-US" w:eastAsia="en-US" w:bidi="ar-SA"/>
          </w:rPr>
          <w:t>R.S.C. 1985, c. E-19, ss. 3</w:t>
        </w:r>
      </w:hyperlink>
      <w:r>
        <w:rPr>
          <w:rFonts w:ascii="arial" w:eastAsia="arial" w:hAnsi="arial" w:cs="arial"/>
          <w:color w:val="000000"/>
          <w:sz w:val="20"/>
          <w:lang w:val="en-US" w:eastAsia="en-US" w:bidi="ar-SA"/>
        </w:rPr>
        <w:t>, 3(a), 3(b), 3(c), 3(c.1), 3(d), 3(e), 3(f), 7, 7(1).</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Export and Import Permits Act, S.C. 1947, c. 17, ss. 3, 5.</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Export and Import Permits Act, S.C. 1953-54, c. 27, s. 3.</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Forest Act, R.S.B.C.  1979, c. 140, s. 135.</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Timber Manufacture Act, 1906, S.B.C. 1906, c. 42, s. 2.</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58" w:name="Counsel_38"/>
      <w:bookmarkEnd w:id="258"/>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15" style="position:absolute;z-index:2518005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David P. Church and Ian G. Schildt, for the plaintiff. Jack Wright and Maria Molloy, for the defendants.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59" w:name="Judgment_38"/>
      <w:bookmarkEnd w:id="259"/>
      <w:r>
        <w:pict>
          <v:line id="_x0000_s1216" style="position:absolute;z-index:25184972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60" w:name="PITFIELD J."/>
            <w:bookmarkEnd w:id="260"/>
            <w:r>
              <w:rPr>
                <w:rFonts w:ascii="arial" w:eastAsia="arial" w:hAnsi="arial" w:cs="arial"/>
                <w:b/>
                <w:color w:val="000000"/>
                <w:sz w:val="30"/>
                <w:lang w:val="en-US" w:eastAsia="en-US" w:bidi="ar-SA"/>
              </w:rPr>
              <w:t>PITFIELD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K.F. Evans Ltd. claims damages from the federal Crown as represented by Mr. Andre Ouellet, a former Minister of Foreign Affairs. Evans says the Minister abused his public office or was negligent when he refused to issue permits under the Export and Import Permits Act, </w:t>
      </w:r>
      <w:hyperlink r:id="rId693" w:history="1">
        <w:r>
          <w:rPr>
            <w:rFonts w:ascii="arial" w:eastAsia="arial" w:hAnsi="arial" w:cs="arial"/>
            <w:i/>
            <w:color w:val="0077CC"/>
            <w:sz w:val="20"/>
            <w:u w:val="single"/>
            <w:shd w:val="clear" w:color="auto" w:fill="FFFFFF"/>
            <w:lang w:val="en-US" w:eastAsia="en-US" w:bidi="ar-SA"/>
          </w:rPr>
          <w:t>R.S.C. 1985, c. E-19</w:t>
        </w:r>
      </w:hyperlink>
      <w:r>
        <w:rPr>
          <w:rFonts w:ascii="arial" w:eastAsia="arial" w:hAnsi="arial" w:cs="arial"/>
          <w:color w:val="000000"/>
          <w:sz w:val="20"/>
          <w:lang w:val="en-US" w:eastAsia="en-US" w:bidi="ar-SA"/>
        </w:rPr>
        <w:t xml:space="preserve"> ("EIPA") allowing it to export raw logs from British Columbia to the United States. Damages are claimed in an amount equal to the difference between the price a foreign purchaser had agreed to pay for the logs and the price that was received by Evans upon sale of the logs in the Canadian domestic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parties have agreed that the issue of liability should be determined on this Rule 18A application. In the event the Crown is held liable, damages will be assessed.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support of its claim of abuse of public office, Evans says the Minister acted unlawfully when he denied approval of the permits solely because provincial authorities claimed there was a need for the logs in the British Columbia domestic market; knew or was recklessly indifferent to the fact that he was acting outside of his statutory authority; and was aware that Evans would suffer damages as a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Attorney General says that the Minister did not act unlawfully and, in any event, acted without malice or recklessness, one or the other of which is an essential element of the tort of abuse of public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In relation to the claim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Evans says the Minister owed a duty to use reasonable care in ascertaining whether there was any proper basis to refuse its applications for export permits; the Minister acted negligently in denying its applications in circumstances where he ought to have known that there was no proper statutory basis for such denial; and it suffered damages as a result of the breach.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Attorney General of Canada claims that no duty of care should be imposed upon the Minister in relation to the exercise of a delegated discretion which results in a policy, as opposed to operational,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Factual Basis for the Claims in Tort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background to the claims and the facts as I find them are the following.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EIPA authorizes the Governor in Council to prescribe a list, called the Export Control List, designating products that cannot be exported from Canada without a permit. In 1995, ss. 3 and 7 of EIPA provided as follows:</w:t>
      </w:r>
      <w:r>
        <w:rPr>
          <w:rFonts w:ascii="arial" w:eastAsia="arial" w:hAnsi="arial" w:cs="arial"/>
          <w:sz w:val="20"/>
          <w:lang w:val="en-US" w:eastAsia="en-US" w:bidi="ar-SA"/>
        </w:rPr>
        <w:cr/>
      </w:r>
    </w:p>
    <w:p>
      <w:pPr>
        <w:numPr>
          <w:numId w:val="1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Governor in Council may establish a list of goods, to be called an Export Control List, including therein any article the export of which the Governor in Council deems it necessary to control for any of the following purposes: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ensure that arms, ammunition, implements or munitions of war, naval, army or air stores or any articles deemed capable of being converted thereinto or made useful in the production thereof or otherwise having a strategic nature or value will not be made available to any destination where their use might be detrimental to the security of Canada;</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ensure that any action taken to promote the further processing in Canada of a natural resource that is produced in Canada is not rendered ineffective by reason of the unrestricted exportation of that natural resource;</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limit or keep under surveillance the export of any raw or processed material that is produced in Canada in circumstances of surplus supply and depressed prices and that is not a product of agriculture;</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to restrict, for the purpose of supporting the enforcement of the Softwood Lumber Products Export Charge Act, the export of softwood lumber products set out in Part II of the schedule to that Act;</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implement an intergovernmental arrangement or commitment; or</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ensure that there is an adequate supply and distribution of the article in Canada for defence or other needs.</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subsection (2), the Minister may issue to any resident of Canada applying therefor a permit to export goods included in an Export Control List or goods to a country included in an Area Control List, in such quantity and of such quality, by such persons, to such places or persons and subject to such other terms and conditions as are described in the permit or in the regulations.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Raw logs are an item on the Export Control List. In February and April 1995, Evans applied for permits to export logs at a sale price of $6,665,080. The Minister, who is responsible for the exercise of the discretion conferred by s. 7, advised he would not issue permits if the Province of British Columbia did not approve the export by issuing provincial export permits. The corollary was also true. Federal permits would be issued if the Province issued permits.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Provincial control over the export of logs harvested from certain lands is derived from s. 135 of the Forest Act, R.S.B.C. 1979, c. 140, providing as follows:</w:t>
      </w:r>
      <w:r>
        <w:rPr>
          <w:rFonts w:ascii="arial" w:eastAsia="arial" w:hAnsi="arial" w:cs="arial"/>
          <w:sz w:val="20"/>
          <w:lang w:val="en-US" w:eastAsia="en-US" w:bidi="ar-SA"/>
        </w:rPr>
        <w:cr/>
      </w:r>
    </w:p>
    <w:p>
      <w:pPr>
        <w:numPr>
          <w:numId w:val="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Unless exempted under this Part, timber that is harvested from Crown land, from land granted by the Crown after March 12, 1906 or from land granted by the Crown on or before March 12, 1906 in a tree farm licence area, and wood residue produced from the timber, shall be</w:t>
      </w:r>
    </w:p>
    <w:p>
      <w:pPr>
        <w:numPr>
          <w:numId w:val="1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used in the Province; or</w:t>
      </w:r>
    </w:p>
    <w:p>
      <w:pPr>
        <w:numPr>
          <w:numId w:val="1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manufactured in the Province into</w:t>
      </w:r>
    </w:p>
    <w:p>
      <w:pPr>
        <w:numPr>
          <w:numId w:val="1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lumber;</w:t>
      </w:r>
    </w:p>
    <w:p>
      <w:pPr>
        <w:numPr>
          <w:numId w:val="1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sawn wood products, other than lumber, manufactured to an extent required by the minister;</w:t>
      </w:r>
    </w:p>
    <w:p>
      <w:pPr>
        <w:numPr>
          <w:numId w:val="1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shingles or fully manufactured shakes;</w:t>
      </w:r>
    </w:p>
    <w:p>
      <w:pPr>
        <w:numPr>
          <w:numId w:val="1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veneer, plywood or other wood-based panel products;</w:t>
      </w:r>
    </w:p>
    <w:p>
      <w:pPr>
        <w:numPr>
          <w:numId w:val="1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pulp, newsprint or paper;</w:t>
      </w:r>
    </w:p>
    <w:p>
      <w:pPr>
        <w:numPr>
          <w:numId w:val="1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peeled poles and piles having top diameters less than 28 cm and fence posts;</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Christmas trees; or</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sticks and timbers having diameters less than 15 cm, ties and mining timbers.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provincial concern with respect to the export of logs was first enunciated in the Timber Manufacture Act, 1906, S.B.C. 1906, c. 42. Section 2 provided as follows:</w:t>
      </w:r>
      <w:r>
        <w:rPr>
          <w:rFonts w:ascii="arial" w:eastAsia="arial" w:hAnsi="arial" w:cs="arial"/>
          <w:sz w:val="20"/>
          <w:lang w:val="en-US" w:eastAsia="en-US" w:bidi="ar-SA"/>
        </w:rPr>
        <w:cr/>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 timber cut on ungranted lands of Crown, or on lands of the Crown which shall hereafter be granted, shall be used in this Province, to be manufactured in this Province into boards, deal, joists, lath, shingles, or other sawn lumber.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fact that Royal assent was granted to that legislation on March 12, 1906 probably explains the March 12, 1906 reference in s. 135 of the Forest Act, R.S.B.C. 1979, c. 140.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order to implement the policy reflected in s. 135 of the Forest Act, the Minister of Forests established a committee known as the Timber Export Advisory Committee ("TEAC"). The Minister of Forests acts on the recommendations of TEAC when deciding whether or not to permit the export of timber harvested from provincial Crown land, provincial Crown lands granted to the holder after March 12, 1906, or land granted in a tree farm licence area before May 12, 1906.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At the time the Evans applications were under consideration, the federal practice was to rely on the TEAC assessment of provincial need and to issue or refuse a permit based upon TEAC's recommendation. In this case, the Province refused to issue permits. The Minister did likewise. In denying the permits, the only factor the Minister took into account was the provincial assessment of provincial need.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Evans was aware of the ministerial policy requiring provincial approval of the export of logs harvested from private lands in British Columbia even though the Province had no jurisdiction over such logs under the Forest Act. In fact, Evans's conduct in relation to the applications was designed to challenge the validity of the policy which, according to the Minister, was intended to be mindful of provincial interests.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Following the Minister's determination not to issue a permit, Evans applied to the Federal Court of Canada Trial Division for an order quashing the decision, requiring the export permit applications to be reconsidered pursuant to directions given by that court, and prohibiting the Minister from requiring British Columbia applicants to obtain provincial approval for the export of logs harvested from private lands. The Federal Court allowed the application and quashed the Minister's decision on the basis that the Minister had abdicated his decision-making power by making the grant of a federal permit dependent upon a provincial decision: see K.F. Evans Ltd. v. Canada (Minister of Foreign Affairs), </w:t>
      </w:r>
      <w:hyperlink r:id="rId694" w:history="1">
        <w:r>
          <w:rPr>
            <w:rFonts w:ascii="arial" w:eastAsia="arial" w:hAnsi="arial" w:cs="arial"/>
            <w:i/>
            <w:color w:val="0077CC"/>
            <w:sz w:val="20"/>
            <w:u w:val="single"/>
            <w:shd w:val="clear" w:color="auto" w:fill="FFFFFF"/>
            <w:lang w:val="en-US" w:eastAsia="en-US" w:bidi="ar-SA"/>
          </w:rPr>
          <w:t>[1997] 1 F.C. 405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ruling as she did, Reed J. said the following at para. 26: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Neither the Minister nor his delegates made an independent decision on the merits of the applicant's applications. Documents describing the role of the [provincial] process, prior to the present challenge to that process, demonstrate that its role was treated as determinative of whether to grant or to refuse and export permit.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At para. 32, Reed J. said the following of the discretion conferred on the Minister by s. 3(e) of EIPA: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[in Teal Cedar Products (1977) Ltd., infra] held that "other needs" could refer to needs other than defence. While this is clearly so, phrases such as "for...other needs", when used as those words are used in paragraph 3(e), must be interpreted in accordance with the ejusdem generis rule of construction. The words "other needs" are not synonymous with "for any other purpose". As I read the words of paragraph 3(e), "other needs" must at least have a national or federal character and there must be a "need". I have difficulty accepting that the existence of a provincial policy, simpliciter, falls within the wording "defence or other needs". In any event, I do not have to decide this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Reed J. ordered the Minister to reconsider the applications in accordance with her reasons. The Attorney General appealed to the Federal Court of Appeal which held that the appeal was moot because Evans had already sold the logs that were the subject of its original applications in the domestic market. In reasons at </w:t>
      </w:r>
      <w:hyperlink r:id="rId695" w:history="1">
        <w:r>
          <w:rPr>
            <w:rFonts w:ascii="arial" w:eastAsia="arial" w:hAnsi="arial" w:cs="arial"/>
            <w:i/>
            <w:color w:val="0077CC"/>
            <w:sz w:val="20"/>
            <w:u w:val="single"/>
            <w:shd w:val="clear" w:color="auto" w:fill="FFFFFF"/>
            <w:lang w:val="en-US" w:eastAsia="en-US" w:bidi="ar-SA"/>
          </w:rPr>
          <w:t>[1998] F.C.J. No. 141</w:t>
        </w:r>
      </w:hyperlink>
      <w:r>
        <w:rPr>
          <w:rFonts w:ascii="arial" w:eastAsia="arial" w:hAnsi="arial" w:cs="arial"/>
          <w:color w:val="000000"/>
          <w:sz w:val="20"/>
          <w:lang w:val="en-US" w:eastAsia="en-US" w:bidi="ar-SA"/>
        </w:rPr>
        <w:t>, Strayer J. described the situation in the following terms at para. 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After the Trial Division judge by that decision quashed the Minister's refusal of the export permits, this appeal was launched. The appellant did not, however, seek a stay of the trial judge's order and proceeded to a "reconsideration" of his original refusals as required by that order. It is not in dispute that, some 18 months having elapsed since the original export permit applications were submitted, the particular logs covered by them had by that time been sold domestically as they were in danger of deterioration. Some modifications of the reconsidered applications were therefore made in respect to the particulars of the logs to be exported. In February 1997, the appellant after reconsideration granted export permits to the respondent in respect of the same quantity of logs as originally applied for but not, of course, in respect of the same logs.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On July 23, 1999, Evans commenced this action claiming damages as a consequence of the Minister's refusal to issue permits in response to the applications that were the subject of the Federal Court of Canada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Intentional Tort of Abuse of Public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 intentional tort of abuse of public office was described by Newbury J.A. in Powder Mountain Resorts Ltd. v. British Columbia, </w:t>
      </w:r>
      <w:hyperlink r:id="rId696" w:history="1">
        <w:r>
          <w:rPr>
            <w:rFonts w:ascii="arial" w:eastAsia="arial" w:hAnsi="arial" w:cs="arial"/>
            <w:i/>
            <w:color w:val="0077CC"/>
            <w:sz w:val="20"/>
            <w:u w:val="single"/>
            <w:shd w:val="clear" w:color="auto" w:fill="FFFFFF"/>
            <w:lang w:val="en-US" w:eastAsia="en-US" w:bidi="ar-SA"/>
          </w:rPr>
          <w:t>[2001] B.C.J. No. 619</w:t>
        </w:r>
      </w:hyperlink>
      <w:r>
        <w:rPr>
          <w:rFonts w:ascii="arial" w:eastAsia="arial" w:hAnsi="arial" w:cs="arial"/>
          <w:color w:val="000000"/>
          <w:sz w:val="20"/>
          <w:lang w:val="en-US" w:eastAsia="en-US" w:bidi="ar-SA"/>
        </w:rPr>
        <w:t xml:space="preserve">, </w:t>
      </w:r>
      <w:hyperlink r:id="rId697" w:history="1">
        <w:r>
          <w:rPr>
            <w:rFonts w:ascii="arial" w:eastAsia="arial" w:hAnsi="arial" w:cs="arial"/>
            <w:i/>
            <w:color w:val="0077CC"/>
            <w:sz w:val="20"/>
            <w:u w:val="single"/>
            <w:shd w:val="clear" w:color="auto" w:fill="FFFFFF"/>
            <w:lang w:val="en-US" w:eastAsia="en-US" w:bidi="ar-SA"/>
          </w:rPr>
          <w:t>2001 BCCA 619</w:t>
        </w:r>
      </w:hyperlink>
      <w:r>
        <w:rPr>
          <w:rFonts w:ascii="arial" w:eastAsia="arial" w:hAnsi="arial" w:cs="arial"/>
          <w:color w:val="000000"/>
          <w:sz w:val="20"/>
          <w:lang w:val="en-US" w:eastAsia="en-US" w:bidi="ar-SA"/>
        </w:rPr>
        <w:t>, para. 7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Absent some ruling to the contrary by Supreme Court of Canada, it may, I think, now be accepted that the tort of abuse of public office will be made out in Canada where a public official is shown either to have exercised power for the specific purpose of injuring the plaintiff (i.e., to have acted in "bad faith in the sense of the exercise of public power for an improper or ulterior motive") or to have acted "unlawfully with a mind of reckless indifference to the illegality of his act" and to the probability of injury to the plaintiff. (See Lord Steyn in Three Rivers at 8.) Thus there remains what in theory at least is a clear line between this tort on the one hand, and what on the other hand may be called negligent excess of power - i.e., an act committed without knowledge of (or subjective recklessness as to) its unlawfulness and the probable consequences for the plaintiff. The actionability of such conduct, based on "recklessness...used in an objective sense" was rejected by their Lordships in Three Rivers (see Lord Steyn at 9-10; Lord Hutton at 37-39; Lord Hobhouse at 44; and Lord Millett at 49), and has been rejected as well by the High Court of Australia (see Northern Territory of Australia v. Mengel (1995) 185 C.L.R. 307), and the Court of Appeal of New Zealand (see Garrett v. Attorney General [1997] 2 N.Z.L.R. 332). Perhaps the opinion of Lord Millett in Three Rivers sums up most succinctly the elements of the two branches of the tort: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...If the plaintiff can establish the official's subjective intention to exercise the power of his office in order to cause him injury, he does not need to establish that the official exceeded the terms of the powers conferred upon him. If, on the other hand, the plaintiff can establish that the official appreciated that he was acting in excess of the powers conferred upon him and that his conduct would cause injury to the plaintiff, the inference that he acted dishonestly or for an improper purpose will be exceedingly difficult and usually impossible to rebut. Moreover..., the consequences of his actions will usually be obvious enough to the official concerned, who can then be taken to have intended the damage he caused. I also agree...that intention includes subjective recklessness, that is to say...'a conscious disregard for the interests of those who will be affected by' the exercise of the power [at 49].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Earlier in her reasons, Newbury J.A. referred to the fact that the House of Lords had "expanded, or confirmed the expansion of, the circumstances in which breach of public office may be found" in Three Rivers District Council v. Bank of England (No. 3), [2000] H.L.J. No. 32, [2000] 3 All E.R. 1, confirming the Court of Appeal decision reported at [2000] 2 W.L.R. 15, which in turn affirmed the trial judgment reported at [1996] 3 All E.R. 558 (Q.B.).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Evans does not assert that the Minister committed the intentional tort of abuse of public office by improperly fettering his discretion or delegating his decision-making power to the British Columbia Minister of Forests. Rather, its claim is based solely on the assertion that the words "other needs" in s. 3(e) mean needs with a federal or national character and do not encompass provincial needs. Evans claims the concerns of the Province should have no bearing on the federal Minister's decision to issue a permit. That being the case, the Minister acted unlawfully when refusing to issue a permit to export logs.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Attorney General of Canada responds saying that the question whether the Minister fettered his discretion or abdicated his decision-making responsibility to the Province was not resolved by the Federal Court of Appeal and so remains an open question. In submissions before me, counsel for the Attorney General did not address the question whether 'other needs' must have a federal or national character.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Nature of the Ministerial Discretion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The starting point in deciding whether Evans has proved the intentional tort of abuse of public office or the tort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must be an examination of the nature of the discretion given the Minister under s. 7 of EIPA.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export of logs from Canada was first restricted as part of the war effort by Order in Council made June 24, 1940 pursuant to the Department of Munitions and Supply Act. The Order in Council conferred on a person described as the "Timber Controller", subject to the approval of the Minister of Munitions and Supply, the power to fix or limit, from time to time, the quantities of any timber which could be sold or distributed by or to any person, firm or corporation within prescribed periods of time for purposes other than fuel, and to prohibit sale or distribution in excess of the quantifies so fixed or limited.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policy in relation to the sale of timber was enhanced by another Order in Council that prohibited the export of Canada Douglas Fir saw-logs without a permit from the Minister of National Revenue and an Order in Council under the Customs Act that prohibited the export of all products to certain destinations.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EIPA was enacted as a replacement to the wartime restrictions and given Royal Assent on May 14, 1947 (S.C. 1947, c. 17). Sections 3 and 5 then provided as follows:</w:t>
      </w:r>
      <w:r>
        <w:rPr>
          <w:rFonts w:ascii="arial" w:eastAsia="arial" w:hAnsi="arial" w:cs="arial"/>
          <w:sz w:val="20"/>
          <w:lang w:val="en-US" w:eastAsia="en-US" w:bidi="ar-SA"/>
        </w:rPr>
        <w:cr/>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list of goods to which section five of this Act shall apply may be established by order of the Governor in Council which order shall be published in the Canada Gazette within fifteen days after the passing of such order, and such list may be amended by the Governor in Council by order so published: Provided that no article other than arms, munitions, war materials or supplies, shall be included in such list unless the Governor in Council is satisfied that, in order to ensure an adequate supply and distribution in Canada of such article or any component or material used in the production thereof or in order to implement an intergovernmental arrangement or commitment it is necessary to regulate or control the export of such article.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No person shall export or attempt to export from Canada any goods included in a list established pursuant to section three of this Act except under the authority of and in accordance with a permit issued under this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Section 3 of EIPA was amended by S.C. 1953-54, c. 27 to provide as follows:</w:t>
      </w:r>
      <w:r>
        <w:rPr>
          <w:rFonts w:ascii="arial" w:eastAsia="arial" w:hAnsi="arial" w:cs="arial"/>
          <w:sz w:val="20"/>
          <w:lang w:val="en-US" w:eastAsia="en-US" w:bidi="ar-SA"/>
        </w:rPr>
        <w:cr/>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Governor in Council may establish a list of goods, to be called an Export Control List, including therein any article the export of which he deems it necessary to control for any of the following purposes, namely,</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ensure that arms, ammunition, implements or munitions of war, naval, army or air stores or any articles deemed capable of being converted thereinto or made useful in the production thereof or otherwise having a strategic nature or value will not be made available to any destination wherein their use might be detrimental to the security of Canada;</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implement an intergovernmental arrangement or commitment; or</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ensure that there is an adequate supply and distribution of such article in Canada for defence or other needs.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EIPA was further amended in 1974 to add what are now ss. 3(a) and (b) and in 1987, to add s. 3(c.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Finally, in 1999, s. 3(c. 1) was repealed and paragraph (f) was added as follows:</w:t>
      </w:r>
      <w:r>
        <w:rPr>
          <w:rFonts w:ascii="arial" w:eastAsia="arial" w:hAnsi="arial" w:cs="arial"/>
          <w:sz w:val="20"/>
          <w:lang w:val="en-US" w:eastAsia="en-US" w:bidi="ar-SA"/>
        </w:rPr>
        <w:cr/>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ensure the orderly export marketing of any goods that are subject to a limitation imposed by any country or customs territory on the quantity of the goods that, on importation into that country or customs territory in any given period, is eligible for the benefit provided for goods imported within that limitation.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Following the enactment of EIPA in 1947, the Governor in Council established a list of goods to which s. 5 would apply. Included in the list were cedar logs and Douglas Fir saw-logs. The Order in Council remained in force until 1989 when it was revoked and re-established pursuant to s. 3 of EIPA as it read in 1987. Included in the newly prescribed list were logs of all species of wood intended for any destination outside Canada. The list was established pursuant to s. 3 of EIPA generally. The Order did not specify that any product was being added to the list because of any specific provision in ss. 3(a) through (e). In fact, whenever an Export Control List has been revoked and another prescribed by Order in Council, reference has been made to s. 3 generally without reference to control being deemed necessary because of any specific purpose described in any of paragraphs (a) through (e).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Once an article is added to the Export Control List, control over export is not limited by the application of any specific condition enumerated in s. 3. Section 7 authorizes the Minister to exercise his or her discretion and to decide whether, by virtue of any or all of the factors, a permit should be issued.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On the evidence in this case, I find that the Minister concluded the only relevant portion of s. 3 was paragraph (e) directed at ensuring that there was an adequate supply and distribution of logs in Canada for defence or other needs. That said, I see no reason why, upon receipt of an application for an export permit, the Minister could not have considered any other applicable purpose, such as that in paragraph 3(b), when exercising his discretion.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Evans claims that the words "other needs" in the phrase "defence or other needs" in s. 3(e) cannot include a provincial purpose, pointing to the reasons of Reed J., in the Federal Court decision in this matter in support of its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her reasons, Reed J. expressed the view that the phrase "for other needs" should be interpreted in accordance with the ejusdem generis rule of construction and observed that the phrase was not synonymous with "for any other purpose". In that regard, I repeat the material portion of her reasons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...phrases such as "for ... other needs", when used as those words are used in paragraph 3(e), must be interpreted in accordance with the ejusdem generis rule of construction. The words "other needs" are not synonymous with "for any other purpose". As I read the words of paragraph 3(e) "other needs" must at least have a national or federal character and there must be a "need". I have difficulty accepting that the existence of a provincial policy simpliciter, falls within the wording "defence or other needs". In any event I do not have to decide this issue.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An interpretation of the meaning of the phrase "defence or other needs" was not required in order to compel reconsideration of the Evans applications by the Minister. While stating her inclination in relation to the meaning of the phrase, Reed J. was careful to say she did not have to decide the point. It follows that I am not constrained by the Federal Court of Canada Trial Division decision on the meaning of the phrase. With respect, it is my opinion that the phrase should not be given the narrow meaning proposed by Reed 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In my opinion, the use of the word "defence" in conjunction with "other needs" does not readily permit the application of the ejusdem generis doctrine of construction. The rule of construction was described by LaForest J. in National Bank of Greece (Canada) v. Katsikonouris </w:t>
      </w:r>
      <w:r>
        <w:rPr>
          <w:rFonts w:ascii="arial" w:eastAsia="arial" w:hAnsi="arial" w:cs="arial"/>
          <w:i/>
          <w:color w:val="000000"/>
          <w:sz w:val="20"/>
          <w:lang w:val="en-US" w:eastAsia="en-US" w:bidi="ar-SA"/>
        </w:rPr>
        <w:t>(1990), 74 D.L.R. (4th) 197</w:t>
      </w:r>
      <w:r>
        <w:rPr>
          <w:rFonts w:ascii="arial" w:eastAsia="arial" w:hAnsi="arial" w:cs="arial"/>
          <w:color w:val="000000"/>
          <w:sz w:val="20"/>
          <w:lang w:val="en-US" w:eastAsia="en-US" w:bidi="ar-SA"/>
        </w:rPr>
        <w:t xml:space="preserve"> (S.C.C.) at 203: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Whatever the particular document one is construing, when one finds a clause that sets out a list of specific words followed by a general term, it will normally be appropriate to limit the general term to the genus of the narrow enumeration that precedes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In Teal Cedar Products (1977) Ltd. v. Canada, </w:t>
      </w:r>
      <w:hyperlink r:id="rId698" w:history="1">
        <w:r>
          <w:rPr>
            <w:rFonts w:ascii="arial" w:eastAsia="arial" w:hAnsi="arial" w:cs="arial"/>
            <w:i/>
            <w:color w:val="0077CC"/>
            <w:sz w:val="20"/>
            <w:u w:val="single"/>
            <w:shd w:val="clear" w:color="auto" w:fill="FFFFFF"/>
            <w:lang w:val="en-US" w:eastAsia="en-US" w:bidi="ar-SA"/>
          </w:rPr>
          <w:t>[1989] 2 F.C. 158</w:t>
        </w:r>
      </w:hyperlink>
      <w:r>
        <w:rPr>
          <w:rFonts w:ascii="arial" w:eastAsia="arial" w:hAnsi="arial" w:cs="arial"/>
          <w:color w:val="000000"/>
          <w:sz w:val="20"/>
          <w:lang w:val="en-US" w:eastAsia="en-US" w:bidi="ar-SA"/>
        </w:rPr>
        <w:t>, the Federal Court of Appeal considered the claim that the Governor in Council acted unlawfully when relying on s. 3(c), now s. 3 (e), to add red cedar boards to the Export Control List "in order to ensure that there is an adequate supply and distribution of red cedar materials and products in Canada for the manufacture of shakes and shingles". The company claimed that the purpose was unrelated to defence and therefore the addition of red cedar boards to the list was not authorized by EIPA. Of the trial judge's opinion that the ejusdem generis principle should be applied in the interpretation of s. 3(c), Strayer J. said the following at p. 168: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may say immediately that this interpretation of paragraph [3(e)] of the Act appears to me to be wrong. The words "other needs" in that paragraph clearly mean what they say, namely, needs other than those related to defence. I do not see any reason to restrict the normal meaning of those words in the manner suggested. I am of the opinion, therefore, that it cannot be seriously argued that the Governor in Council, in making the Order in Council in question, acted on a wrong interpretation of the statute.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At issue in Teal Cedar was the validity of the Order in Council adding red cedar boards to the Export Control List. That is not the focus of the challenge by Evans in this case, concerned as it is with permits rather than the validity of an Order in Council. Strayer J. addressed the argument that an "other need" was one related to defence and was not faced with the argument that an "other need" must have a federal or national character. Nevertheless, I see no reason to depart from the conclusion that there is no relationship between the word "defence" and the words "other needs" in s. 3(e).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word "defence" stands on its own. It is not a word in a list. It is not described as having a federal or national character although it is of such a character. In my opinion, it is not appropriate to rely on the ejusdem generis doctrine to say that "other needs" may only be those that possess one attribute of a single word and therefore must mean needs with a national or federal character. The meaning of "other needs" is not restricted in any manner by its disjunctive juxtaposition with the word "defence". Had Parliament intended a need to have a federal or national character, it could easily have said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Furthermore, nothing in the text of s. 3 suggests that the Export Control List was created to support matters of federal or national character without reference to provincial need.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Section 3(a) is directed to a matter of federal concern namely, arms, ammunition, implements and munitions of war. Paragraph (b) is directed to the promotion of further processing in Canada of a natural resource that is produced in Canada. That phrase embodies provincial needs or purposes.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Section 3(c) is directed to the control of the export of raw or processed material produced in Canada in circumstances of surplus supply and depressed prices. There is nothing to suggest that a federal or national, as opposed to provincial, need is paramount in that context.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Section 3(c. 1) was directed to the support or enforcement of the Softwood Lumber Products Export Charge Act. While that is federal legislation concerned with international trade and commerce, it does not exist for a federal or national purpose but for the purpose of counter-acting alleged shortcomings in provincial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Section 3(d) refers to the addition of items to the Export Control List in order to implement an intergovernmental arrangement or commitment. By their very nature, such arrangements must take into account matters of federal or national character and those of a provincial nature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With respect, there is nothing in paragraph 3(e) which should compel the addition of an article to the Export Control List, or restrict the exercise of discretion, by reference to matters of national or federal, as opposed to provincial, importance.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It is in the discretion of the Minister to decide whether or not there is any need to restrict the export of any article in order to ensure adequate supply and distribution of that article in Canada. Provided adequate supply and distribution are the bases of the concern, the cause of the concern, whether provincial, national or federal, is not material. In sum, the restriction of the words "other needs" to a need of a national or federal character would have the effect of amending the statute.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 my opinion, the claim in respect of abuse of public office must fail. Because the words "other needs" are broad enough to encompass a provincial supply and distribution concern, the Minister did not act unlawfully by taking that need into account. The Minister cannot be said to have acted with targeted malice toward Evans, nor can he be said to have been reckless in acting as he did, given the nature of the discretion conferred upon him. An essential element of the tort has not been proved on the balance of probabilities.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If a contrary view should prevail with respect to the interpretation of s. 3(e) so that it does not encompass provincial needs, then nothing would have prevented the Minister from resorting to s. 3(b) in the course of exercising his discretion. Provincial need is relevant in that context. That being the case, the Minister cannot be said to have exercised his discretion with malice or in reckless disregard of the nature and extent of his discretion.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Finally, even if s. 3(e) were restricted in meaning to needs having a federal or national character, the interpretation of the statute and the nature of the discretion are not so plain and obvious that one could conclude the Minister's interpretation was patently unwarranted. That being the case, one could not conclude that he exercised his discretion in a malicious or reckless manner.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claim in respect of the intentional tort of abuse of public office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The Claim in </w:t>
      </w: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Evans claims the Minister was negligent in taking into account provincial need, but does not allege that the Minister breached a duty of care when he fettered his decision-making power or delegated his decision-making power to the British Columbia Minister of Forests.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The Supreme Court of Canada most recently canvassed the question of duties owed by public authorities in Cooper v. Hobart, </w:t>
      </w:r>
      <w:hyperlink r:id="rId699" w:history="1">
        <w:r>
          <w:rPr>
            <w:rFonts w:ascii="arial" w:eastAsia="arial" w:hAnsi="arial" w:cs="arial"/>
            <w:i/>
            <w:color w:val="0077CC"/>
            <w:sz w:val="20"/>
            <w:u w:val="single"/>
            <w:shd w:val="clear" w:color="auto" w:fill="FFFFFF"/>
            <w:lang w:val="en-US" w:eastAsia="en-US" w:bidi="ar-SA"/>
          </w:rPr>
          <w:t>2001 SCC 79</w:t>
        </w:r>
      </w:hyperlink>
      <w:r>
        <w:rPr>
          <w:rFonts w:ascii="arial" w:eastAsia="arial" w:hAnsi="arial" w:cs="arial"/>
          <w:color w:val="000000"/>
          <w:sz w:val="20"/>
          <w:lang w:val="en-US" w:eastAsia="en-US" w:bidi="ar-SA"/>
        </w:rPr>
        <w:t>. The Court confirmed that Anns v. Merton London Borough Council, [1978] A.C. 728, provided the proper framework for analysis and said the following at para. 30: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the first stage of the Anns test, two questions arise: (1) was the harm that occurred the reasonably foreseeable consequence of the defendant's act? and (2) are there reasons, notwithstanding the proximity between the parties established in the first part of this test, that tort liability should not be recognized here? The proximity analysis focuses on factors arising from the relationship between the plaintiff and the defendant. These factors include questions of policy, in the broad sense of that word. If foreseeability and proximity are established at the first stage, a prima facie duty of care arises. At the second stage of the Anns test, the question still remains whether there are residual policy considerations outside the relationship of the parties that may negative the imposition of a duty of care [emphasis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Prima facie, the Minister owed Evans a duty of care because of proximity which is a "close and direct relationship" so that an act complained of "directly affects a person whom the person alleged to be bound to take care would know would be directly affected by his careless act": see Donoghue v. Stevenson, [1932] A.C. 562 at 580-581 (H.L.).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The relationship between Evans, as an applicant, and the Minister, as the responsible official able to affect the economic position of an applicant, is sufficiently close and direct that the Minister could be said to be obliged to consider Evans's legitimate interests in conducting its affairs: see Hercules Management Ltd. v. Ernst &amp; Young, </w:t>
      </w:r>
      <w:hyperlink r:id="rId59" w:history="1">
        <w:r>
          <w:rPr>
            <w:rFonts w:ascii="arial" w:eastAsia="arial" w:hAnsi="arial" w:cs="arial"/>
            <w:i/>
            <w:color w:val="0077CC"/>
            <w:sz w:val="20"/>
            <w:u w:val="single"/>
            <w:shd w:val="clear" w:color="auto" w:fill="FFFFFF"/>
            <w:lang w:val="en-US" w:eastAsia="en-US" w:bidi="ar-SA"/>
          </w:rPr>
          <w:t>[1997] 2 S.C.R. 165</w:t>
        </w:r>
      </w:hyperlink>
      <w:r>
        <w:rPr>
          <w:rFonts w:ascii="arial" w:eastAsia="arial" w:hAnsi="arial" w:cs="arial"/>
          <w:color w:val="000000"/>
          <w:sz w:val="20"/>
          <w:lang w:val="en-US" w:eastAsia="en-US" w:bidi="ar-SA"/>
        </w:rPr>
        <w:t xml:space="preserve"> at para. 24. Among Evans's interests was the pursuit of increased economic gain resulting from the export of logs to a foreign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However, residual policy considerations contemplated by the second branch of the Anns test and frequently applied in the context of the exercise of a statutory discretion compel me to refuse to impose a duty on the Minister in the circumstances of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In Just v. British Columbia, </w:t>
      </w:r>
      <w:hyperlink r:id="rId700" w:history="1">
        <w:r>
          <w:rPr>
            <w:rFonts w:ascii="arial" w:eastAsia="arial" w:hAnsi="arial" w:cs="arial"/>
            <w:i/>
            <w:color w:val="0077CC"/>
            <w:sz w:val="20"/>
            <w:u w:val="single"/>
            <w:shd w:val="clear" w:color="auto" w:fill="FFFFFF"/>
            <w:lang w:val="en-US" w:eastAsia="en-US" w:bidi="ar-SA"/>
          </w:rPr>
          <w:t>[1989] 2 S.C.R. 1228</w:t>
        </w:r>
      </w:hyperlink>
      <w:r>
        <w:rPr>
          <w:rFonts w:ascii="arial" w:eastAsia="arial" w:hAnsi="arial" w:cs="arial"/>
          <w:color w:val="000000"/>
          <w:sz w:val="20"/>
          <w:lang w:val="en-US" w:eastAsia="en-US" w:bidi="ar-SA"/>
        </w:rPr>
        <w:t>, Cory J. said the following at 1239: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Crown is not a person and must be free to govern and make true policy decisions without becoming subject to tort liability as a result of those decisions.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The legislative prerogative of elected officials must be respected. For that reason, it is well established that only operational decisions made by a representative of government attract liability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 duty of care does not arise in relation to acts and omissions directed to the policy-making, as opposed to operating, aspects of the exercise of statutory discretion: per Cory J. at 1241 in Just citing Mason J. in Sutherland Shire Council v. Heyman (1985), 60 A.L.R. 1 (Aust. H.C.).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In my opinion, the Minister does not owe a duty of care to Evans or anyone else when identifying or settling upon the factors that would be taken into account in the exercise of his discretion under EIPA. The identification of those factors is a policy decision and not subject to challenge except by judicial review, should the consideration of any factor be improper having regard to the nature of the discretion, properly construed.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Even if the interpretation of the scope of an authority's discretion is inaccurate and the factors considered in its exercise are inappropriate, a duty should not be imposed where, as in the present case, the authority has acted reasonably and in good faith: see Just, supra, per Cory J. at 1242-1243.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Quite apart from my conclusion that the Minister correctly construed s. 3(e) of EIPA to permit the consideration of provincial need, an incorrect interpretation of the nature and extent of the discretionary power, standing alone, would not be unreasonable: see Comeau's Sea Foods Ltd. v. Canada (Ministry of Fisheries and Oceans, </w:t>
      </w:r>
      <w:hyperlink r:id="rId701" w:history="1">
        <w:r>
          <w:rPr>
            <w:rFonts w:ascii="arial" w:eastAsia="arial" w:hAnsi="arial" w:cs="arial"/>
            <w:i/>
            <w:color w:val="0077CC"/>
            <w:sz w:val="20"/>
            <w:u w:val="single"/>
            <w:shd w:val="clear" w:color="auto" w:fill="FFFFFF"/>
            <w:lang w:val="en-US" w:eastAsia="en-US" w:bidi="ar-SA"/>
          </w:rPr>
          <w:t>[1995] 2 F.C. 467</w:t>
        </w:r>
      </w:hyperlink>
      <w:r>
        <w:rPr>
          <w:rFonts w:ascii="arial" w:eastAsia="arial" w:hAnsi="arial" w:cs="arial"/>
          <w:color w:val="000000"/>
          <w:sz w:val="20"/>
          <w:lang w:val="en-US" w:eastAsia="en-US" w:bidi="ar-SA"/>
        </w:rPr>
        <w:t xml:space="preserve"> (C.A.), affirmed at </w:t>
      </w:r>
      <w:hyperlink r:id="rId702" w:history="1">
        <w:r>
          <w:rPr>
            <w:rFonts w:ascii="arial" w:eastAsia="arial" w:hAnsi="arial" w:cs="arial"/>
            <w:i/>
            <w:color w:val="0077CC"/>
            <w:sz w:val="20"/>
            <w:u w:val="single"/>
            <w:shd w:val="clear" w:color="auto" w:fill="FFFFFF"/>
            <w:lang w:val="en-US" w:eastAsia="en-US" w:bidi="ar-SA"/>
          </w:rPr>
          <w:t>[1997] 1 S.C.R. 12</w:t>
        </w:r>
      </w:hyperlink>
      <w:r>
        <w:rPr>
          <w:rFonts w:ascii="arial" w:eastAsia="arial" w:hAnsi="arial" w:cs="arial"/>
          <w:color w:val="000000"/>
          <w:sz w:val="20"/>
          <w:lang w:val="en-US" w:eastAsia="en-US" w:bidi="ar-SA"/>
        </w:rPr>
        <w:t xml:space="preserve">. No authority was cited to the effect that the Minister was under any duty to interpret EIPA correctly: see Dorman Timber v. British Columbia </w:t>
      </w:r>
      <w:hyperlink r:id="rId703" w:history="1">
        <w:r>
          <w:rPr>
            <w:rFonts w:ascii="arial" w:eastAsia="arial" w:hAnsi="arial" w:cs="arial"/>
            <w:i/>
            <w:color w:val="0077CC"/>
            <w:sz w:val="20"/>
            <w:u w:val="single"/>
            <w:shd w:val="clear" w:color="auto" w:fill="FFFFFF"/>
            <w:lang w:val="en-US" w:eastAsia="en-US" w:bidi="ar-SA"/>
          </w:rPr>
          <w:t>(1997), 40 B.C.L.R. (3d) 230</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Finally, the evidence in this case would not and does not support any allegation that the Minister acted in bad faith towards Evans.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In the result, the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cannot succeed.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action is dismissed. If necessary, the parties may address the issue of costs by written submission.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PITFIELD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17" style="position:absolute;z-index:25189273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04"/>
          <w:headerReference w:type="default" r:id="rId705"/>
          <w:footerReference w:type="even" r:id="rId706"/>
          <w:footerReference w:type="default" r:id="rId707"/>
          <w:headerReference w:type="first" r:id="rId708"/>
          <w:footerReference w:type="first" r:id="rId70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10" w:history="1">
        <w:r>
          <w:rPr>
            <w:rFonts w:ascii="arial" w:eastAsia="arial" w:hAnsi="arial" w:cs="arial"/>
            <w:b/>
            <w:bCs/>
            <w:i/>
            <w:color w:val="0077CC"/>
            <w:kern w:val="32"/>
            <w:sz w:val="28"/>
            <w:szCs w:val="32"/>
            <w:u w:val="single"/>
            <w:shd w:val="clear" w:color="auto" w:fill="FFFFFF"/>
            <w:lang w:val="en-US" w:eastAsia="en-US" w:bidi="ar-SA"/>
          </w:rPr>
          <w:t>Lamoureux v. Lightburn, [2016] B.C.J. No. 394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Master S. Scarth</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5,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26,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Dockets: M143808, M164494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 and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[2016] B.C.J. No. 394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2016 BCSC 337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Robert Lamoureux, Plaintiff, and Steven Grant Lightburn, Defendant And between Ashley Elizabeth McRae, Plaintiff, and Steven Grant Lightburn, Robert Lamoureux and Heather Martini, Defendant, and Heather Martini and Robert Lamoureux,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18" style="position:absolute;z-index:2516992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61" w:name="Keywords_37"/>
      <w:bookmarkEnd w:id="261"/>
      <w:r>
        <w:rPr>
          <w:rFonts w:ascii="arial" w:eastAsia="arial" w:hAnsi="arial" w:cs="arial"/>
          <w:b/>
          <w:color w:val="000000"/>
          <w:sz w:val="20"/>
          <w:lang w:val="en-US" w:eastAsia="en-US" w:bidi="ar-SA"/>
        </w:rPr>
        <w:t>Civil litigation — Civil procedure — Actions — Causes of action — Joinder and consolidation — Application by Lightburn to have issue of liability in two actions heard together allowed — Three parties were involved in motor vehicle accident — There were common issues of fact and law — Factors that weighed in favour of joining actions were savings of trial time and risk that separate trials would result in inconsistent findings — Benefits of combined trial outweighed prejudice to Lamoureux from delay in trial of action.</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62" w:name="Case Summary_35"/>
            <w:bookmarkEnd w:id="26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Lightburn to have the issue of liability in two actions heard together and the damages issue heard separately. The three parties were involved in a motor vehicle accident. McRae was a plaintiff in one action, Lamoureux was a plaintiff in one and a defendant in the other and Lightburn was a defendant in both. Lamoureux opposed the application.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63" w:name="Holdings of Court_28"/>
            <w:bookmarkEnd w:id="263"/>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There were common issues of fact and law. Given the various claims for apportionment and for findings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trial judge would have to determine what occurred, who was at fault and to what degree. That would involve findings as to the accident as a whole, not its concomitant parts. Factors that weighed in favour of joining the actions were the savings of trial time and the substantial risk that separate trials would result in inconsistent findings. The benefits of a combined trial outweighed the prejudice to Lamoureux from the delay in the trial of his action. While there might be overlapping credibility issues, they did not warrant requiring Lamoureux and McRae to attend each other's damages trials.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64" w:name="Legislation Cited_30"/>
      <w:bookmarkEnd w:id="26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19" style="position:absolute;z-index:2517504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r>
        <w:rPr>
          <w:rFonts w:ascii="arial" w:eastAsia="arial" w:hAnsi="arial" w:cs="arial"/>
          <w:i/>
          <w:color w:val="000000"/>
          <w:sz w:val="20"/>
          <w:lang w:val="en-US" w:eastAsia="en-US" w:bidi="ar-SA"/>
        </w:rPr>
        <w:t>RSBC 1996, CHAPTER 333</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Supreme Court Civil Rules, Rule 12-5(67), Rule 15-1, Rule 22-5(8)</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65" w:name="Counsel_39"/>
      <w:bookmarkEnd w:id="265"/>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20" style="position:absolute;z-index:2518016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R. Lamoureux: I. Aikenhead.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S. Lightburn: D. Buxton-Forman.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Plaintiff A. McRae: D.C. Richardson.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Defendants/Third Parties R. Lamoureux and H. Martini: S.L. Thorpe.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66" w:name="Judgment_39"/>
      <w:bookmarkEnd w:id="266"/>
      <w:r>
        <w:pict>
          <v:line id="_x0000_s1221" style="position:absolute;z-index:25185075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2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67" w:name="MASTER S. SCARTH"/>
            <w:bookmarkEnd w:id="267"/>
            <w:r>
              <w:rPr>
                <w:rFonts w:ascii="arial" w:eastAsia="arial" w:hAnsi="arial" w:cs="arial"/>
                <w:b/>
                <w:color w:val="000000"/>
                <w:sz w:val="30"/>
                <w:lang w:val="en-US" w:eastAsia="en-US" w:bidi="ar-SA"/>
              </w:rPr>
              <w:t>MASTER S. SCARTH</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These two actions arise from a three-car collision on September 25,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in the New Westminster action, Ashley McRae, was driving a Pontiac Torrent SUV. The plaintiff in the Vancouver action, Robert Lamoureux, was driving a Volkswagen Jetta sedan. Steven Lightburn, a defendant in both actions, was driving a Chevrolet S-10 pickup truck. All of the vehicles were westbound on the Trans-Canada Highway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On this application Mr. Lightburn, with the support of Ms. McRae, applies to have the issue of liability in the two actions heard together (Rule 22-5(8)), and separately from the issue of damages (Rule 12-5(67)). The applications are opposed by Mr. Lamoureux, both as plaintiff and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PLEADINGS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Lamoureux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Lamoureux's version of events on September 25, 2012, is set out in his amended notice of civil claim as follows:</w:t>
      </w:r>
      <w:r>
        <w:rPr>
          <w:rFonts w:ascii="arial" w:eastAsia="arial" w:hAnsi="arial" w:cs="arial"/>
          <w:sz w:val="20"/>
          <w:lang w:val="en-US" w:eastAsia="en-US" w:bidi="ar-SA"/>
        </w:rPr>
        <w:cr/>
      </w:r>
    </w:p>
    <w:p>
      <w:pPr>
        <w:numPr>
          <w:numId w:val="1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was driving his vehicle west on Highway #1, near Brunette Avenue Exit, in the City of Coquitlam, British Columbia, when the traffic in front of him came to a sudden stop. The Plaintiff stopped his vehicle, and was subsequently rear-ended by the Vehicle driven by the Defendant (Lightburn). The Plaintiff's vehicle was pushed to the lane to his right and struck the concrete embankment...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No mention is made of any contact between the McRae and Lamoureux vehicles.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his response to civil claim, Mr. Lightburn denies liability and sets out his position, under "Additional Facts", as follows:</w:t>
      </w:r>
      <w:r>
        <w:rPr>
          <w:rFonts w:ascii="arial" w:eastAsia="arial" w:hAnsi="arial" w:cs="arial"/>
          <w:sz w:val="20"/>
          <w:lang w:val="en-US" w:eastAsia="en-US" w:bidi="ar-SA"/>
        </w:rPr>
        <w:cr/>
      </w:r>
    </w:p>
    <w:p>
      <w:pPr>
        <w:numPr>
          <w:numId w:val="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Accident occurred when a motor vehicle owned and operated by Ashley McRae (the "McRae Vehicle"), and travelling directly ahead of the Plaintiff's (Lamoureux's) vehicle, came to a sudden stop, causing the Plaintiff's (Lamoureux's) vehicle to strike the McRae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Mr. Lightburn alleges that the accident was caused or contributed to by acts and omissions of Mr. Lamoureux, and relies on the provisions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 xml:space="preserve">, with respect to contributory fault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The McRae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Ms. McRae's notice of civil claim sets out her version of events as follows:</w:t>
      </w:r>
      <w:r>
        <w:rPr>
          <w:rFonts w:ascii="arial" w:eastAsia="arial" w:hAnsi="arial" w:cs="arial"/>
          <w:sz w:val="20"/>
          <w:lang w:val="en-US" w:eastAsia="en-US" w:bidi="ar-SA"/>
        </w:rPr>
        <w:cr/>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or about September 25, 2012, the Plaintiff was the driver of a motor vehicle stopped in traffic on westbound Highway 1 at Brunette Avenue in the City of Coquitlam, Province of British Columbia, when a motor vehicle owned by the Defendant Martini and being negligently driven by the Defendant Lamoureux rear-ended the Plaintiff (the "First Collision"). Subsequently a motor vehicle owned and being negligently driven by the Defendant Lightburn rear-ended the Defendant Lamoureux's vehicle and pushed it into the Plaintiff's vehicle (the "Second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In his response to Ms. McRae's notice of civil claim, Mr. Lightburn admits the First and Second Collisions as defined above occurred but denies that they occurred in the manner alleged by Ms. McRae. Mr. Lightburn sets out the same version of events as appears in his response to the Lamoureux action, and pleads contributory fault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Ms. McRae, Mr. Lamoureux and Ms. Martini.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Lightburn has also filed third party proceedings against Mr. Lamoureux and Ms. Martini.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Lamoureux's response to Ms. McRae's notice of civil claim denies liability and alleges that:</w:t>
      </w:r>
      <w:r>
        <w:rPr>
          <w:rFonts w:ascii="arial" w:eastAsia="arial" w:hAnsi="arial" w:cs="arial"/>
          <w:sz w:val="20"/>
          <w:lang w:val="en-US" w:eastAsia="en-US" w:bidi="ar-SA"/>
        </w:rPr>
        <w:cr/>
      </w:r>
    </w:p>
    <w:p>
      <w:pPr>
        <w:numPr>
          <w:numId w:val="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or about September 25, 2012, at Highway #1 or near Brunette Avenue in Coquitlam, a collision occurred between a 2007 Pontiac motor vehicle owned and operated by the Plaintiff, Ashely [</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 Elizabeth McRae, a 2003 Chevrolet motor vehicle owned and operated by the Defendant, Steven Lightburn, and a 2003 Volkswagen motor vehicle owned by the Defendant Martini and operated by the Defendant Lamoureux (the "Collision).</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Collision was not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these Defendants but was caused or contributed to by the fault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Steven Lightburn.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Mr. Lamoureux also pleads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Ms. McRae.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POSITIONS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It is the submission of the applicant Mr. Lightburn that there is a common issue of liability between these two actions and that separate trials on the issue of liability would be undesirable and inconvenient. The applicant submits that, given the parties' different positions on the issue of liability and the sequence of the collision, there is a risk of inconsistent findings on liability: </w:t>
      </w:r>
      <w:r>
        <w:rPr>
          <w:rFonts w:ascii="arial" w:eastAsia="arial" w:hAnsi="arial" w:cs="arial"/>
          <w:i/>
          <w:color w:val="000000"/>
          <w:sz w:val="20"/>
          <w:lang w:val="en-US" w:eastAsia="en-US" w:bidi="ar-SA"/>
        </w:rPr>
        <w:t>Schemenauer v. Smith</w:t>
      </w:r>
      <w:r>
        <w:rPr>
          <w:rFonts w:ascii="arial" w:eastAsia="arial" w:hAnsi="arial" w:cs="arial"/>
          <w:color w:val="000000"/>
          <w:sz w:val="20"/>
          <w:lang w:val="en-US" w:eastAsia="en-US" w:bidi="ar-SA"/>
        </w:rPr>
        <w:t xml:space="preserve">, </w:t>
      </w:r>
      <w:hyperlink r:id="rId711" w:history="1">
        <w:r>
          <w:rPr>
            <w:rFonts w:ascii="arial" w:eastAsia="arial" w:hAnsi="arial" w:cs="arial"/>
            <w:i/>
            <w:color w:val="0077CC"/>
            <w:sz w:val="20"/>
            <w:u w:val="single"/>
            <w:shd w:val="clear" w:color="auto" w:fill="FFFFFF"/>
            <w:lang w:val="en-US" w:eastAsia="en-US" w:bidi="ar-SA"/>
          </w:rPr>
          <w:t>[1997] 71 A.C.W.S. (3d) 41</w:t>
        </w:r>
      </w:hyperlink>
      <w:r>
        <w:rPr>
          <w:rFonts w:ascii="arial" w:eastAsia="arial" w:hAnsi="arial" w:cs="arial"/>
          <w:color w:val="000000"/>
          <w:sz w:val="20"/>
          <w:lang w:val="en-US" w:eastAsia="en-US" w:bidi="ar-SA"/>
        </w:rPr>
        <w:t>, B.C.J. No. 1068 (Q.L.) (S.C.). Further, if there is a determination of liability in Mr. Lamoureux's action, Ms. McRae may be prejudiced by being bound by that finding in her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applicant submits that, on a conservative estimate, three trial days will be saved by severing the issue of liability. The severance would avoid a duplication of witness fees and expert time. In addition there would be a reduction in pre-trial procedures. The applicant says that he is ready for trial but that the three-day trial booked for April 2016 does not allow adequate time for the issues in the Lamoureux action to be addressed.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It is Mr. Lamoureux's position that there is no fear of an inconsistent finding on liability if the actions proceed to trial separately. Firstly, he submits that there is no evidence on this application from Ms. McRae as to the sequencing of the accident. The only allegation impinging on Mr. Lamoureux is Ms. McRae's prior consistent statement, which is inadmissible, that she felt two bumps. Secondly, even if there were two bumps, Mr. Lamoureux submits that the evidence from the only engineering report available is that no damage could have been done to Ms. McRae by the first impact. On the other hand, Mr. Lamoureux submits that he was clearly injured by Mr. Lightburn rear-ending him, not by him rear-ending Ms. McRae. It is Mr. Lamoureux's submission that the trial judge will not need to make a finding in his action as to whether there were two bumps as even if there were, the first was much less significant than the rear-end hit by Mr. Lightburn on Mr. Lamoureux which propelled him into Ms. McRae. Mr. Lamoureux submits that it is not a situation where the fault of Ms. McRae is at issue in his action. Accordingly, inconsistent verdicts are not 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Further, Mr. Lamoureux takes the position that he is prejudiced by a delay to his action. He submits it is a modest claim which has been run as a "fast track" action, although not within Rule 15-1. He is ready to proceed to trial. He submits that the application is really an attempt to delay matters because Mr. Lightburn is not ready to go to trial. Mr. Lamoureux submits that a delay of a year is likely if the application is allowed.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On behalf of Mr. Lamoureux as defendant in the McRae action, Mr. Thorpe adopts the submissions of Mr. Lamoureux as plaintiff but adds that Mr. Lamoureux, as defendant, reserves the right to file a notice requiring trial by jury in the McRae action, no notice of trial having yet been filed. An order joining the two actions for trial would preclude him from doing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 AND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It is appropriate to begin by addressing the application to have the proceedings heard together for trial. Rule 22-5(8)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provides that the court may order that proceedings be tried at the same time or on the same day. In exercising the discretion to order that two or more proceedings be heard at the same time for trial, the court will consider whether there is a common question of law or fact bearing sufficient importance in proportion to the rest of the action to render it desirable that the whole of the matter be disposed of at the same time: </w:t>
      </w:r>
      <w:r>
        <w:rPr>
          <w:rFonts w:ascii="arial" w:eastAsia="arial" w:hAnsi="arial" w:cs="arial"/>
          <w:i/>
          <w:color w:val="000000"/>
          <w:sz w:val="20"/>
          <w:lang w:val="en-US" w:eastAsia="en-US" w:bidi="ar-SA"/>
        </w:rPr>
        <w:t>Horwood v. Statesman Publishing Co.; Child v. Statesman Publishing Co.</w:t>
      </w:r>
      <w:r>
        <w:rPr>
          <w:rFonts w:ascii="arial" w:eastAsia="arial" w:hAnsi="arial" w:cs="arial"/>
          <w:color w:val="000000"/>
          <w:sz w:val="20"/>
          <w:lang w:val="en-US" w:eastAsia="en-US" w:bidi="ar-SA"/>
        </w:rPr>
        <w:t xml:space="preserve"> (1928), 98 L.J.K.B. 450, cited in </w:t>
      </w:r>
      <w:r>
        <w:rPr>
          <w:rFonts w:ascii="arial" w:eastAsia="arial" w:hAnsi="arial" w:cs="arial"/>
          <w:i/>
          <w:color w:val="000000"/>
          <w:sz w:val="20"/>
          <w:lang w:val="en-US" w:eastAsia="en-US" w:bidi="ar-SA"/>
        </w:rPr>
        <w:t>Shah v. Bakken</w:t>
      </w:r>
      <w:r>
        <w:rPr>
          <w:rFonts w:ascii="arial" w:eastAsia="arial" w:hAnsi="arial" w:cs="arial"/>
          <w:color w:val="000000"/>
          <w:sz w:val="20"/>
          <w:lang w:val="en-US" w:eastAsia="en-US" w:bidi="ar-SA"/>
        </w:rPr>
        <w:t xml:space="preserve"> </w:t>
      </w:r>
      <w:hyperlink r:id="rId712" w:history="1">
        <w:r>
          <w:rPr>
            <w:rFonts w:ascii="arial" w:eastAsia="arial" w:hAnsi="arial" w:cs="arial"/>
            <w:i/>
            <w:color w:val="0077CC"/>
            <w:sz w:val="20"/>
            <w:u w:val="single"/>
            <w:shd w:val="clear" w:color="auto" w:fill="FFFFFF"/>
            <w:lang w:val="en-US" w:eastAsia="en-US" w:bidi="ar-SA"/>
          </w:rPr>
          <w:t>(1996), 20 B.C.L.R. (3d) 393</w:t>
        </w:r>
      </w:hyperlink>
      <w:r>
        <w:rPr>
          <w:rFonts w:ascii="arial" w:eastAsia="arial" w:hAnsi="arial" w:cs="arial"/>
          <w:color w:val="000000"/>
          <w:sz w:val="20"/>
          <w:lang w:val="en-US" w:eastAsia="en-US" w:bidi="ar-SA"/>
        </w:rPr>
        <w:t xml:space="preserve">, </w:t>
      </w:r>
      <w:hyperlink r:id="rId712" w:history="1">
        <w:r>
          <w:rPr>
            <w:rFonts w:ascii="arial" w:eastAsia="arial" w:hAnsi="arial" w:cs="arial"/>
            <w:i/>
            <w:color w:val="0077CC"/>
            <w:sz w:val="20"/>
            <w:u w:val="single"/>
            <w:shd w:val="clear" w:color="auto" w:fill="FFFFFF"/>
            <w:lang w:val="en-US" w:eastAsia="en-US" w:bidi="ar-SA"/>
          </w:rPr>
          <w:t>46 C.P.C. (3d) 205</w:t>
        </w:r>
      </w:hyperlink>
      <w:r>
        <w:rPr>
          <w:rFonts w:ascii="arial" w:eastAsia="arial" w:hAnsi="arial" w:cs="arial"/>
          <w:color w:val="000000"/>
          <w:sz w:val="20"/>
          <w:lang w:val="en-US" w:eastAsia="en-US" w:bidi="ar-SA"/>
        </w:rPr>
        <w:t xml:space="preserve"> at para. 12 (S.C.). In </w:t>
      </w:r>
      <w:r>
        <w:rPr>
          <w:rFonts w:ascii="arial" w:eastAsia="arial" w:hAnsi="arial" w:cs="arial"/>
          <w:i/>
          <w:color w:val="000000"/>
          <w:sz w:val="20"/>
          <w:lang w:val="en-US" w:eastAsia="en-US" w:bidi="ar-SA"/>
        </w:rPr>
        <w:t>Merritt v. Imasco Enterprises Inc.,</w:t>
      </w:r>
      <w:r>
        <w:rPr>
          <w:rFonts w:ascii="arial" w:eastAsia="arial" w:hAnsi="arial" w:cs="arial"/>
          <w:color w:val="000000"/>
          <w:sz w:val="20"/>
          <w:lang w:val="en-US" w:eastAsia="en-US" w:bidi="ar-SA"/>
        </w:rPr>
        <w:t xml:space="preserve"> [1992] B.C.W.L.D. 513, </w:t>
      </w:r>
      <w:hyperlink r:id="rId713" w:history="1">
        <w:r>
          <w:rPr>
            <w:rFonts w:ascii="arial" w:eastAsia="arial" w:hAnsi="arial" w:cs="arial"/>
            <w:i/>
            <w:color w:val="0077CC"/>
            <w:sz w:val="20"/>
            <w:u w:val="single"/>
            <w:shd w:val="clear" w:color="auto" w:fill="FFFFFF"/>
            <w:lang w:val="en-US" w:eastAsia="en-US" w:bidi="ar-SA"/>
          </w:rPr>
          <w:t>2 C.P.C. (3d) 275</w:t>
        </w:r>
      </w:hyperlink>
      <w:r>
        <w:rPr>
          <w:rFonts w:ascii="arial" w:eastAsia="arial" w:hAnsi="arial" w:cs="arial"/>
          <w:color w:val="000000"/>
          <w:sz w:val="20"/>
          <w:lang w:val="en-US" w:eastAsia="en-US" w:bidi="ar-SA"/>
        </w:rPr>
        <w:t xml:space="preserve"> (S.C.), the Court stated the test as being whether common claims, disputes and relationships exist between the parties (to be determined with reference to the pleadings); and whether those claims are so interwoven as to make separate trials before different judges undesirable and fraught with problems and economic expense (to be determined with reference to the pleadings and matters disclosed outside the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Here it is not conceded that the two actions have a common issue. Mr. Lamoureux's position is that the liability issues are distinct as between the actions. He submits that the question of whether there was a "first collision", as alleged by Ms. McRae, has no bearing on his case and that Ms. McRae can address that issue in her own action. This position may be correct to the extent that Mr. Lamoureux does not seek a finding of liability on the part of Ms. McRae, but it is based on an assumption that there was no initial impact between Mr. Lamoureux and Ms. McRae or, if there was such a collision, it was negligible and did not cause damage to either of them. While this appears to be the conclusion of Mr. Lamoureux's engineering expert, it remains untested.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I do not accept the submissions of Mr. Lamoureux that evidence is required on this application to support the "first collision" allegation. The identification of common issues is to be made with reference to the pleadings: </w:t>
      </w:r>
      <w:r>
        <w:rPr>
          <w:rFonts w:ascii="arial" w:eastAsia="arial" w:hAnsi="arial" w:cs="arial"/>
          <w:i/>
          <w:color w:val="000000"/>
          <w:sz w:val="20"/>
          <w:lang w:val="en-US" w:eastAsia="en-US" w:bidi="ar-SA"/>
        </w:rPr>
        <w:t>Merritt</w:t>
      </w:r>
      <w:r>
        <w:rPr>
          <w:rFonts w:ascii="arial" w:eastAsia="arial" w:hAnsi="arial" w:cs="arial"/>
          <w:color w:val="000000"/>
          <w:sz w:val="20"/>
          <w:lang w:val="en-US" w:eastAsia="en-US" w:bidi="ar-SA"/>
        </w:rPr>
        <w:t xml:space="preserve">, p. 282. Given the various claims for apportionment and for findings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trial judge will be required to determine what occurred on September 25, 2012, who is at fault and to what degree. This, in my view, will involve findings as to the accident as a whole, not its concomitant parts. Accordingly it is fair to conclude that there are common issues of fact and law between the two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Turning to the question as to whether the claims are so interwoven as to make separate trials before different judges or triers of fact undesirable, I will consider the factors set out in </w:t>
      </w:r>
      <w:r>
        <w:rPr>
          <w:rFonts w:ascii="arial" w:eastAsia="arial" w:hAnsi="arial" w:cs="arial"/>
          <w:i/>
          <w:color w:val="000000"/>
          <w:sz w:val="20"/>
          <w:lang w:val="en-US" w:eastAsia="en-US" w:bidi="ar-SA"/>
        </w:rPr>
        <w:t>Shah</w:t>
      </w:r>
      <w:r>
        <w:rPr>
          <w:rFonts w:ascii="arial" w:eastAsia="arial" w:hAnsi="arial" w:cs="arial"/>
          <w:color w:val="000000"/>
          <w:sz w:val="20"/>
          <w:lang w:val="en-US" w:eastAsia="en-US" w:bidi="ar-SA"/>
        </w:rPr>
        <w:t xml:space="preserve">, at paras. 14 and 15, and in </w:t>
      </w:r>
      <w:r>
        <w:rPr>
          <w:rFonts w:ascii="arial" w:eastAsia="arial" w:hAnsi="arial" w:cs="arial"/>
          <w:i/>
          <w:color w:val="000000"/>
          <w:sz w:val="20"/>
          <w:lang w:val="en-US" w:eastAsia="en-US" w:bidi="ar-SA"/>
        </w:rPr>
        <w:t>Schemenauer,</w:t>
      </w:r>
      <w:r>
        <w:rPr>
          <w:rFonts w:ascii="arial" w:eastAsia="arial" w:hAnsi="arial" w:cs="arial"/>
          <w:color w:val="000000"/>
          <w:sz w:val="20"/>
          <w:lang w:val="en-US" w:eastAsia="en-US" w:bidi="ar-SA"/>
        </w:rPr>
        <w:t xml:space="preserve"> para. 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Factors which weigh in favour of joining the actions for trial are:</w:t>
      </w:r>
      <w:r>
        <w:rPr>
          <w:rFonts w:ascii="arial" w:eastAsia="arial" w:hAnsi="arial" w:cs="arial"/>
          <w:sz w:val="20"/>
          <w:lang w:val="en-US" w:eastAsia="en-US" w:bidi="ar-SA"/>
        </w:rPr>
        <w:cr/>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will be a savings of trial time as liability will only be addressed once. The lay witnesses in each case would be Mr. Lamoureux, Ms. McRae and Mr. Lightburn. There will also be at least one expert witness on the issue of liability. I accept the estimate of the applicant of a savings of three trial days.</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experts and witnesses as to liability would only have to testify once.</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Given the common issues of fact, it is fair to conclude that there is a substantial risk that separate trials will result in inconsistent findings on the issue of liability. In particular, were the actions to proceed separately it is uncertain to what extent findings of liability in the Lamoureux action will translate to who is liable (and to what extent, given the allegations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to Ms. McRae in her action.</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Finally, Ms. McRae, who is not a party to the Lamoureux action, consents to the application to try the actions together. She wishes to take part in the determination of the issues of fact and liability which may directly affect her and submits these should not be decided in her absence.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As to factors weighing against the joinder of the actions, Mr. Lamoureux submits that he would be prejudiced in that he would lose his right to a jury trial in the McRae action. This was not given much weight in the submissions made on his behalf as defendant. More significant is the prejudice arising to Mr. Lamoureux as plaintiff by the fact that if the actions are joined for trial, the trial of his action set for April 2016 will not proceed. Mr. Lamoureux made submissions as to the prejudice of this delay which would defeat his efforts to proceed expeditiously with his claim. The prejudice of delay was a significant factor in </w:t>
      </w:r>
      <w:r>
        <w:rPr>
          <w:rFonts w:ascii="arial" w:eastAsia="arial" w:hAnsi="arial" w:cs="arial"/>
          <w:i/>
          <w:color w:val="000000"/>
          <w:sz w:val="20"/>
          <w:lang w:val="en-US" w:eastAsia="en-US" w:bidi="ar-SA"/>
        </w:rPr>
        <w:t>Shah</w:t>
      </w:r>
      <w:r>
        <w:rPr>
          <w:rFonts w:ascii="arial" w:eastAsia="arial" w:hAnsi="arial" w:cs="arial"/>
          <w:color w:val="000000"/>
          <w:sz w:val="20"/>
          <w:lang w:val="en-US" w:eastAsia="en-US" w:bidi="ar-SA"/>
        </w:rPr>
        <w:t xml:space="preserve">, where the Court dismissed the application to have the actions joined for trial. However, </w:t>
      </w:r>
      <w:r>
        <w:rPr>
          <w:rFonts w:ascii="arial" w:eastAsia="arial" w:hAnsi="arial" w:cs="arial"/>
          <w:i/>
          <w:color w:val="000000"/>
          <w:sz w:val="20"/>
          <w:lang w:val="en-US" w:eastAsia="en-US" w:bidi="ar-SA"/>
        </w:rPr>
        <w:t>Shah</w:t>
      </w:r>
      <w:r>
        <w:rPr>
          <w:rFonts w:ascii="arial" w:eastAsia="arial" w:hAnsi="arial" w:cs="arial"/>
          <w:color w:val="000000"/>
          <w:sz w:val="20"/>
          <w:lang w:val="en-US" w:eastAsia="en-US" w:bidi="ar-SA"/>
        </w:rPr>
        <w:t xml:space="preserve"> involved an allegation of fraud against the defendant solicitor, and the prejudice of a delay was considerably greater.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question here is whether the benefits of a combined trial outweigh the prejudice to Mr. Lamoureux. I accept the submission of the applicant that they do. In my view, given the factual overlap between the claims of Mr. Lamoureux and Ms. McRae, the interests of justice require that there be one trial on the issue of liability for the accident. It may be that the concerns about the resultant delay for the Lamoureux action can be answered by using the April trial date for the combined trial. This leads me to the second part of the application -- whether liability should be severed from the damages claims for purposes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The common issues here are the manner in which the accidents occurred and the liabilities stemming from them. While there may be overlapping credibility issues, they are not such as to warrant requiring Mr. Lamoureux and Ms. McRae to attend each other's damages trials. Accordingly, it is appropriate to make an order, pursuant to Rule 12-5(67), that the issue of liability be tried separately and before the issue of damages. One example of actions proceeding in this way is found in </w:t>
      </w:r>
      <w:r>
        <w:rPr>
          <w:rFonts w:ascii="arial" w:eastAsia="arial" w:hAnsi="arial" w:cs="arial"/>
          <w:i/>
          <w:color w:val="000000"/>
          <w:sz w:val="20"/>
          <w:lang w:val="en-US" w:eastAsia="en-US" w:bidi="ar-SA"/>
        </w:rPr>
        <w:t>Strul v. Mondares,</w:t>
      </w:r>
      <w:r>
        <w:rPr>
          <w:rFonts w:ascii="arial" w:eastAsia="arial" w:hAnsi="arial" w:cs="arial"/>
          <w:color w:val="000000"/>
          <w:sz w:val="20"/>
          <w:lang w:val="en-US" w:eastAsia="en-US" w:bidi="ar-SA"/>
        </w:rPr>
        <w:t xml:space="preserve"> </w:t>
      </w:r>
      <w:hyperlink r:id="rId714" w:history="1">
        <w:r>
          <w:rPr>
            <w:rFonts w:ascii="arial" w:eastAsia="arial" w:hAnsi="arial" w:cs="arial"/>
            <w:i/>
            <w:color w:val="0077CC"/>
            <w:sz w:val="20"/>
            <w:u w:val="single"/>
            <w:shd w:val="clear" w:color="auto" w:fill="FFFFFF"/>
            <w:lang w:val="en-US" w:eastAsia="en-US" w:bidi="ar-SA"/>
          </w:rPr>
          <w:t>2015 BCSC 284</w:t>
        </w:r>
      </w:hyperlink>
      <w:r>
        <w:rPr>
          <w:rFonts w:ascii="arial" w:eastAsia="arial" w:hAnsi="arial" w:cs="arial"/>
          <w:color w:val="000000"/>
          <w:sz w:val="20"/>
          <w:lang w:val="en-US" w:eastAsia="en-US" w:bidi="ar-SA"/>
        </w:rPr>
        <w:t xml:space="preserve">. There, six parties in three cars were involved in an intersection accident. The accident led to three separate actions in which various passengers and drivers sued the other drivers and owners of the three vehicles. The three actions were heard together on the issue of liability (by way of summary trial), with the issue of damages to be addressed at a later date. The case authority makes it clear that severance is an extraordinary way of proceeding, but here the "extraordinary or exceptional circumstances" cited by the Court as a basis for severance can be found to exist: </w:t>
      </w:r>
      <w:r>
        <w:rPr>
          <w:rFonts w:ascii="arial" w:eastAsia="arial" w:hAnsi="arial" w:cs="arial"/>
          <w:i/>
          <w:color w:val="000000"/>
          <w:sz w:val="20"/>
          <w:lang w:val="en-US" w:eastAsia="en-US" w:bidi="ar-SA"/>
        </w:rPr>
        <w:t>Schmenauer</w:t>
      </w:r>
      <w:r>
        <w:rPr>
          <w:rFonts w:ascii="arial" w:eastAsia="arial" w:hAnsi="arial" w:cs="arial"/>
          <w:color w:val="000000"/>
          <w:sz w:val="20"/>
          <w:lang w:val="en-US" w:eastAsia="en-US" w:bidi="ar-SA"/>
        </w:rPr>
        <w:t xml:space="preserve"> at para. 29, citing </w:t>
      </w:r>
      <w:r>
        <w:rPr>
          <w:rFonts w:ascii="arial" w:eastAsia="arial" w:hAnsi="arial" w:cs="arial"/>
          <w:i/>
          <w:color w:val="000000"/>
          <w:sz w:val="20"/>
          <w:lang w:val="en-US" w:eastAsia="en-US" w:bidi="ar-SA"/>
        </w:rPr>
        <w:t>Westwick v. Culbert</w:t>
      </w:r>
      <w:r>
        <w:rPr>
          <w:rFonts w:ascii="arial" w:eastAsia="arial" w:hAnsi="arial" w:cs="arial"/>
          <w:color w:val="000000"/>
          <w:sz w:val="20"/>
          <w:lang w:val="en-US" w:eastAsia="en-US" w:bidi="ar-SA"/>
        </w:rPr>
        <w:t xml:space="preserve">, [1992] B.C.W.L.D. 2444, </w:t>
      </w:r>
      <w:hyperlink r:id="rId715" w:history="1">
        <w:r>
          <w:rPr>
            <w:rFonts w:ascii="arial" w:eastAsia="arial" w:hAnsi="arial" w:cs="arial"/>
            <w:i/>
            <w:color w:val="0077CC"/>
            <w:sz w:val="20"/>
            <w:u w:val="single"/>
            <w:shd w:val="clear" w:color="auto" w:fill="FFFFFF"/>
            <w:lang w:val="en-US" w:eastAsia="en-US" w:bidi="ar-SA"/>
          </w:rPr>
          <w:t>11 C.P.C. (3d) 311</w:t>
        </w:r>
      </w:hyperlink>
      <w:r>
        <w:rPr>
          <w:rFonts w:ascii="arial" w:eastAsia="arial" w:hAnsi="arial" w:cs="arial"/>
          <w:color w:val="000000"/>
          <w:sz w:val="20"/>
          <w:lang w:val="en-US" w:eastAsia="en-US" w:bidi="ar-SA"/>
        </w:rPr>
        <w:t xml:space="preserve"> (S.C.) and </w:t>
      </w:r>
      <w:r>
        <w:rPr>
          <w:rFonts w:ascii="arial" w:eastAsia="arial" w:hAnsi="arial" w:cs="arial"/>
          <w:i/>
          <w:color w:val="000000"/>
          <w:sz w:val="20"/>
          <w:lang w:val="en-US" w:eastAsia="en-US" w:bidi="ar-SA"/>
        </w:rPr>
        <w:t>Merritt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There will be an order that the two actions be heard together for trial on the issue of liability only, subject to the directions of the trial judge. I do not propose to make an order adjourning the trial in the Lamoureux action. As stated above, the parties may wish to consider whether that date might be used to address the issue of liability. Alternatively they may wish to convene a case planning conference in order to set a schedule for the matters to proceed.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applications are allowed with costs to the applicant in any event of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MASTER S. SCARTH</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22" style="position:absolute;z-index:25189376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16"/>
          <w:headerReference w:type="default" r:id="rId717"/>
          <w:footerReference w:type="even" r:id="rId718"/>
          <w:footerReference w:type="default" r:id="rId719"/>
          <w:headerReference w:type="first" r:id="rId720"/>
          <w:footerReference w:type="first" r:id="rId72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22" w:history="1">
        <w:r>
          <w:rPr>
            <w:rFonts w:ascii="arial" w:eastAsia="arial" w:hAnsi="arial" w:cs="arial"/>
            <w:b/>
            <w:bCs/>
            <w:i/>
            <w:color w:val="0077CC"/>
            <w:kern w:val="32"/>
            <w:sz w:val="28"/>
            <w:szCs w:val="32"/>
            <w:u w:val="single"/>
            <w:shd w:val="clear" w:color="auto" w:fill="FFFFFF"/>
            <w:lang w:val="en-US" w:eastAsia="en-US" w:bidi="ar-SA"/>
          </w:rPr>
          <w:t>Law (Guardian ad litem of) v. Fraser, [2002] B.C.J. No. 1598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Terrace,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Scarth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14 - 16, 19 - 22, 2001 and</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December 13 and 14,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10,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Terrace Registry No. 9765</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[2002] B.C.J. No. 1598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2002 BCSC 1035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29 M.V.R. (4th) 124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114 A.C.W.S. (3d) 1148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Nicole Charlane Law by her Guardian ad litem, Janet Leah Costain, plaintiff, and Brian Fraser and Rena Parker,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(88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23" style="position:absolute;z-index:2517002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68" w:name="Keywords_38"/>
      <w:bookmarkEnd w:id="268"/>
      <w:r>
        <w:rPr>
          <w:rFonts w:ascii="arial" w:eastAsia="arial" w:hAnsi="arial" w:cs="arial"/>
          <w:b/>
          <w:color w:val="000000"/>
          <w:sz w:val="20"/>
          <w:lang w:val="en-US" w:eastAsia="en-US" w:bidi="ar-SA"/>
        </w:rPr>
        <w:t xml:space="preserve">Torts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 passengers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of passenger.</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69" w:name="Case Summary_36"/>
            <w:bookmarkEnd w:id="26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Law claiming that Fraser acted negligently in entrusting her to drive while failing to supervise her and interfering with her control of the car, causing her to crash it. Law also claimed against Parker, the car's owner. In her testimony, Law said that Fraser told her the car was his. She accepted an invitation from him and Tassie to take a day-trip to Alaska. She claimed that the two men became extremely drunk during the trip such that she feared for her safety. Although she did not have a licence, she said that the men or their condition forced her to drive on the return trip, and that Fraser kept grabbing at her as she drove. However, she had not mentioned any such grabbing in her statement to the insurance adjuster. She said she swerved to avoid an animal, at which point Fraser awoke from a drunken stupor, cursed her, and grabbed the wheel, causing her to lose control of the vehicle such that it struck a wall of rock. Two men who stopped to help at the crash scene saw Tassie throw alcohol containers over a cliff and noted a strong smell of alcohol in the car. However, Fraser was able to instruct one of the men on how to make a splint for Fraser's broken leg, and was otherwise coherent. Fraser claimed that he had consumed only two to three beers, was not impaired, and did not grab Law or the wheel. Rather, he said, she asked to drive, began fooling around, and crashed the car when it went into a fishtail.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70" w:name="Holdings of Court_29"/>
            <w:bookmarkEnd w:id="270"/>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There was no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Fraser's part. His story was more credible than Law's. The evidence showed that he was not so intoxicated as to have been incapable of driving, and that he did not effectively force an inexperienced driver to take the wheel. It appeared that the accident was caused because Law was joking around while driving. As Fraser was not liable, Parker could not be vicariously liable.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71" w:name="Legislation Cited_31"/>
      <w:bookmarkEnd w:id="27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24" style="position:absolute;z-index:2517514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Motor Vehicle Act, </w:t>
      </w:r>
      <w:hyperlink r:id="rId723" w:history="1">
        <w:r>
          <w:rPr>
            <w:rFonts w:ascii="arial" w:eastAsia="arial" w:hAnsi="arial" w:cs="arial"/>
            <w:i/>
            <w:color w:val="0077CC"/>
            <w:sz w:val="20"/>
            <w:u w:val="single"/>
            <w:shd w:val="clear" w:color="auto" w:fill="FFFFFF"/>
            <w:lang w:val="en-US" w:eastAsia="en-US" w:bidi="ar-SA"/>
          </w:rPr>
          <w:t>R.S.B.C. 1996, c. 318, s. 86</w:t>
        </w:r>
      </w:hyperlink>
      <w:r>
        <w:rPr>
          <w:rFonts w:ascii="arial" w:eastAsia="arial" w:hAnsi="arial" w:cs="arial"/>
          <w:color w:val="000000"/>
          <w:sz w:val="20"/>
          <w:lang w:val="en-US" w:eastAsia="en-US" w:bidi="ar-SA"/>
        </w:rPr>
        <w:t>(1).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72" w:name="Counsel_40"/>
      <w:bookmarkEnd w:id="272"/>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25" style="position:absolute;z-index:2518026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Gordon L. Crampton, for the plaintiff. Robert D. Shaw, for the defendant, ICBC on behalf of and in the name of Brian Fraser. A. David Mardiros, for the defendant, Rena Parker.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73" w:name="Judgment_40"/>
      <w:bookmarkEnd w:id="273"/>
      <w:r>
        <w:pict>
          <v:line id="_x0000_s1226" style="position:absolute;z-index:25185177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8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74" w:name="SCARTH J."/>
            <w:bookmarkEnd w:id="274"/>
            <w:r>
              <w:rPr>
                <w:rFonts w:ascii="arial" w:eastAsia="arial" w:hAnsi="arial" w:cs="arial"/>
                <w:b/>
                <w:color w:val="000000"/>
                <w:sz w:val="30"/>
                <w:lang w:val="en-US" w:eastAsia="en-US" w:bidi="ar-SA"/>
              </w:rPr>
              <w:t>SCARTH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Nicole Charlane Law claims damages for injuries sustained by her on July 16, 1996 as the result of a motor vehicle accident on Highway 37 approximately 105 kilometres north of Kitwanga, British Columbia. Both liability and quantum are in issue.</w:t>
      </w:r>
      <w:r>
        <w:rPr>
          <w:rFonts w:ascii="arial" w:eastAsia="arial" w:hAnsi="arial" w:cs="arial"/>
          <w:sz w:val="20"/>
          <w:lang w:val="en-US" w:eastAsia="en-US" w:bidi="ar-SA"/>
        </w:rPr>
        <w:cr/>
      </w:r>
    </w:p>
    <w:p>
      <w:pPr>
        <w:numPr>
          <w:numId w:val="1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LIABILITY OF BRIAN FRASER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Fundamentally, the plaintiff Ms. Law asserts that the motor vehicle accident in question was caused by the defendant Mr. Fraser's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compelling her to drive the motor vehicle in dangerous circumstances because he was impaired by alcohol and in interfering with her control of the motor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Ms. Law was born on July 14, 1979 in New Westminster. Her parents separated in 1986. In 1989 Ms. Law, her mother, her two older sisters Patricia and Lisa, then aged 13 and 12 respectively, her younger sister Katie, aged 8 years, and her brother Mike, aged 7 years, moved to Terrace.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accident occurred on July 16, 1996. Two days before it happened Ms. Law had her 17th birthday. She had failed the written part of the test for her driver's licence by two points and thus had neither a licence nor a learner's permit to drive a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Nonetheless, she had some experience driving a motor vehicle. According to Ms. Law she had driven her mother's Suburban vehicle on a 10 acre property and neighbouring roads to do errands. She had driven small cars on isolated streets, an ATV (all terrain vehicle) on the acreage, and, on one occasion, when her former boyfriend became ill, had driven his car from Onion Lake to Terrace, a trip of about 45 minutes duration.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Terrace Ms. Law, her mother and siblings, lived on Haugland Avenue in a subsidized low income housing complex. Ms. Law's mother, Janet Costain, following her separation from the children's father, earned a diploma as a human service worker and became co-ordinator at an emergency shelter. She supported the children. Across the street from their unit lived one Christopher Tassie, his common law spouse and three children. Ms. Law's sister, Katie, babysat for those children on a regular basis. On occasion Ms. Law babysat the children and visited the Tassie family when her sister was there. It was at the Tassie home that she became acquainted with Mr. Fraser.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Fraser visited Mr. Tassie at the latter's home. They were friends. In the Spring of 1996, about 2 months after she became acquainted with Mr. Fraser, he got a small, blue, four-door Ford vehicle. She saw Mr. Fraser, and no one else, drive the car. She saw him at the liquor store and pull into and leave Mr. Tassie's home. Ms. Law testified that Mr. Fraser said it was his vehicle. He asked her how she liked his new car. She replied: "Good, fine".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Ms. Law's testimony as to when Mr. Fraser got the car is at variance with other evidence before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On the day of the accident Katie Law was at Mr. Tassie's place. Ms. Law went over to speak with her sister. Mr. Fraser's car was in Mr. Tassie's driveway. Mr. Tassie and Mr. Fraser told Ms. Law they were going to Great Bear Glacier which is near the border with Alaska. Mr. Fraser invited her to join them, she stated, although she was uncertain in cross-examination whether he invited her or whether it was Mr. Tassie. Ms. Law went home to shower, change her clothes and telephone her mother. Her mother wanted time to think and to call Katie. She gave her permission for Ms. Law to go "as long as no one is drinking". Before leaving Mr. Tassie's home Mr. Tassie or Mr. Fraser said they were going to go to Hyder, Alaska, which is on the border near the Glacier. But there was no discussion about drinking and neither man appeared to have been drinking, Ms. Law testified. The two men were trying to pull out the back seat of Mr. Fraser's car, which was in the trunk and covered with a sheet.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After leaving Mr. Tassie's home they drove first to the Kitsumkalum Reserve where Mr. Tassie met his father and got cigarettes and gasoline. Then they went to the Skeena Mall in Terrace where Ms. Law saw her sister Patricia, and the two men got some tapes for the car player. Ms. Law testified in cross-examination that her sister questioned her about the wisdom of going and told her she should not go with Mr. Fraser. But she wanted to see the Glacier and Alaska and make her then boyfriend, Jamie Eckman, jealous. They also stopped at the Skeena Hotel where Mr. Tassie picked up a 15 pack and six pack of beer and, at Ms. Law's request, a four pack of coolers. The liquor was put on the back seat of the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They left Terrace at about 2:00 in the afternoon. Mr. Fraser drove whilst Mr. Tassie sat in the front passenger seat and Ms. Law sat behind him. They travelled along Highway 16 to Kitwanga, where the men got out to use the washroom, and thence along Highway 37 toward Stewart. At the Stewart junction, Ms. Law stated, they got rid of the case of empty beer cans. She went to the washroom. Up to that point she had no concern with respect to Mr. Fraser's ability to drive. She assumed he had been drinking the beer. She knew Mr. Tassie had been drinking it. At the border they unloaded the case of cider, Ms. Law got into the front passenger seat, Mr. Tassie sat in the rear, and Mr. Fraser drove to Hyder in the State of Alaska. Ms. Law testified that Mr. Fraser tried to grab her leg, thighs and breasts during the times she sat in the back of the car and in the front seat. She did not want him to do that and said to him that she would hug him if he left her alone.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Hyder the three of them went to the tavern. Ms. Law was too young to go in but she wanted to write her name and the date on a piece of paper currency and put it on the board. The barman let her sit but refused her service.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They were in the tavern for half an hour. Mr. Fraser and Mr. Tassie proceeded to get "Hyderized", which involves drinking a shot of two ounces of Everclear alcohol and chasers of beer. The effect is one of immediate intoxication.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Ms. Law stated that whilst they were in Hyder the two men bought a mickey of the clear alcohol, some American beer and a bottle of hard liquor. Mr. Fraser tried to get her to drink the mickey in the car but she would not do so. Mr. Fraser then drank it out of the cap and put it under the seat.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Ms. Law was concerned about Mr. Fraser. He was swerving and his speech was impaired. Both men were intoxicated. Normally, she said, Mr. Fraser would not grab her, although she did not know him too well. He wanted a hug so she gave him one to keep him away from her. On the way back to Terrace they stopped at the Bear Glacier lookout so that the men could urinate. Mr. Fraser fell down the hill. Ms. Law testified that she was scared. She had nowhere to go. There were no other cars about. She had to drive, she testified, because both men were so intoxicated they were unable to stand and "peed" on themselves. She got into the driver's seat of the car and said she would drive. Mr. Fraser gave her the car keys.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Ms. Law drove the car. Mr. Fraser sat beside her in the front passenger-seat. As she pulled the car out of the lookout area it swerved and "did a little fish-tail". As well, at Meziadin Junction the car "fish-tailed", but she could "handle it", she said. She felt "panicky" and kept both hands on the wheel. This gave Mr. Fraser a "free for all" grabbing her. She felt it safest to drive home slowly. So she drove at about 70 kilometres per hour. She told the Court she did not know how long she had been driving, but a couple of minutes before the accident Mr. Fraser told her to speed up and to put the cruise control on. She told him she did not know how to use the cruise control. He put it on. The car then travelled at 100 kilometres per hour. The road was winding. She saw a "dog-like" animal on the road and went around it, and then went around the "corner" of the road. Mr. Fraser asked her in crude terms what she was doing and grabbed the wheel. She said in cross-examination that before she swerved he had passed out. He was in and out of consciousness, slumped over and appeared to be sleeping. When he grabbed the wheel she told him to let go. The car hit the cliff. At the moment of impact the cruise control was off and the car was going between 70 and 90 kilometres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accident, Ms. Law "suspected", happened at about 8:00 o'clock in the evening. It occurred at a point on Highway 37 between 75 and 85 kilometres from the Bear Glacier lookout.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Ms. Law denied in cross-examination that as they were going down the highway after leaving the Bear Glacier lookout she swerved the car back and forth and, rather than trying to avoid an animal, drove in a silly manner. She denied that Mr. Fraser told her to "cut it out" and that the second time she swerved she overdid it and went into the wall. She was not mocking, she said; there was an animal on the road and Mr. Fraser did grab the wheel.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terms of demeanour Ms. Law, I found, presented herself in the witness box as a convincing witness. In assessing her credibility, however, it is necessary to consider certain inconsistencies between her testimony in Court and certain statements made by her on her examination for discovery and to an ICBC adjuster.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Following her release from the hospital in Prince George, Ms. Law returned to her home in Terrace. On August 9, 1996, 24 days after the accident, Ms. Law gave an oral statement, which was tape-recorded and later transcribed, to Ms. Christine Olson, an experienced adjuster employed by ICBC.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her statement Ms. Law refers to the presence of an animal on the road in these words: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Yeah. Well I went around the corner and just as I was coming around the corner, I don't like, it sound kind of stupid but I can't remember what kind of animal it was or anything but that's just a big kind of blur.</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Came around and I seen this animal so I went to swerve. I guess I fishtailed, you know, where your back end just slides out like that and then I went like that and just smacked right into the wall.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It was put to Ms. Law in cross-examination that nowhere in her statement did she refer to Mr. Fraser as having grabbed the wheel. Ms. Law agreed she had not said in her statement that Mr. Fraser had grabbed the steering wheel, but claimed that she was just out of concussion and that she was on morphine and Tylenol.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 accept the evidence of the ICBC adjuster who took the statement, Ms. Olson, that she found Ms. Law "alert, coherent, answered promptly, and was straight-forward and honest". Ms. Law was not, according to Ms. Olson, "sluggish in giving answers". Ms. Law's mother, Ms. Costain, who was present for the taking of the statement, did not in her testimony refute Ms. Olson's assessment of Ms. Law's ability to give the statement. Ms. Costain did say that her daughter was on medication and was "dopey".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Nor did Ms. Law, in her statement, refer to Mr. Fraser as having grabbed at her. In her re-examination she explained that she was embarrassed and did not tell the adjuster Mr. Fraser was grabbing at her so it would not appear she was a "toy".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Another aspect of Ms. Law's testimony is that in her cross-examination she told the Court that on the way back from Hyder, when they stopped at the Bear Glacier lookout, she saw a canoe on the lake and a BMW in the parking area. According to Ms. Law she said "Hi" to the occupants of the BMW and asked where they were going. It was put to her that she did not ask for help or a ride or a call to the police.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Later in her testimony she was recalled in chief and said she had made a mistake - it was on the way up to Hyder that she saw the van at the Glacier.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following questions and answers from Ms. Law's examination for discovery held on April 13, 2000 were then put to her in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316 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Was there any stops on the trip home before the accident?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there was.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317 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Where was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 was at the Bear Glacier.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318 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How far into the trip was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do not know.</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319 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What happened at the Bear Glacier?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Bear Glacier?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320 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What did you do there?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got out and I was looking at the big glacier because there is water underneath and somebody was canoeing in it at that time. Brian and Chris had gotten out of the car because they had to use the washroom. At this time I noticed that they were very, very intoxicated. They had not got out until, they were sitting in there doing I don't know what.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But, there was a BMW there and I was talking to them, those people there and then they left and then Brian and Chris got out of the vehicle and they were heading the other way, the people. They were just going up to Hyder Alaska. So Brian and Chris got out of the vehicle to use the washroom. They walked over to these concrete barriers so you don't go further than you are supposed to and they went, Chris or Brian, Chris had just used the washroom right behind the barrier and Brian had gone down the hill a bit and he fell down the hill a bit and then he used the washroom down there and then climbed his way back up and I had a cigarette out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Ms. Law's response was that although her memory was "probably" better on the examination for discovery, they did stop on the way up and that was when she had seen them - the people with the BMW.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It must be borne in mind that in assessing the credibility of a witness demeanour alone cannot be determinative particularly where, as here, there are conflicting versions of how the accident occurred. As stated by Mr. Justice O'Halloran in Faryna v. Chorny (1951), 4 W.W.R. 171 (B.C.C.A.), at p. 174: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credibility of interested witnesses, particularly in cases of conflict of evidence, cannot be gauged solely by the test of whether the personal demeanour of the particular witness carried conviction of the truth. The test must reasonably subject his story to an examination of its consistency with the probabilities that surround the currently existing conditions. In short, the real test of the truth of the story of a witness in such a case must be its harmony with the preponderance of the probabilities which a practical and informed person would readily recognize as reasonable in that place and in those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virtually every detail Mr. Fraser's version of what happened on the day of the accident conflicts with Ms. Law's version.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Fraser was born on November 3, 1970. At the time of the accident on July 16, 1996 he was 25 years of age. At the time of the trial in November, 2001 he lived in a common law relationship with one Christina Christensen. They had one child, a girl, aged 3, and a second child on the way. Ms. Christensen's sister, Erika, was Mr. Tassie's common law wife. Mr. Fraser and Mr. Tassie had known each other since they attended elementary school together, and were close friends.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Mr. Fraser worked as a heli logger for various companies in the Province. He was foreman with a crew of five. His role was to ensure logs for shakes were cut in the right spot for the chokers so they could be safely airlifted out of the bush by helicopter and to keep track of the wood. His work required that he spend 14 days, and occasionally 21 days, in the bush followed by a 7 day period at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By July, 1996 Mr. Fraser had been living in Terrace for 6 months. It was a base for his work. He lived in Ms. Christensen's parents' home on the Kitsumkalum Reserve.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Prior to the day of the accident, he stated, he had a black Ford pickup vehicle, but nothing similar to the blue Ford car involved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He had met Ms. Law a few times at Mr. Tassie's home. She was there with her sister or there as a friend of Mr. Tassie. Mr. Fraser "assumed" she was over 16 and that she had a driver's licence. Mr. Fraser testified that he had seen her driving out of the parking lot of the complex in a jeep or Toyota pickup more than once; he does not recall seeing her drive a passenger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A day or so before the accident Mr. Fraser's black Ford pickup broke down. He needed a vehicle to get to work. An acquaintance, one Danny Parker, mentioned that his mother, the defendant Rena Parker, had a car. In sum, according to Mr. Fraser, he obtained the small, blue, four-door Ford vehicle, which was involved in the accident in issue here, from its owner, Rena Parker, on the day of the accident, with her consent, for the purpose of "test-driving" it. Although he understood the car was for sale he does not recall any discussion with Mrs. Parker about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 Tassie was with Mr. Fraser at the time he obtained possession of the car. Mr. Fraser believes he got some fuel. They had no immediate plans, but Mr. Tassie suggested Hyder so they decided to drive there and to the glaciers. Mr. Fraser had never been there before. Ms. Christensen was at work on the fishing boat so he had the day free.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Around noon they ended up at Mr. Tassie's home. Mr. Tassie went inside to get a six pack of beer which he put on the back seat or floor of the car. Mr. Fraser does not recall the trunk being open or a blanket or sheet to put the liquor in. He does not recall anything being done with the back of the car, he said. That does not mean it did not happen; just that he does not recall.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Mr. Fraser was inside the car whilst Mr. Tassie spoke to Ms. Law and her sister outside the car. He asked Ms. Law if she wanted to come for a ride. Mr. Fraser does not recall a discussion about going to Hyder. The plan, Mr. Fraser told the Court, was for the three of them to go to the glaciers on a day trip. He does not recall Ms. Law having a discussion with her sister Katie, returning home and then coming back to Mr. Tassie's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They left Terrace about 1:00 in the afternoon. Mr. Fraser believes that he drove. They did not stop before Kitwanga, Mr. Fraser testified. There was no stop at the Cold Wine and Beer Store in the Skeena Hotel. Nor did they stop at the Skeena Mall for tapes or see Patricia Law there. There had been no discussion with Katie Law about getting "Hyderized". Mr. Fraser, in cross-examination, denied asking Ms. Law, during the trip to Kitwanga, how old she was or if she liked his new car. The only liquor in the car on the way to Kitwanga, he told the Court, was the six pack Mr. Tassie had brought.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It took about four hours to get to the Glacier. They got out there to use the washroom and have a couple of beer. The six pack had remained untouched to that point. They were at Bear Glacier for 15 minutes. Then they drove on to Hyder. In between there were no stops.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They stopped at a wooden sign in Hyder but did not stop in the town. According to Mr. Fraser they did not go into the tavern. He denies that either he or Mr. Tassie got "Hyderized". He denies buying a mickey of Everclear. He does not recall any bottle of liquor or cans of American beer being in the car. Mr. Fraser states that he did not buy any liquor in Hyder; he does not know if Mr. Tassie did. Mr. Fraser says he did not pour Everclear into a cap and offer it to Ms.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On their return from Alaska they again stopped at Bear Glacier. Mr. Fraser stated that Ms. Law got into the driver's seat and said: "I want to drive". The keys were in the vehicle. Mr. Fraser said to her: "Be careful". As they pulled away from the lookout area there was nothing unusual about her driving.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From the Glacier to the place where the accident occurred took between 20 minutes and one-half hour, according to Mr. Fraser. He thought the accident happened around 7:00 in the evening.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As they were driving back toward Terrace, Mr. Fraser testified, everything was fine, and then Ms. Law started fooling around with the steering wheel. She went from side to side, from lane to lane. She giggled. Mr. Fraser told her to "cut it out". She did for a minute, and then did it again. The car was then travelling between 70 and 75 kilometres per hour. She did a harder crank on the wheel, and then the car "fish tailed" and slammed into the wall.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According to Mr. Fraser there was no animal "that I recall". In his cross-examination he was more positive about that. "There was no animal on the road", he testified. "That did not happen", he stated. He does not recall telling one of the doctors in Prince George, or anyone else, that there was an animal. He told the Court that he did not grab the wheel. It happened too fast, he said. He was awake before the accident, in the front passenger seat. He did not put the cruise control on or laugh. He denied trying to fondle Ms. Law or grab her breasts.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Mr. Fraser also testified in a convincing way. He was frank to concede that in testifying five years after the accident he does not remember certain things, such as what he is alleged to have said to certain people and whether the accident took place on an "S" corner. But he denies unequivocally being drunk, although he acknowledges he had two to three beer from the six pack.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Mr. Tassie was not called as a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As I indicated earlier in these reasons demeanour alone is not determinative in a situation where the evidence of the two principal witnesses is in conflict. The quest is to relate their versions of the events to the other evidence before the Court to determine where the probabilities lie.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Robert Wygand was working as a consultant in the forest industry in 1996. He lived in Smithers. On July 16, 1996, between 8:00 and 8:30 in the evening, he saw the green Ford Escort on the east side of the highway, in the north bound lane, in the ditch. There was smoke coming from under the hood. The location was 105 kilometres from Kitwanga. He was with a co-worker Randall Fraser (unrelated to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They slid the front seat passenger (Mr. Fraser) onto a board and moved him to the shoulder of the road. He told the Court there was a "definite smell of alcohol from both men". The back seat passenger (Mr. Tassie) was in a daze. His speech was slurred and his voice was low. He smelled of alcohol. He said the word: "Hyderized". Mr. Wygand stated that the back seat passenger took bottles and what looked like U.S. cans to the other side of the road and ditched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front seat passenger had a broken leg. He cursed under his breath and said: "Dumb bitch". Mr. Wygand said he could communicate with him. The man required traction for his broken leg and showed Mr. Wygand what to do - put a shirt around the ankle and pull on the material to keep tension on the leg. Mr. Wygand was with him for one to one and one-half hours. His co-worker was with the driver (Ms. Law) who was trapped in the vehicle and was screaming and hysterical.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After the scene was cleared he found a bottle of "Everclear Green Alcohol" among the cans and bottles. It had been opened, but 5 years later it was still pretty full. Mr. Wygand has it as a keepsake.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Randall Fraser testified that he also lives in Smithers. During the summers of 1995 and 1996 he was working on his B.Sc. in Forestry. He was employed by Tyee Forest Products Ltd. He and Mr. Wygand were friends.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At 8:00 o'clock in the evening Mr. Fraser and Mr. Wygand came upon the motor vehicle accident. They were travelling north on Highway 37. The vehicle involved in the accident was in a ditch on the north side of the highway, against a rock wall. It was at the end of an "S" curve.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driver (Ms. Law) was pinned behind the wheel. She was in pain, and was concerned because she had no licence and the car was borrowed.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front seat passenger (Mr. Fraser) had a fractured leg. Mr. Randall Fraser described him as being "obnoxious". He swore. There was a strong odour of alcohol from both passengers. The front seat passenger, according to this witness, appeared intoxicated. He was agitated, abusive and uttered profanities.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rear seat passenger, he said, was concerned about alcohol - he disposed of beer and a bottle of Everclear over the bank before the police arrived.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Dennis Coté was an equipment operator in 1996. His home was in Terrace, but in July, 1996 he was operating a back hoe and living in a camp at White 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He received a call and attended the accident scene about 5 minutes from where he was. Five or six people were there helping the driver of the car (Ms.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Mr. Coté described the scene. The car was in the ditch beside a rock wall which was on the left side of the highway coming south. On the right side is a drop-off to the Nass River. The "S" curve is sharp and the corner is dangerous. Coming out of the corner there is a downcline as one proceeds south. He estimated the accident occurred between 75 and 85 kilometres from the glacier, more or less, although he was not certain.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Mr. Coté testified that he had a discussion with the driver of the car during which she told him she was worried about what her parents would do to her, that she was forced to drive because the occupants were drinking - they forced her to drive - and that she was concerned because she had no driver's licence.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Objection was taken by the defence to the admissibility of this evidence on the ground that it offends the rule against the admissibility of self-serving evidence. On behalf of the plaintiff it was argued that the evidence is admissible to rebut the assertion of recent fabrication or concoction by demonstrating consistency in the plaintiff's version of the events and not for the truth of the out-of-court statement made by her to Mr. Coté.</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Similarly, Patricia Law, the plaintiff's sister, testified that she visited the plaintiff over a four-day period in the hospital in Prince George beginning on July 18th, two days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According to Patricia Law, her sister was in and out of consciousness. She remembered "little things", like the trip, Brian [Fraser] hitting on her and trying to grab her breasts, swerving to avoid a fairly big animal and stopping at the Glacier. There, stated Patricia Law, her sister Nicole said the men went to the washroom. She got into the driver's seat. She did not remember how long she drove before the accident happened, but recalled she went over the line, he grabbed the wheel and they crashed. In cross-examination Patricia Law testified that whilst she was at the hospital with Nicole, her sister told her that he [Mr. Fraser] was grabbing at her breasts and that he had grabbed the steering wheel, and she had swerved. She never told the police or ICBC, according to the witness, but had mentioned it to her lawyer a few months prior to the trial and had talked about it amongst the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For the purpose of showing consistency in relation to the issue of recent fabrication, and not for the purpose of establishing the truth of Ms. Law's statements to Mr. Coté or Ms. Patricia Law, I am of the opinion that what Ms. Law is alleged to have said regarding the presence of an animal on the road and Mr. Fraser's actions in grabbing the wheel and grabbing at Ms. Law, is properly before the Court. Ms. Law's statements to the effect that the men were so intoxicated she was forced to drive are not admissible on the same basis, in my judgment, because the assertion of recent fabrication was not raised in relation to them. Indeed, in her statement to the ICBC adjuster on August 9, 1996 Ms. Law stated that Mr. Fraser "got Hyderized" and: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Yeah, I started driving because he was scaring me 'cause he's like, you know, just people get that look that they can't.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In cross-examination Mr. Coté said that he does not recall any mention by the driver of swerving to avoid an animal or a passenger grabbing the steering wheel.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Patricia Law also testified that her sister came into the Mall to buy tapes. She told her she was going to Hyder with Brian [Fraser] and Chris [Tassie], and that their mother said she could go. They were going to the Cold Wine and Beer Store and then taking off, the witness told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Patricia Law stated that she was concerned because she did not know the men. She herself had been to Hyder on a camping trip and got "Hyderized". It was like being instantly drunk because the alcohol content was so high.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Katie Law testified as well. She was 15 years old at the time of the accident. She babysat the Tassie children, and was a nanny there for four months. One month before the accident Mr. Tassie and his girlfriend Erika broke up. The children were 6, 2 1/2 and 1 1/2 years of 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Katie Law told the Court that the only vehicle she saw Mr. Fraser with was the four-door blush green compact. She first saw Mr. Fraser with the car 4 months before the accident. He was showing it to Mr. Tassie. She saw him driving it three or four times a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Katie Law described Mr. Fraser as being very ignorant and "all around rude". When he and Mr. Tassie were together they were always drinking.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On the day of the accident, according to Ms. Katie Law, Mr. Fraser came to Mr. Tassie's home and asked Mr. Tassie if he wanted to go to Alaska. They discussed what food to take. Outside Mr. Tassie was kneeling on the back seat, ripping it out to hold beer. He got a sheet to hold the seat.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Her sister Nicole came over and asked what was going on. Mr. Fraser invited her to go to Hyder, although Ms. Katie Law stated she did not recall exactly what was said. Her sister said: "Okay", and asked what they would be doing. She was told by Mr. Fraser they were to "get Hyderized" and see the Glacier. They asked if she had any two dollar bills for the bar.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Her sister went home to call her mother. She returned wearing Katie's new pants. Her mother telephoned about noon. Ms. Katie Law had seen no alcohol to then. Her sister and the men left.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Ms. Costain testified that during the early morning following the accident - around 2:00 a.m. - she was about 3 feet from Mr. Fraser in the hospital. He was beside her daughter. "I could smell beer on him", Ms. Costain told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The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Mr. Fraser are set out in paragraph 6 of the statement of claim as follows:</w:t>
      </w:r>
      <w:r>
        <w:rPr>
          <w:rFonts w:ascii="arial" w:eastAsia="arial" w:hAnsi="arial" w:cs="arial"/>
          <w:sz w:val="20"/>
          <w:lang w:val="en-US" w:eastAsia="en-US" w:bidi="ar-SA"/>
        </w:rPr>
        <w:cr/>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Directing the infant plaintiff to operate the motor vehicle on the highway when he knew or ought to have known that she had no or little experience in driving a vehicle on a highway and that this was beyond her capabilities;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Directing the infant plaintiff to operate the motor vehicle at a rate of speed in excess of the speed limit, or in the alternative, at a rate of speed that was excessive in the circumstances;</w:t>
      </w:r>
    </w:p>
    <w:p>
      <w:pPr>
        <w:numPr>
          <w:numId w:val="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keep a proper lookout or any lookout at all while he had the care, control and possession of the motor vehicle;</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keep the vehicle under proper control or any control at all while he had the care, control and possession of the motor vehicle;</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direct the course of the motor vehicle so as to avoid the accident;</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Having care, control and possession of the motor vehicle while under the influence of alcohol, drugs, illness or fatigue which impaired his ability to control and direct the driving of the infant plaintiff;</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direct the infant plaintiff to reduce the speed of the motor vehicle seasonably or in time to avoid the accident or, in the alternative, failing to direct the infant plaintiff to stop the vehicle seasonably or in time to avoid the accident;</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direct the infant plaintiff to turn out seasonably or in time to avoid the accident or failing to direct the infant plaintiff to direct the course of the vehicle so as to prevent the accident when he knew or ought to have known that the accident was imminent;</w:t>
      </w:r>
    </w:p>
    <w:p>
      <w:pPr>
        <w:numPr>
          <w:numId w:val="12"/>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be careful and prudent in directing the infant plaintiff in her operation of the motor vehicle, having regard to all the circumstances;</w:t>
      </w:r>
    </w:p>
    <w:p>
      <w:pPr>
        <w:numPr>
          <w:numId w:val="1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In suddenly attempting to take control of the motor vehicle or interfering with the operation of the motor vehicle by the infant plaintiff causing her to lose control which resulted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In essence Ms. Law alleges that Mr. Fraser was in breach of the duty of care he owed to her by becoming intoxicated by alcohol thereby compelling her to drive the car when it was reasonably foreseeable that she would suffer harm as a result (negligent entrustment), by failing to exercise proper control over the motor vehicle and Ms. Law (negligent supervision), and by interfering with her operation of the motor vehicle (negligent interference). The authorities to which I have been referred by counsel, although not factually similar to the case at bar, support the proposition that liability can be founded on these bases: Cella (Litigation Guardian Of) v. McLean </w:t>
      </w:r>
      <w:hyperlink r:id="rId724" w:history="1">
        <w:r>
          <w:rPr>
            <w:rFonts w:ascii="arial" w:eastAsia="arial" w:hAnsi="arial" w:cs="arial"/>
            <w:i/>
            <w:color w:val="0077CC"/>
            <w:sz w:val="20"/>
            <w:u w:val="single"/>
            <w:shd w:val="clear" w:color="auto" w:fill="FFFFFF"/>
            <w:lang w:val="en-US" w:eastAsia="en-US" w:bidi="ar-SA"/>
          </w:rPr>
          <w:t>(1997), 148 D.L.R. (4th) 514</w:t>
        </w:r>
      </w:hyperlink>
      <w:r>
        <w:rPr>
          <w:rFonts w:ascii="arial" w:eastAsia="arial" w:hAnsi="arial" w:cs="arial"/>
          <w:color w:val="000000"/>
          <w:sz w:val="20"/>
          <w:lang w:val="en-US" w:eastAsia="en-US" w:bidi="ar-SA"/>
        </w:rPr>
        <w:t xml:space="preserve"> (Ont. C.A.); Rice v. Chan Estate, </w:t>
      </w:r>
      <w:hyperlink r:id="rId725" w:history="1">
        <w:r>
          <w:rPr>
            <w:rFonts w:ascii="arial" w:eastAsia="arial" w:hAnsi="arial" w:cs="arial"/>
            <w:i/>
            <w:color w:val="0077CC"/>
            <w:sz w:val="20"/>
            <w:u w:val="single"/>
            <w:shd w:val="clear" w:color="auto" w:fill="FFFFFF"/>
            <w:lang w:val="en-US" w:eastAsia="en-US" w:bidi="ar-SA"/>
          </w:rPr>
          <w:t>[1998] B.C.J. No. 2878</w:t>
        </w:r>
      </w:hyperlink>
      <w:r>
        <w:rPr>
          <w:rFonts w:ascii="arial" w:eastAsia="arial" w:hAnsi="arial" w:cs="arial"/>
          <w:color w:val="000000"/>
          <w:sz w:val="20"/>
          <w:lang w:val="en-US" w:eastAsia="en-US" w:bidi="ar-SA"/>
        </w:rPr>
        <w:t xml:space="preserve"> (B.C.S.C.); Co-operative Fire and Casualty Co. v. Doiron et al. </w:t>
      </w:r>
      <w:hyperlink r:id="rId726" w:history="1">
        <w:r>
          <w:rPr>
            <w:rFonts w:ascii="arial" w:eastAsia="arial" w:hAnsi="arial" w:cs="arial"/>
            <w:i/>
            <w:color w:val="0077CC"/>
            <w:sz w:val="20"/>
            <w:u w:val="single"/>
            <w:shd w:val="clear" w:color="auto" w:fill="FFFFFF"/>
            <w:lang w:val="en-US" w:eastAsia="en-US" w:bidi="ar-SA"/>
          </w:rPr>
          <w:t>(1979), 108 D.L.R. (3d) 107</w:t>
        </w:r>
      </w:hyperlink>
      <w:r>
        <w:rPr>
          <w:rFonts w:ascii="arial" w:eastAsia="arial" w:hAnsi="arial" w:cs="arial"/>
          <w:color w:val="000000"/>
          <w:sz w:val="20"/>
          <w:lang w:val="en-US" w:eastAsia="en-US" w:bidi="ar-SA"/>
        </w:rPr>
        <w:t xml:space="preserve"> (N.B.C.A.); Paulus v. Robinson </w:t>
      </w:r>
      <w:hyperlink r:id="rId727" w:history="1">
        <w:r>
          <w:rPr>
            <w:rFonts w:ascii="arial" w:eastAsia="arial" w:hAnsi="arial" w:cs="arial"/>
            <w:i/>
            <w:color w:val="0077CC"/>
            <w:sz w:val="20"/>
            <w:u w:val="single"/>
            <w:shd w:val="clear" w:color="auto" w:fill="FFFFFF"/>
            <w:lang w:val="en-US" w:eastAsia="en-US" w:bidi="ar-SA"/>
          </w:rPr>
          <w:t>(1991), 60 B.C.L.R. (2d) 116</w:t>
        </w:r>
      </w:hyperlink>
      <w:r>
        <w:rPr>
          <w:rFonts w:ascii="arial" w:eastAsia="arial" w:hAnsi="arial" w:cs="arial"/>
          <w:color w:val="000000"/>
          <w:sz w:val="20"/>
          <w:lang w:val="en-US" w:eastAsia="en-US" w:bidi="ar-SA"/>
        </w:rPr>
        <w:t xml:space="preserve"> (C.A.); Marcoux v. Martineau (1987), </w:t>
      </w:r>
      <w:hyperlink r:id="rId728" w:history="1">
        <w:r>
          <w:rPr>
            <w:rFonts w:ascii="arial" w:eastAsia="arial" w:hAnsi="arial" w:cs="arial"/>
            <w:i/>
            <w:color w:val="0077CC"/>
            <w:sz w:val="20"/>
            <w:u w:val="single"/>
            <w:shd w:val="clear" w:color="auto" w:fill="FFFFFF"/>
            <w:lang w:val="en-US" w:eastAsia="en-US" w:bidi="ar-SA"/>
          </w:rPr>
          <w:t>52 Alta. L.R. (2d) 44</w:t>
        </w:r>
      </w:hyperlink>
      <w:r>
        <w:rPr>
          <w:rFonts w:ascii="arial" w:eastAsia="arial" w:hAnsi="arial" w:cs="arial"/>
          <w:color w:val="000000"/>
          <w:sz w:val="20"/>
          <w:lang w:val="en-US" w:eastAsia="en-US" w:bidi="ar-SA"/>
        </w:rPr>
        <w:t xml:space="preserve"> (Q.B.); (1989), </w:t>
      </w:r>
      <w:hyperlink r:id="rId729" w:history="1">
        <w:r>
          <w:rPr>
            <w:rFonts w:ascii="arial" w:eastAsia="arial" w:hAnsi="arial" w:cs="arial"/>
            <w:i/>
            <w:color w:val="0077CC"/>
            <w:sz w:val="20"/>
            <w:u w:val="single"/>
            <w:shd w:val="clear" w:color="auto" w:fill="FFFFFF"/>
            <w:lang w:val="en-US" w:eastAsia="en-US" w:bidi="ar-SA"/>
          </w:rPr>
          <w:t>66 Alta. L.R. (2d) 379</w:t>
        </w:r>
      </w:hyperlink>
      <w:r>
        <w:rPr>
          <w:rFonts w:ascii="arial" w:eastAsia="arial" w:hAnsi="arial" w:cs="arial"/>
          <w:color w:val="000000"/>
          <w:sz w:val="20"/>
          <w:lang w:val="en-US" w:eastAsia="en-US" w:bidi="ar-SA"/>
        </w:rPr>
        <w:t xml:space="preserve"> (C.A.); Stermer v. Lawson </w:t>
      </w:r>
      <w:hyperlink r:id="rId730" w:history="1">
        <w:r>
          <w:rPr>
            <w:rFonts w:ascii="arial" w:eastAsia="arial" w:hAnsi="arial" w:cs="arial"/>
            <w:i/>
            <w:color w:val="0077CC"/>
            <w:sz w:val="20"/>
            <w:u w:val="single"/>
            <w:shd w:val="clear" w:color="auto" w:fill="FFFFFF"/>
            <w:lang w:val="en-US" w:eastAsia="en-US" w:bidi="ar-SA"/>
          </w:rPr>
          <w:t>(1977), 79 D.L.R. (3d) 366</w:t>
        </w:r>
      </w:hyperlink>
      <w:r>
        <w:rPr>
          <w:rFonts w:ascii="arial" w:eastAsia="arial" w:hAnsi="arial" w:cs="arial"/>
          <w:color w:val="000000"/>
          <w:sz w:val="20"/>
          <w:lang w:val="en-US" w:eastAsia="en-US" w:bidi="ar-SA"/>
        </w:rPr>
        <w:t xml:space="preserve"> (B.C.S.C.); varied </w:t>
      </w:r>
      <w:hyperlink r:id="rId731" w:history="1">
        <w:r>
          <w:rPr>
            <w:rFonts w:ascii="arial" w:eastAsia="arial" w:hAnsi="arial" w:cs="arial"/>
            <w:i/>
            <w:color w:val="0077CC"/>
            <w:sz w:val="20"/>
            <w:u w:val="single"/>
            <w:shd w:val="clear" w:color="auto" w:fill="FFFFFF"/>
            <w:lang w:val="en-US" w:eastAsia="en-US" w:bidi="ar-SA"/>
          </w:rPr>
          <w:t>107 D.L.R. (3d) 36</w:t>
        </w:r>
      </w:hyperlink>
      <w:r>
        <w:rPr>
          <w:rFonts w:ascii="arial" w:eastAsia="arial" w:hAnsi="arial" w:cs="arial"/>
          <w:color w:val="000000"/>
          <w:sz w:val="20"/>
          <w:lang w:val="en-US" w:eastAsia="en-US" w:bidi="ar-SA"/>
        </w:rPr>
        <w:t xml:space="preserve"> (B.C.C.A.).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 find Mr. Fraser's version of the events surrounding the accident more in accordance with the probabilities and accept his version in preference to that of Ms. Law. My reasons are these.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First, I accept Mr. Fraser's evidence that whilst he drank part of a six pack of beer he did not get "Hyderized". The evidence before the Court is that indulging in such an activity renders one instantly intoxicated or, to use Mr. Crampton's colourful description, "drunk as a skunk". Here, however, Mr. Fraser, albeit described by Ms. Law as "swerving" on the return trip from Hyder to the Great Bear Glacier, was able to drive the car. Moreover, at the accident scene, he was able to instruct Mr. Wygand on how to apply traction to his fractured leg. I am satisfied on the evidence that he did not render himself incapable of driving the car and that he did not, in effect, force an inexperienced driver to assume control of the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Secondly, I found Ms. Law tended to tailor or adjust her version of the events in a way which she felt favoured her side of the story, such as seeing the people with the BMW on the way to Great Bear Glacier.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Thirdly, the evidence establishes that Ms. Law did not have a driver's licence or learner's permit, although Mr. Fraser reasonably "assumed" she had the former because he had seen her driving around Terrace. The lack of a licence, and the age of the plaintiff, are factors the Court may consider in deciding whether a duty of care existed: Stermer v. Lawson, supra. As well, however, it is necessary to bear in mind that Ms. Law had experience driving prior to the accident and in fact demonstrated competence during the 45 minute drive from Great Bear Glacier to the situs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Fourthly, I accept Mr. Fraser's evidence that he did not grab the steering wheel immediately prior to the crash. According to Ms. Law, Mr. Fraser was sitting beside her in the front passenger seat of the car in a drunken stupor at the time he suddenly grabbed the wheel. This caused the car to veer into the wall of the cliff and constituted blatant interference with her driving. Incredibly she fails to mention this, one of the most significant factors in her case, in her statement to ICBC. If she did tell her sister Patricia Law, whilst in the hospital, that Mr. Fraser had grabbed the wheel, it makes it all the more incredible that she did not say so when she made her statement to the adjuster.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 also accept Mr. Fraser's evidence that he did not grab at Ms.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In short, I conclude there was no negligent entrustment, negligent supervision, or negligent interference, on Mr. Fraser's part.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 find that what happened is that when Ms. Law and the two men stopped at the Great Bear Glacier lookout on the way back to Terrace from Hyder Ms. Law decided that she wanted to drive the car. Mr. Fraser permitted her to do so. He exhorted her to be careful. The drive was uneventful for about 45 minutes. Then she started to "fool around" by swerving from one lane to another. Mr. Fraser admonished her by telling her to "cut it out". She did as she was told briefly, and then began "joking about" again. This time, however, the car was either at the beginning or end of an "S" curve and began to "fish-tail". It went out of control and into the wall.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 action against Mr. Fraser must be dismissed.</w:t>
      </w:r>
      <w:r>
        <w:rPr>
          <w:rFonts w:ascii="arial" w:eastAsia="arial" w:hAnsi="arial" w:cs="arial"/>
          <w:sz w:val="20"/>
          <w:lang w:val="en-US" w:eastAsia="en-US" w:bidi="ar-SA"/>
        </w:rPr>
        <w:cr/>
      </w:r>
    </w:p>
    <w:p>
      <w:pPr>
        <w:numPr>
          <w:numId w:val="14"/>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LIABILITY OF RENA PARKER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Mrs. Rena Parker was the registered owner of the motor vehicle in question. Her liability is vicarious and arises by virtue of s. 86(1) of the Motor Vehicle Act,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In light of my finding that Mr. Fraser was not negligent regarding Ms. Law, no liability on the part of Mrs. Parker arises. The claim against her is dismissed.</w:t>
      </w:r>
      <w:r>
        <w:rPr>
          <w:rFonts w:ascii="arial" w:eastAsia="arial" w:hAnsi="arial" w:cs="arial"/>
          <w:sz w:val="20"/>
          <w:lang w:val="en-US" w:eastAsia="en-US" w:bidi="ar-SA"/>
        </w:rPr>
        <w:cr/>
      </w:r>
    </w:p>
    <w:p>
      <w:pPr>
        <w:numPr>
          <w:numId w:val="15"/>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If necessary counsel may speak to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SCARTH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27" style="position:absolute;z-index:25189478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32"/>
          <w:headerReference w:type="default" r:id="rId733"/>
          <w:footerReference w:type="even" r:id="rId734"/>
          <w:footerReference w:type="default" r:id="rId735"/>
          <w:headerReference w:type="first" r:id="rId736"/>
          <w:footerReference w:type="first" r:id="rId73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38" w:history="1">
        <w:r>
          <w:rPr>
            <w:rFonts w:ascii="arial" w:eastAsia="arial" w:hAnsi="arial" w:cs="arial"/>
            <w:b/>
            <w:bCs/>
            <w:i/>
            <w:color w:val="0077CC"/>
            <w:kern w:val="32"/>
            <w:sz w:val="28"/>
            <w:szCs w:val="32"/>
            <w:u w:val="single"/>
            <w:shd w:val="clear" w:color="auto" w:fill="FFFFFF"/>
            <w:lang w:val="en-US" w:eastAsia="en-US" w:bidi="ar-SA"/>
          </w:rPr>
          <w:t>Makowsky (Guardian ad litem of) v. Jaron, [2004] B.C.J. No. 15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Melnick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December 4,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2,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S000421</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[2004] B.C.J. No. 15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2004 BCSC 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26 B.C.L.R. (4th) 297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128 A.C.W.S. (3d) 218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Jessica Catherine Makowsky, an infant, by her mother and guardian ad litem, Sandra Lynne Makowsky, plaintiff, and Peter W. Jaron and Prince George Regional Hospital,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28" style="position:absolute;z-index:2517012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75" w:name="Keywords_39"/>
      <w:bookmarkEnd w:id="275"/>
      <w:r>
        <w:rPr>
          <w:rFonts w:ascii="arial" w:eastAsia="arial" w:hAnsi="arial" w:cs="arial"/>
          <w:b/>
          <w:color w:val="000000"/>
          <w:sz w:val="20"/>
          <w:lang w:val="en-US" w:eastAsia="en-US" w:bidi="ar-SA"/>
        </w:rPr>
        <w:t>Practice — Evidence — Sealed evidence.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76" w:name="Case Summary_37"/>
            <w:bookmarkEnd w:id="27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Malowsky's counsel to seal his affidavit. Malowsky's counsel acted for Malowsky in her medical-malpractice action. He filed an affidavit outlining his experience and the steps he took to get the best possible settlement, providing a context for medical opinions, and providing his opinion to the Court that the settlement he negotiated for Malowsky was a good one. There was nothing unique or confidential in Malowsky's counsel's affidavit. Malowsky's counsel contended his affidavit contained his commercial interests as it revealed how he conducted his medical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practice and further exposure in the public record would prejudice him by providing a road map for defence counsel.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77" w:name="Holdings of Court_30"/>
            <w:bookmarkEnd w:id="277"/>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Since Malowsky's counsel's affidavit did not contain unique or confidential material and it was the basis on which the court approved Malowsky's settlement, there was insufficient commercial interest to outweigh the principle of openness inherent in the to justice system.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78" w:name="Counsel_41"/>
      <w:bookmarkEnd w:id="27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29" style="position:absolute;z-index:2517524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N.H. Smith, for plaintiff. S.D. Matthews, for N.H. Smith. D.J. Manson, for Public Guardian and Trustee of British Columbia.</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79" w:name="Judgment_41"/>
      <w:bookmarkEnd w:id="279"/>
      <w:r>
        <w:pict>
          <v:line id="_x0000_s1230" style="position:absolute;z-index:25180364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80" w:name="MELNICK J."/>
            <w:bookmarkEnd w:id="280"/>
            <w:r>
              <w:rPr>
                <w:rFonts w:ascii="arial" w:eastAsia="arial" w:hAnsi="arial" w:cs="arial"/>
                <w:b/>
                <w:color w:val="000000"/>
                <w:sz w:val="30"/>
                <w:lang w:val="en-US" w:eastAsia="en-US" w:bidi="ar-SA"/>
              </w:rPr>
              <w:t>MELNICK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As a corollary matter to an application to approve a settlement affecting an infant, counsel for the infant applies to have sealed the affidavit he filed in support of the settlement approval application. It is his position that he reveals in the affidavit much of how he conducts his medical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practice, and thus having it remain a part of the public record may prejudice him and his clients in future cases by providing a "roadmap" for defence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This application cannot succeed either on the facts before me or on the applicable principles of law.</w:t>
      </w:r>
      <w:r>
        <w:rPr>
          <w:rFonts w:ascii="arial" w:eastAsia="arial" w:hAnsi="arial" w:cs="arial"/>
          <w:sz w:val="20"/>
          <w:lang w:val="en-US" w:eastAsia="en-US" w:bidi="ar-SA"/>
        </w:rPr>
        <w:cr/>
      </w:r>
    </w:p>
    <w:p>
      <w:pPr>
        <w:numPr>
          <w:numId w:val="1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I have thoroughly reviewed the affidavit in question. In my view, there is nothing extraordinary about its contents. The deponent, Mr. Nathan Smith, does outline his experience as a specialist in medical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cases and uses that as a springboard to advance his position that, based in part on that experience, he can recommend to the court that the settlement is a good one for the infant. However, I would be surprised if this affidavit became of any more interest to the defence bar than many other affidavits filed in support of such settlements.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Overall, I do not find that his affidavit describes a particularly unique formula for approaching the prosecution of medical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cases. What he has done is provide assurance to the court that he has taken the steps that would be expected of competent counsel to get the best result possible for his client. The court should expect nothing less on such applications, but nor should counsel expect that, where it is required that they demonstrate to the court that they have done their job, the court will thereafter clothe their work in secrecy. If Mr. Smith has gone further than need be to convince the court (and I am not even satisfied of that) that is his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Further, his affidavit provides the necessary context to the numerous documents he filed as exhibits to his affidavit, including several medical-legal opinions, that form the bases for my having approved this settlement.</w:t>
      </w:r>
      <w:r>
        <w:rPr>
          <w:rFonts w:ascii="arial" w:eastAsia="arial" w:hAnsi="arial" w:cs="arial"/>
          <w:sz w:val="20"/>
          <w:lang w:val="en-US" w:eastAsia="en-US" w:bidi="ar-SA"/>
        </w:rPr>
        <w:cr/>
      </w:r>
    </w:p>
    <w:p>
      <w:pPr>
        <w:numPr>
          <w:numId w:val="2"/>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In Nova Scotia (A.G.) v. MacIntyre, </w:t>
      </w:r>
      <w:hyperlink r:id="rId739" w:history="1">
        <w:r>
          <w:rPr>
            <w:rFonts w:ascii="arial" w:eastAsia="arial" w:hAnsi="arial" w:cs="arial"/>
            <w:i/>
            <w:color w:val="0077CC"/>
            <w:sz w:val="20"/>
            <w:u w:val="single"/>
            <w:shd w:val="clear" w:color="auto" w:fill="FFFFFF"/>
            <w:lang w:val="en-US" w:eastAsia="en-US" w:bidi="ar-SA"/>
          </w:rPr>
          <w:t>[1982] 1 S.C.R. 175</w:t>
        </w:r>
      </w:hyperlink>
      <w:r>
        <w:rPr>
          <w:rFonts w:ascii="arial" w:eastAsia="arial" w:hAnsi="arial" w:cs="arial"/>
          <w:color w:val="000000"/>
          <w:sz w:val="20"/>
          <w:lang w:val="en-US" w:eastAsia="en-US" w:bidi="ar-SA"/>
        </w:rPr>
        <w:t xml:space="preserve">, </w:t>
      </w:r>
      <w:hyperlink r:id="rId739" w:history="1">
        <w:r>
          <w:rPr>
            <w:rFonts w:ascii="arial" w:eastAsia="arial" w:hAnsi="arial" w:cs="arial"/>
            <w:i/>
            <w:color w:val="0077CC"/>
            <w:sz w:val="20"/>
            <w:u w:val="single"/>
            <w:shd w:val="clear" w:color="auto" w:fill="FFFFFF"/>
            <w:lang w:val="en-US" w:eastAsia="en-US" w:bidi="ar-SA"/>
          </w:rPr>
          <w:t>132 D.L.R. (3d) 385</w:t>
        </w:r>
      </w:hyperlink>
      <w:r>
        <w:rPr>
          <w:rFonts w:ascii="arial" w:eastAsia="arial" w:hAnsi="arial" w:cs="arial"/>
          <w:color w:val="000000"/>
          <w:sz w:val="20"/>
          <w:lang w:val="en-US" w:eastAsia="en-US" w:bidi="ar-SA"/>
        </w:rPr>
        <w:t>, Mr. Justice Dickson (as he then was), in a decision which he cautioned was limited to the subject of search warrants and informations, noted at p. 183 that when the court is forced to consider the right to inspect judicial records and documents, it must be guided by, inter alia, "a strong public policy of 'openness' in respect of judicial acts". He went on to refer to the writing of Jeremy Bentham where that author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darkness of secrecy, sinister interest, and evil in every shape have full swing. Only in proportion as publicity has place can any of the checks applicable to judicial injustice operate. Where there is no publicity there is no justice. Publicity is the very soul of justice. It is the keenest spur to exertion and surest of all guards against improbity. It keeps the judge himself while trying under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At pp. 186-87 Mr. Justice Dickson observed: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authorities have held that subject to a few well-recognized exceptions, as in the case of infants, mentally disordered persons or secret processes, all judicial proceedings must be held in public. The editor of Halsbury's Laws of England, 4th ed. vol. 10, para. 705, p. 316, states the rule in these terms: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general, all cases, both civil and criminal, must be heard in open court, but in certain exceptional cases, where the administration of justice would be rendered impracticable by the presence of the public, the court may sit in camera.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view, curtailment of public accessibility can only be justified where there is present the need to protect social values of superordinate importance. One of these is the protection of the innocent.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 note that Mr. Justice Dickson concluded that the issuance of a search warrant was an exceptional circumstance where a court could properly sit in camera.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MacIntyre has been followed in a number of cases in this province, including in Hirt v. College of Physicians and Surgeons of British Columbia </w:t>
      </w:r>
      <w:hyperlink r:id="rId740" w:history="1">
        <w:r>
          <w:rPr>
            <w:rFonts w:ascii="arial" w:eastAsia="arial" w:hAnsi="arial" w:cs="arial"/>
            <w:i/>
            <w:color w:val="0077CC"/>
            <w:sz w:val="20"/>
            <w:u w:val="single"/>
            <w:shd w:val="clear" w:color="auto" w:fill="FFFFFF"/>
            <w:lang w:val="en-US" w:eastAsia="en-US" w:bidi="ar-SA"/>
          </w:rPr>
          <w:t>(1985), 17 D.L.R. (4th) 472</w:t>
        </w:r>
      </w:hyperlink>
      <w:r>
        <w:rPr>
          <w:rFonts w:ascii="arial" w:eastAsia="arial" w:hAnsi="arial" w:cs="arial"/>
          <w:color w:val="000000"/>
          <w:sz w:val="20"/>
          <w:lang w:val="en-US" w:eastAsia="en-US" w:bidi="ar-SA"/>
        </w:rPr>
        <w:t xml:space="preserve">, </w:t>
      </w:r>
      <w:hyperlink r:id="rId740" w:history="1">
        <w:r>
          <w:rPr>
            <w:rFonts w:ascii="arial" w:eastAsia="arial" w:hAnsi="arial" w:cs="arial"/>
            <w:i/>
            <w:color w:val="0077CC"/>
            <w:sz w:val="20"/>
            <w:u w:val="single"/>
            <w:shd w:val="clear" w:color="auto" w:fill="FFFFFF"/>
            <w:lang w:val="en-US" w:eastAsia="en-US" w:bidi="ar-SA"/>
          </w:rPr>
          <w:t>[1985] 3 W.W.R. 350</w:t>
        </w:r>
      </w:hyperlink>
      <w:r>
        <w:rPr>
          <w:rFonts w:ascii="arial" w:eastAsia="arial" w:hAnsi="arial" w:cs="arial"/>
          <w:color w:val="000000"/>
          <w:sz w:val="20"/>
          <w:lang w:val="en-US" w:eastAsia="en-US" w:bidi="ar-SA"/>
        </w:rPr>
        <w:t xml:space="preserve"> (B.C.C.A.), where, although recognizing the need for public accessibility to the courts and to their records, Mr. Justice MacFarlane, writing for the court, determined that an order should be made to protect the identity of patients who had complained about the conduct of a doctor. He noted, at p. 486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right of the public to assess the situation, and to be satisfied that justice has been done in a fair and public hearing by an independent and impartial tribunal, will be secure; and the sense that justice has been truly done will be sharpened by the knowledge that, at the same time, the innocent have been protected.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 pause to say that the situation here cannot be equated to that in Hirt. In this case, Mr. Smith seeks to keep from public view the material that forms the very basis upon which I approved the settlement.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In A.B. v. College of Physicians and Surgeons of British Columbia </w:t>
      </w:r>
      <w:hyperlink r:id="rId741" w:history="1">
        <w:r>
          <w:rPr>
            <w:rFonts w:ascii="arial" w:eastAsia="arial" w:hAnsi="arial" w:cs="arial"/>
            <w:i/>
            <w:color w:val="0077CC"/>
            <w:sz w:val="20"/>
            <w:u w:val="single"/>
            <w:shd w:val="clear" w:color="auto" w:fill="FFFFFF"/>
            <w:lang w:val="en-US" w:eastAsia="en-US" w:bidi="ar-SA"/>
          </w:rPr>
          <w:t>(1994), 43 B.C.A.C. 173</w:t>
        </w:r>
      </w:hyperlink>
      <w:r>
        <w:rPr>
          <w:rFonts w:ascii="arial" w:eastAsia="arial" w:hAnsi="arial" w:cs="arial"/>
          <w:color w:val="000000"/>
          <w:sz w:val="20"/>
          <w:lang w:val="en-US" w:eastAsia="en-US" w:bidi="ar-SA"/>
        </w:rPr>
        <w:t xml:space="preserve">, </w:t>
      </w:r>
      <w:hyperlink r:id="rId741" w:history="1">
        <w:r>
          <w:rPr>
            <w:rFonts w:ascii="arial" w:eastAsia="arial" w:hAnsi="arial" w:cs="arial"/>
            <w:i/>
            <w:color w:val="0077CC"/>
            <w:sz w:val="20"/>
            <w:u w:val="single"/>
            <w:shd w:val="clear" w:color="auto" w:fill="FFFFFF"/>
            <w:lang w:val="en-US" w:eastAsia="en-US" w:bidi="ar-SA"/>
          </w:rPr>
          <w:t>[1994] B.C.J. No. 785</w:t>
        </w:r>
      </w:hyperlink>
      <w:r>
        <w:rPr>
          <w:rFonts w:ascii="arial" w:eastAsia="arial" w:hAnsi="arial" w:cs="arial"/>
          <w:color w:val="000000"/>
          <w:sz w:val="20"/>
          <w:lang w:val="en-US" w:eastAsia="en-US" w:bidi="ar-SA"/>
        </w:rPr>
        <w:t xml:space="preserve"> (B.C.C.A.), Mr. Justice Gibbs stressed that a publication ban is meant to protect the identity of the innocent.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In Smith v. Jones, </w:t>
      </w:r>
      <w:hyperlink r:id="rId742" w:history="1">
        <w:r>
          <w:rPr>
            <w:rFonts w:ascii="arial" w:eastAsia="arial" w:hAnsi="arial" w:cs="arial"/>
            <w:i/>
            <w:color w:val="0077CC"/>
            <w:sz w:val="20"/>
            <w:u w:val="single"/>
            <w:shd w:val="clear" w:color="auto" w:fill="FFFFFF"/>
            <w:lang w:val="en-US" w:eastAsia="en-US" w:bidi="ar-SA"/>
          </w:rPr>
          <w:t>[1999] 1 S.C.R. 455</w:t>
        </w:r>
      </w:hyperlink>
      <w:r>
        <w:rPr>
          <w:rFonts w:ascii="arial" w:eastAsia="arial" w:hAnsi="arial" w:cs="arial"/>
          <w:color w:val="000000"/>
          <w:sz w:val="20"/>
          <w:lang w:val="en-US" w:eastAsia="en-US" w:bidi="ar-SA"/>
        </w:rPr>
        <w:t xml:space="preserve">, </w:t>
      </w:r>
      <w:hyperlink r:id="rId742" w:history="1">
        <w:r>
          <w:rPr>
            <w:rFonts w:ascii="arial" w:eastAsia="arial" w:hAnsi="arial" w:cs="arial"/>
            <w:i/>
            <w:color w:val="0077CC"/>
            <w:sz w:val="20"/>
            <w:u w:val="single"/>
            <w:shd w:val="clear" w:color="auto" w:fill="FFFFFF"/>
            <w:lang w:val="en-US" w:eastAsia="en-US" w:bidi="ar-SA"/>
          </w:rPr>
          <w:t>169 D.L.R. (4th) 385</w:t>
        </w:r>
      </w:hyperlink>
      <w:r>
        <w:rPr>
          <w:rFonts w:ascii="arial" w:eastAsia="arial" w:hAnsi="arial" w:cs="arial"/>
          <w:color w:val="000000"/>
          <w:sz w:val="20"/>
          <w:lang w:val="en-US" w:eastAsia="en-US" w:bidi="ar-SA"/>
        </w:rPr>
        <w:t>, the court agreed with Mr. Justice Henderson of this court who directed that certain portions of an affidavit be deleted, but ordered that the file generally remain unsealed. Mr. Justice Cory, for the majority, observed at para. 100 that while it was true that the proceedings of the court should be as open as possible, the excised portions of the affidavit in question "could never form part of the record". Again, that case is quite a different situation from the one before me. There is no public safety issue here as there was in Smith and the affidavit of Mr. Smith in this case is an essential part of the record.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K.V. v. T.E. </w:t>
      </w:r>
      <w:hyperlink r:id="rId743" w:history="1">
        <w:r>
          <w:rPr>
            <w:rFonts w:ascii="arial" w:eastAsia="arial" w:hAnsi="arial" w:cs="arial"/>
            <w:i/>
            <w:color w:val="0077CC"/>
            <w:sz w:val="20"/>
            <w:u w:val="single"/>
            <w:shd w:val="clear" w:color="auto" w:fill="FFFFFF"/>
            <w:lang w:val="en-US" w:eastAsia="en-US" w:bidi="ar-SA"/>
          </w:rPr>
          <w:t>(1998), 56 B.C.L.R. (3d) 344</w:t>
        </w:r>
      </w:hyperlink>
      <w:r>
        <w:rPr>
          <w:rFonts w:ascii="arial" w:eastAsia="arial" w:hAnsi="arial" w:cs="arial"/>
          <w:color w:val="000000"/>
          <w:sz w:val="20"/>
          <w:lang w:val="en-US" w:eastAsia="en-US" w:bidi="ar-SA"/>
        </w:rPr>
        <w:t xml:space="preserve">, </w:t>
      </w:r>
      <w:hyperlink r:id="rId743" w:history="1">
        <w:r>
          <w:rPr>
            <w:rFonts w:ascii="arial" w:eastAsia="arial" w:hAnsi="arial" w:cs="arial"/>
            <w:i/>
            <w:color w:val="0077CC"/>
            <w:sz w:val="20"/>
            <w:u w:val="single"/>
            <w:shd w:val="clear" w:color="auto" w:fill="FFFFFF"/>
            <w:lang w:val="en-US" w:eastAsia="en-US" w:bidi="ar-SA"/>
          </w:rPr>
          <w:t>[1998] B.C.J. No. 1150</w:t>
        </w:r>
      </w:hyperlink>
      <w:r>
        <w:rPr>
          <w:rFonts w:ascii="arial" w:eastAsia="arial" w:hAnsi="arial" w:cs="arial"/>
          <w:color w:val="000000"/>
          <w:sz w:val="20"/>
          <w:lang w:val="en-US" w:eastAsia="en-US" w:bidi="ar-SA"/>
        </w:rPr>
        <w:t xml:space="preserve"> (S.C.), was a case in which the court ordered that a family file, originally sealed with the consent of the parties, be unsealed. Madam Justice Loo observed, at paras. 6 and 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Supreme Court of Canada has made it clear that freedom of expression, an open court, and judicial accountability are principles of a free and democratic society. A publication ban, or an order banning the publication of any name or feature of the case which might disclose the identity of the defendant or his family, curtails the public's right to know, and judicial accountability: Scott v. Scott, [1913] A.C. 417 (H.L.); Nova Scotia (Attorney General) v. MacIntyre </w:t>
      </w:r>
      <w:hyperlink r:id="rId739" w:history="1">
        <w:r>
          <w:rPr>
            <w:rFonts w:ascii="arial" w:eastAsia="arial" w:hAnsi="arial" w:cs="arial"/>
            <w:i/>
            <w:color w:val="0077CC"/>
            <w:sz w:val="20"/>
            <w:u w:val="single"/>
            <w:shd w:val="clear" w:color="auto" w:fill="FFFFFF"/>
            <w:lang w:val="en-US" w:eastAsia="en-US" w:bidi="ar-SA"/>
          </w:rPr>
          <w:t>(1982), 132 D.L.R. (3d) 385</w:t>
        </w:r>
      </w:hyperlink>
      <w:r>
        <w:rPr>
          <w:rFonts w:ascii="arial" w:eastAsia="arial" w:hAnsi="arial" w:cs="arial"/>
          <w:color w:val="000000"/>
          <w:sz w:val="20"/>
          <w:lang w:val="en-US" w:eastAsia="en-US" w:bidi="ar-SA"/>
        </w:rPr>
        <w:t xml:space="preserve"> (S.C.C.); Dagenais v. CBC, </w:t>
      </w:r>
      <w:hyperlink r:id="rId744" w:history="1">
        <w:r>
          <w:rPr>
            <w:rFonts w:ascii="arial" w:eastAsia="arial" w:hAnsi="arial" w:cs="arial"/>
            <w:i/>
            <w:color w:val="0077CC"/>
            <w:sz w:val="20"/>
            <w:u w:val="single"/>
            <w:shd w:val="clear" w:color="auto" w:fill="FFFFFF"/>
            <w:lang w:val="en-US" w:eastAsia="en-US" w:bidi="ar-SA"/>
          </w:rPr>
          <w:t>[1994] 3 S.C.R. 835</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defendant has not satisfied me that there is a real and substantial risk that either he or his wife, the twins or E. will be irreparably or significantly harmed as a result of the publication. The onus of demonstrating harm is a high one. It is not enough that the defendant may be embarrassed or that he and his family may be subject to unwanted publicity. The Charter guarantees public access to and publicity of court proceedings and their records, subject to certain limited exceptions which do not exist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 note here that no Charter argument was advanced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In Renaerts (Guardian ad litem of) v. Korn, </w:t>
      </w:r>
      <w:hyperlink r:id="rId745" w:history="1">
        <w:r>
          <w:rPr>
            <w:rFonts w:ascii="arial" w:eastAsia="arial" w:hAnsi="arial" w:cs="arial"/>
            <w:i/>
            <w:color w:val="0077CC"/>
            <w:sz w:val="20"/>
            <w:u w:val="single"/>
            <w:shd w:val="clear" w:color="auto" w:fill="FFFFFF"/>
            <w:lang w:val="en-US" w:eastAsia="en-US" w:bidi="ar-SA"/>
          </w:rPr>
          <w:t>[1999] 9 W.W.R. 499</w:t>
        </w:r>
      </w:hyperlink>
      <w:r>
        <w:rPr>
          <w:rFonts w:ascii="arial" w:eastAsia="arial" w:hAnsi="arial" w:cs="arial"/>
          <w:color w:val="000000"/>
          <w:sz w:val="20"/>
          <w:lang w:val="en-US" w:eastAsia="en-US" w:bidi="ar-SA"/>
        </w:rPr>
        <w:t xml:space="preserve">, </w:t>
      </w:r>
      <w:hyperlink r:id="rId745" w:history="1">
        <w:r>
          <w:rPr>
            <w:rFonts w:ascii="arial" w:eastAsia="arial" w:hAnsi="arial" w:cs="arial"/>
            <w:i/>
            <w:color w:val="0077CC"/>
            <w:sz w:val="20"/>
            <w:u w:val="single"/>
            <w:shd w:val="clear" w:color="auto" w:fill="FFFFFF"/>
            <w:lang w:val="en-US" w:eastAsia="en-US" w:bidi="ar-SA"/>
          </w:rPr>
          <w:t>64 B.C.L.R. (3d) 131</w:t>
        </w:r>
      </w:hyperlink>
      <w:r>
        <w:rPr>
          <w:rFonts w:ascii="arial" w:eastAsia="arial" w:hAnsi="arial" w:cs="arial"/>
          <w:color w:val="000000"/>
          <w:sz w:val="20"/>
          <w:lang w:val="en-US" w:eastAsia="en-US" w:bidi="ar-SA"/>
        </w:rPr>
        <w:t xml:space="preserve"> (S.C.), in a case very much like this one, Mr. Justice Williamson dealt with an application by a defendant hospital to seal the entire file of a medical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case after the court had approved a settlement of the infant's claim. He referred to K.V. then concluded, at para. 70: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conclude the file should not be sealed. The settlement approval proceedings were conducted in camera and in the absence of counsel for the defendants. There is good reason for this. Should the settlement have not met with the approval of the court, and a trial followed, it would be contrary to the effectiveness of the advocacy system for defendants' counsel to have been party to the disclosure by plaintiffs' counsel of the strengths and weaknesses of the plaintiffs' case, disclosure necessary to such settlement approval proceedings. Once the settlement is approved, that justification for closed proceedings falls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It is hard to distinguish the situation before me from Renaerts, even though Mr. Smith seeks to seal only his affidavit. Further, it should be noted that it is Mr. Smith, in his own private interest, who seeks this order, not any party to the action, including the infant plaintiff. In that sense, therefore, one cannot truly describe this as one of the well-recognized exceptions referred to by Mr. Justice Dickson in MacIntyre. Further, I refer to the words of Madam Justice Huddart in F. v. Council of the College of Physicians and Surgeons of British Columbia, </w:t>
      </w:r>
      <w:hyperlink r:id="rId746" w:history="1">
        <w:r>
          <w:rPr>
            <w:rFonts w:ascii="arial" w:eastAsia="arial" w:hAnsi="arial" w:cs="arial"/>
            <w:i/>
            <w:color w:val="0077CC"/>
            <w:sz w:val="20"/>
            <w:u w:val="single"/>
            <w:shd w:val="clear" w:color="auto" w:fill="FFFFFF"/>
            <w:lang w:val="en-US" w:eastAsia="en-US" w:bidi="ar-SA"/>
          </w:rPr>
          <w:t>[1989] B.C.J. No. 1075</w:t>
        </w:r>
      </w:hyperlink>
      <w:r>
        <w:rPr>
          <w:rFonts w:ascii="arial" w:eastAsia="arial" w:hAnsi="arial" w:cs="arial"/>
          <w:color w:val="000000"/>
          <w:sz w:val="20"/>
          <w:lang w:val="en-US" w:eastAsia="en-US" w:bidi="ar-SA"/>
        </w:rPr>
        <w:t xml:space="preserve"> (S.C.), where, in dealing with the application of a doctor to use a pseudonym in his appeal of the decision of the College to investigate his practice, she stated at p. 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reasons put forth by the applicant are entirely personal. He did not seek to justify his application as being in the public interest, whether to protect a social value of superordinate importance or otherwise. It is not enough to come to this court and ask for an order granting leave to use a pseudonym in a proceeding merely to protect a private interest, even if that private interest is one's livelihood.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courts have held that court files, or portions thereof, may be sealed to protect trade secrets. Madam Justice Kirkpatrick in Argentis Information Services Inc. v. West Coast Title Search Ltd. </w:t>
      </w:r>
      <w:hyperlink r:id="rId747" w:history="1">
        <w:r>
          <w:rPr>
            <w:rFonts w:ascii="arial" w:eastAsia="arial" w:hAnsi="arial" w:cs="arial"/>
            <w:i/>
            <w:color w:val="0077CC"/>
            <w:sz w:val="20"/>
            <w:u w:val="single"/>
            <w:shd w:val="clear" w:color="auto" w:fill="FFFFFF"/>
            <w:lang w:val="en-US" w:eastAsia="en-US" w:bidi="ar-SA"/>
          </w:rPr>
          <w:t>(1997), 44 B.C.L.R. (3d) 292</w:t>
        </w:r>
      </w:hyperlink>
      <w:r>
        <w:rPr>
          <w:rFonts w:ascii="arial" w:eastAsia="arial" w:hAnsi="arial" w:cs="arial"/>
          <w:color w:val="000000"/>
          <w:sz w:val="20"/>
          <w:lang w:val="en-US" w:eastAsia="en-US" w:bidi="ar-SA"/>
        </w:rPr>
        <w:t xml:space="preserve">, </w:t>
      </w:r>
      <w:hyperlink r:id="rId747" w:history="1">
        <w:r>
          <w:rPr>
            <w:rFonts w:ascii="arial" w:eastAsia="arial" w:hAnsi="arial" w:cs="arial"/>
            <w:i/>
            <w:color w:val="0077CC"/>
            <w:sz w:val="20"/>
            <w:u w:val="single"/>
            <w:shd w:val="clear" w:color="auto" w:fill="FFFFFF"/>
            <w:lang w:val="en-US" w:eastAsia="en-US" w:bidi="ar-SA"/>
          </w:rPr>
          <w:t>[1997] B.C.J. No. 2780</w:t>
        </w:r>
      </w:hyperlink>
      <w:r>
        <w:rPr>
          <w:rFonts w:ascii="arial" w:eastAsia="arial" w:hAnsi="arial" w:cs="arial"/>
          <w:color w:val="000000"/>
          <w:sz w:val="20"/>
          <w:lang w:val="en-US" w:eastAsia="en-US" w:bidi="ar-SA"/>
        </w:rPr>
        <w:t xml:space="preserve"> (S.C.), dealt with a request that a file be sealed on that basis. She reviewed the law in the area and concluded that the material in question (marketing strategies and other alleged sensitive business information) did not amount to trade secrets. She noted at para. 24: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information is doubtlessly confidential in many respects, but is not so confidential that its disclosure would seriously harm the commercial interests of Agentis such as to require a sealing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this case, while Mr. Smith describes the process he undertook in dealing with this infant's claim, I am far from convinced that there is anything particularly unique or confidential in his work as recorded in the affidavit that merits it being shielded from the eyes of other lawyers or the public generally. Indeed, if I were to do so, it would be hard not to suggest that, on the same basis, the supporting affidavits in all similar applications should be sealed as well. That, in my view, would be contrary to the principles of openness inherent in our system of justice. Nor do I find that Mr. Smith's "commercial interests" require the sealing of the affidavit. I say that without having to deal with the larger question of whether it is even open to a lawyer in such a case as this to claim a "commercial interest".</w:t>
      </w:r>
      <w:r>
        <w:rPr>
          <w:rFonts w:ascii="arial" w:eastAsia="arial" w:hAnsi="arial" w:cs="arial"/>
          <w:sz w:val="20"/>
          <w:lang w:val="en-US" w:eastAsia="en-US" w:bidi="ar-SA"/>
        </w:rPr>
        <w:cr/>
      </w:r>
    </w:p>
    <w:p>
      <w:pPr>
        <w:numPr>
          <w:numId w:val="4"/>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Smith has failed to demonstrate that his affidavit in support of the approval of this infant settlement should be sealed. The application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MELNICK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31" style="position:absolute;z-index:25185280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48"/>
          <w:headerReference w:type="default" r:id="rId749"/>
          <w:footerReference w:type="even" r:id="rId750"/>
          <w:footerReference w:type="default" r:id="rId751"/>
          <w:headerReference w:type="first" r:id="rId752"/>
          <w:footerReference w:type="first" r:id="rId75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54" w:history="1">
        <w:r>
          <w:rPr>
            <w:rFonts w:ascii="arial" w:eastAsia="arial" w:hAnsi="arial" w:cs="arial"/>
            <w:b/>
            <w:bCs/>
            <w:i/>
            <w:color w:val="0077CC"/>
            <w:kern w:val="32"/>
            <w:sz w:val="28"/>
            <w:szCs w:val="32"/>
            <w:u w:val="single"/>
            <w:shd w:val="clear" w:color="auto" w:fill="FFFFFF"/>
            <w:lang w:val="en-US" w:eastAsia="en-US" w:bidi="ar-SA"/>
          </w:rPr>
          <w:t>Mann v. Kendall, [2012] B.C.J. No. 2660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 Kloegman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30,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14,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S110106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[2012] B.C.J. No. 2660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2012 BCSC 1895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Amarjit Singh Mann, Plaintiff, and Devin Kendall,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32" style="position:absolute;z-index:2517022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81" w:name="Keywords_40"/>
      <w:bookmarkEnd w:id="281"/>
      <w:r>
        <w:rPr>
          <w:rFonts w:ascii="arial" w:eastAsia="arial" w:hAnsi="arial" w:cs="arial"/>
          <w:b/>
          <w:color w:val="000000"/>
          <w:sz w:val="20"/>
          <w:lang w:val="en-US" w:eastAsia="en-US" w:bidi="ar-SA"/>
        </w:rPr>
        <w:t xml:space="preserve">Damages — For torts — Affecting property — Real property — Fire — Action by Mann for damages for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allowed — A fire occurred in the basement bedroom of a house — The defendant Kendall, who rented the downstairs suite, was the only resident in the house — Damage to the property exceeded $200,000 — Mann alleged that Kendall caused the fire by careless smoking — Kendall denied the allegation and sought summary dismissal of Mann's claim — Kendall made glaringly inconsistent statements under oath and the Court could only infer that he was trying to cover up his responsibility for the fire — The plaintiff was awarded $216,061 in damages.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Dangerous things and situations — Fire — Action by Mann for damages for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allowed — A fire occurred in the basement bedroom of a house — The defendant Kendall, who rented the downstairs suite, was the only resident in the house — Damage to the property exceeded $200,000 — Mann alleged that Kendall caused the fire by careless smoking — Kendall denied the allegation and sought summary dismissal of Mann's claim — Kendall made glaringly inconsistent statements under oath and the Court could only infer that he was trying to cover up his responsibility for the fire — The plaintiff was awarded $216,061 in damages.</w:t>
      </w:r>
    </w:p>
    <w:p>
      <w:pPr>
        <w:jc w:val="both"/>
        <w:rPr>
          <w:rFonts w:ascii="arial" w:eastAsia="arial" w:hAnsi="arial" w:cs="arial"/>
          <w:sz w:val="20"/>
          <w:lang w:val="en-US" w:eastAsia="en-US" w:bidi="ar-SA"/>
        </w:rPr>
      </w:pPr>
      <w:bookmarkStart w:id="282" w:name="Counsel_42"/>
      <w:bookmarkEnd w:id="28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33" style="position:absolute;z-index:2517534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D.C. Russell.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S.W. Abramson.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83" w:name="Judgment_42"/>
      <w:bookmarkEnd w:id="283"/>
      <w:r>
        <w:pict>
          <v:line id="_x0000_s1234" style="position:absolute;z-index:25180467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84" w:name="D. KLOEGMAN J."/>
            <w:bookmarkEnd w:id="284"/>
            <w:r>
              <w:rPr>
                <w:rFonts w:ascii="arial" w:eastAsia="arial" w:hAnsi="arial" w:cs="arial"/>
                <w:b/>
                <w:color w:val="000000"/>
                <w:sz w:val="30"/>
                <w:lang w:val="en-US" w:eastAsia="en-US" w:bidi="ar-SA"/>
              </w:rPr>
              <w:t>D. KLOEGMAN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August 17, 2009, shortly after midnight, a fire was discovered burning in the basement bedroom of a house located at 17841-20th Avenue, Surrey, British Columbia. The damage to the property exceeded $200,000. Experts determined that the fire originated in the east or southeast area of the bedroom.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 was the only resident in the house at the time of the fire. He rented the downstairs suite. His roommate, who rented the upper suite, was away working in Alberta.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By way of subrogated action, the plaintiff brought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alleging that the defendant had caused the fire by careless smoking. The defendant denied the allegation and filed a counterclaim alleging defective smoke alarms. The defendant brought an application before me to dismiss summarily the plaintiff's claim because there was no evidence that the defendant was smoking in the area of origin at the time proximate to the fire. The defendant relied on the decisions of </w:t>
      </w:r>
      <w:r>
        <w:rPr>
          <w:rFonts w:ascii="arial" w:eastAsia="arial" w:hAnsi="arial" w:cs="arial"/>
          <w:i/>
          <w:color w:val="000000"/>
          <w:sz w:val="20"/>
          <w:lang w:val="en-US" w:eastAsia="en-US" w:bidi="ar-SA"/>
        </w:rPr>
        <w:t>Franks v. Sanderson</w:t>
      </w:r>
      <w:r>
        <w:rPr>
          <w:rFonts w:ascii="arial" w:eastAsia="arial" w:hAnsi="arial" w:cs="arial"/>
          <w:color w:val="000000"/>
          <w:sz w:val="20"/>
          <w:lang w:val="en-US" w:eastAsia="en-US" w:bidi="ar-SA"/>
        </w:rPr>
        <w:t xml:space="preserve"> </w:t>
      </w:r>
      <w:hyperlink r:id="rId755" w:history="1">
        <w:r>
          <w:rPr>
            <w:rFonts w:ascii="arial" w:eastAsia="arial" w:hAnsi="arial" w:cs="arial"/>
            <w:i/>
            <w:color w:val="0077CC"/>
            <w:sz w:val="20"/>
            <w:u w:val="single"/>
            <w:shd w:val="clear" w:color="auto" w:fill="FFFFFF"/>
            <w:lang w:val="en-US" w:eastAsia="en-US" w:bidi="ar-SA"/>
          </w:rPr>
          <w:t>(1988), 25 B.C.L.R. (2d) 248</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Wong v. Mislang</w:t>
      </w:r>
      <w:r>
        <w:rPr>
          <w:rFonts w:ascii="arial" w:eastAsia="arial" w:hAnsi="arial" w:cs="arial"/>
          <w:color w:val="000000"/>
          <w:sz w:val="20"/>
          <w:lang w:val="en-US" w:eastAsia="en-US" w:bidi="ar-SA"/>
        </w:rPr>
        <w:t xml:space="preserve">, </w:t>
      </w:r>
      <w:hyperlink r:id="rId756" w:history="1">
        <w:r>
          <w:rPr>
            <w:rFonts w:ascii="arial" w:eastAsia="arial" w:hAnsi="arial" w:cs="arial"/>
            <w:i/>
            <w:color w:val="0077CC"/>
            <w:sz w:val="20"/>
            <w:u w:val="single"/>
            <w:shd w:val="clear" w:color="auto" w:fill="FFFFFF"/>
            <w:lang w:val="en-US" w:eastAsia="en-US" w:bidi="ar-SA"/>
          </w:rPr>
          <w:t>2007 BCSC 1835</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Mohamed v. Banville</w:t>
      </w:r>
      <w:r>
        <w:rPr>
          <w:rFonts w:ascii="arial" w:eastAsia="arial" w:hAnsi="arial" w:cs="arial"/>
          <w:color w:val="000000"/>
          <w:sz w:val="20"/>
          <w:lang w:val="en-US" w:eastAsia="en-US" w:bidi="ar-SA"/>
        </w:rPr>
        <w:t xml:space="preserve"> </w:t>
      </w:r>
      <w:hyperlink r:id="rId757" w:history="1">
        <w:r>
          <w:rPr>
            <w:rFonts w:ascii="arial" w:eastAsia="arial" w:hAnsi="arial" w:cs="arial"/>
            <w:i/>
            <w:color w:val="0077CC"/>
            <w:sz w:val="20"/>
            <w:u w:val="single"/>
            <w:shd w:val="clear" w:color="auto" w:fill="FFFFFF"/>
            <w:lang w:val="en-US" w:eastAsia="en-US" w:bidi="ar-SA"/>
          </w:rPr>
          <w:t>(2009), 94 O.R. (3d) 709</w:t>
        </w:r>
      </w:hyperlink>
      <w:r>
        <w:rPr>
          <w:rFonts w:ascii="arial" w:eastAsia="arial" w:hAnsi="arial" w:cs="arial"/>
          <w:color w:val="000000"/>
          <w:sz w:val="20"/>
          <w:lang w:val="en-US" w:eastAsia="en-US" w:bidi="ar-SA"/>
        </w:rPr>
        <w:t xml:space="preserve"> (S.C.J.), to support the proposition that to establish liability on a smoker for causing a fire, there must be evidence of carelessness, not just smoking; and at a minimum there must be evidence of smoking proximate to the time and place of the origin of the fire.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plaintiff submitted that the case was not suitable for summary trial because the credibility of the defendant was seriously an issue, it would result in litigation by slices, and there was no urgency to have it determined now. Alternatively, the plaintiff argued that if I should pass judgment summarily, I should do so in favour of the plaintiff who has proven the likelihood of the defendant having caused the fire through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As I intimated to counsel during argument, I can see no purpose in sending this matter on to a </w:t>
      </w:r>
      <w:r>
        <w:rPr>
          <w:rFonts w:ascii="arial" w:eastAsia="arial" w:hAnsi="arial" w:cs="arial"/>
          <w:i/>
          <w:color w:val="000000"/>
          <w:sz w:val="20"/>
          <w:lang w:val="en-US" w:eastAsia="en-US" w:bidi="ar-SA"/>
        </w:rPr>
        <w:t>viva voce</w:t>
      </w:r>
      <w:r>
        <w:rPr>
          <w:rFonts w:ascii="arial" w:eastAsia="arial" w:hAnsi="arial" w:cs="arial"/>
          <w:color w:val="000000"/>
          <w:sz w:val="20"/>
          <w:lang w:val="en-US" w:eastAsia="en-US" w:bidi="ar-SA"/>
        </w:rPr>
        <w:t xml:space="preserve"> trial. The parties have had discovery of documents, have exchanged full expert reports, and the defendant has been examined for discovery. Neither side was requiring the experts for cross-examination. The defendant's credibility had been put in issue by the conflict in his own evidence on two affidavits, his examination for discovery, and his previous statements to his adjuster and the fire authorities. Plaintiff's counsel could not tell me what more she hoped to gain at trial. I am satisfied that I can justly decide the matter on the affidavit evidence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his examination for discovery on July 26, 2011, and in his first affidavit sworn February 27, 2012, the defendant swore that he was a smoker and had in the past smoked in his bedroom. Whenever he smoked in the bedroom, he sat on a bench attached to the hearth of a wood stove fireplace and discarded his smoking materials into the enclosed fireplace. The fireplace hearth was located on the north wall of the bedroom.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the same affidavit, the defendant also deposed that he last smoked in his bedroom on August 15, 2009, at approximately 10:00 p.m. On that occasion he disposed of his cigarette in the fireplace, as per his usual habit. He deposed that on August 16, 2009, he was running errands with his friend, Dave Keller, and did not smoke in his bedroom at all on August 16. He and Mr. Keller had smoked cigarettes on the upstairs back deck and in the upstairs living room throughout the course of the day and the evening of August 16. Mr. Keller left the house at approximately 10:00 p.m. The defendant swore that the last occasion he was physically present in his bedroom was around 1:00 p.m. on August 16. He did not smoke a cigarette at that time, nor did he smoke any cigarettes or handle any cigarette smoking materials at all in his bedroom on August 16, 2009. Around 11:00 p.m. on August 16, he fell asleep on the sofa upstairs and shortly after midnight awoke to a rancid smell and smoke in the air. He saw an orange glow in his bedroom and called 9-1-1.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On his examination for discovery, the defendant swore at two separate times that he had no ashtray in his bedroom and that he had no other methods of disposing cigarette butts in his bedroom. He was specifically asked if he used a white dish beside his bed as an ashtray, and he said, "I did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 blown-up photograph of the fire scene clearly shows cigarette butts in the white dish beside the defendant's bed. After his counsel received a copy of the photograph, the defendant swore a second affidavit sworn November 2, 2012, in which he "conceded" that he was "incorrect in his recollection."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Furthermore, it appears that the defendant was inconsistent in his evidence of when he was last in his bedroom on August 16, and when his friend Mr. Keller left that evening. He told his own insurance adjuster that after finishing dinner, he was visited by Dave Keller until approximately 8:00 p.m. He told the Surrey Fire Department battalion chief that he arrived home approximately one hour before the fire was reported and that he had not been in his bedroom since 4:00 p.m. that day. He told the Surrey Fire Department investigator that he was last in his room at approximately 1:00 p.m. on August 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defendant has made glaringly inconsistent statements under oath and his evidence must be scrutinized with scepticism. I cannot accept his evidence about his whereabouts or his smoking on that fateful day without some corroboration. That corroboration could have come from Mr. Keller who was purportedly with him all day on the 16th until about 10:00 p.m. However, there was no affidavit from Mr. Keller or anyone else to corroborate the defendant's inconsistent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There was corroboration of the defendant's statement that he disposed of cigarette butts in the fireplace, because after the fire cigarette butts were found both in and around the hearth. Butts were also found on the white dish on the west side of the defendant's bed. Butts were also found strewn on the lawn outside. The defendant admitted in his examination for discovery that he flicked butts off the deck out onto the lawn.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defendant deposed that he had a cordless phone base charger in the dresser located along the east wall of the bedroom. After the fire, evidence of a wireless phone charger was found on the periphery of the fire's origin.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plaintiff's expert, Christopher Reed, opined that the only possible fire causation mechanism consistent with all the known facts was the ignition of a smouldering fire in either the bedding or clothes on the floor space at the southeast corner, or any other medium capable of supporting smouldering, due to improperly discarded smoking materials. Although no smoking materials were found within the area of origin, given the extent of the fire damage and combustible nature of smoking materials, they could have been destroyed in the fire. Given the absence of a credible ignition source and the presence of discarded smoking materials in the room, inappropriate disposal of smoking materials is the only credible, and the probable, cause of the fire.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Reed's examination of the building wiring circuits and circuit breaker panel indicated no fault or contribution to the fire from the building wiring. He found no indication of localized heating or beading that would correlate with electrical arcing or fire causation, and there were no fire patterns correlating with the fire originating from the location of the phone receptacle. He examined an electrical transformer from a small electrical device such as a phone charger that was located on the eastern wall below the window. There was no evidence of electrical damage exclusive to fire causation. Based on the electrical configuration of the transformer, the understanding that the phone was not being charged at the time of the fire, the electrical information contained within manufacturer literature, and no corresponding damage within origin of the location of the component, he concluded that the transformer was not related to the probable cause of the fire.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defendant's expert, Mr. Wood, opined that it was possible, but not probable that the fire was caused by a cigarette or other smoking material. He conceded that a lit cigarette was a competent ignition source to initiate a fire in fabric and light combustion material such as clothing and loose bedding. However, he relied on the following assumptions of fact to discard the probability of this theory:</w:t>
      </w:r>
      <w:r>
        <w:rPr>
          <w:rFonts w:ascii="arial" w:eastAsia="arial" w:hAnsi="arial" w:cs="arial"/>
          <w:sz w:val="20"/>
          <w:lang w:val="en-US" w:eastAsia="en-US" w:bidi="ar-SA"/>
        </w:rPr>
        <w:cr/>
      </w:r>
    </w:p>
    <w:p>
      <w:pPr>
        <w:numPr>
          <w:numId w:val="1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 smoking materials were stored or discarded on or near the dresser;</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last smoked a cigarette in his bedroom on the evening of August 15, at which time he discarded the cigarette into the fireplace hearth located on the north wall;</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did not smoke a cigarette in his bedroom during the course of the day on August 16, 2009. He was last in his bedroom early to mid-afternoon on that day.</w:t>
      </w:r>
    </w:p>
    <w:p>
      <w:pPr>
        <w:numPr>
          <w:numId w:val="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No smoker's materials were observed near the area of origin after the fire;</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were other competent ignition sources near the area of origin that could not be eliminated.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defendant's other expert, Mr. Baker, opined that electrical appliance failure could not be eliminated as a possible ignition source because the majority of the components were not recovered or were consumed by the fire.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weighing these expert reports, I give more weight to Mr. Reed's opinion. Firstly, unlike Mr. Wood and Mr. Baker, Mr. Reed made an on-sight investigation and full scene examination of the fire-damaged premises two days after the fire. He personally observed the evidence of discarded cigarette butts and packages in numerous areas of the interior and exterior of the house. He observed the manner in which combustible materials were strewn around the bedroom. He personally examined the electrical receptacles and wiring.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More importantly, Mr. Reed did not rely on any evidence of the defendant to reach his opinion. In fact, he was refused the opportunity to interview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Wood, on the other hand, relied on the defendant's assertion that he was not smoking in his bedroom that day and did not discard or store any smoking materials near the dresser. He concluded that more than 16 hours had passed between the time the defendant last smoked a cigarette in his room on August 15 and when he was last in his bedroom before the fire. He concluded another 10 hours passed between then and when the fire was discovered. This all led him to conclude it was unlikely that a fire could smoulder for that length of time without evidence of smoke detected in the house. Without the evidence of the defendant, there was no basis for his final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I do not think the failure to produce evidence of discarded smoking material in the immediate area of the origin of the fire can be fatal to the plaintiff's claim. It would be surprising if such evidence could survive a fire such as this. It is notable that in the cases of </w:t>
      </w:r>
      <w:r>
        <w:rPr>
          <w:rFonts w:ascii="arial" w:eastAsia="arial" w:hAnsi="arial" w:cs="arial"/>
          <w:i/>
          <w:color w:val="000000"/>
          <w:sz w:val="20"/>
          <w:lang w:val="en-US" w:eastAsia="en-US" w:bidi="ar-SA"/>
        </w:rPr>
        <w:t>Franks, Wong</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and Mohamed</w:t>
      </w:r>
      <w:r>
        <w:rPr>
          <w:rFonts w:ascii="arial" w:eastAsia="arial" w:hAnsi="arial" w:cs="arial"/>
          <w:color w:val="000000"/>
          <w:sz w:val="20"/>
          <w:lang w:val="en-US" w:eastAsia="en-US" w:bidi="ar-SA"/>
        </w:rPr>
        <w:t xml:space="preserve">, there was either no evidence of any smoking or the court believed the defendant's testimony that he was not smoking. Therefore the lack of evidence of smoking materials in the vicinity of the fire simply meant there was no evidence to contradict that of the defendant. The case before me is more akin to </w:t>
      </w:r>
      <w:r>
        <w:rPr>
          <w:rFonts w:ascii="arial" w:eastAsia="arial" w:hAnsi="arial" w:cs="arial"/>
          <w:i/>
          <w:color w:val="000000"/>
          <w:sz w:val="20"/>
          <w:lang w:val="en-US" w:eastAsia="en-US" w:bidi="ar-SA"/>
        </w:rPr>
        <w:t>R171 Enterprises Ltd. et al. v. Sunrise Construction Ltd.</w:t>
      </w:r>
      <w:r>
        <w:rPr>
          <w:rFonts w:ascii="arial" w:eastAsia="arial" w:hAnsi="arial" w:cs="arial"/>
          <w:color w:val="000000"/>
          <w:sz w:val="20"/>
          <w:lang w:val="en-US" w:eastAsia="en-US" w:bidi="ar-SA"/>
        </w:rPr>
        <w:t xml:space="preserve">, </w:t>
      </w:r>
      <w:hyperlink r:id="rId758" w:history="1">
        <w:r>
          <w:rPr>
            <w:rFonts w:ascii="arial" w:eastAsia="arial" w:hAnsi="arial" w:cs="arial"/>
            <w:i/>
            <w:color w:val="0077CC"/>
            <w:sz w:val="20"/>
            <w:u w:val="single"/>
            <w:shd w:val="clear" w:color="auto" w:fill="FFFFFF"/>
            <w:lang w:val="en-US" w:eastAsia="en-US" w:bidi="ar-SA"/>
          </w:rPr>
          <w:t>2005 BCSC 1081</w:t>
        </w:r>
      </w:hyperlink>
      <w:r>
        <w:rPr>
          <w:rFonts w:ascii="arial" w:eastAsia="arial" w:hAnsi="arial" w:cs="arial"/>
          <w:color w:val="000000"/>
          <w:sz w:val="20"/>
          <w:lang w:val="en-US" w:eastAsia="en-US" w:bidi="ar-SA"/>
        </w:rPr>
        <w:t>, where the court found the defendant not to be telling the truth and drew the adverse inference he was trying to hide his culpability.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contradictions in the defendant's sworn evidence at bar are so blatant and without satisfactory explanation that I can only infer that he too was trying to cover up his responsibility for the fire.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Taking the evidence as a whole, I am satisfied on a balance of probabilities that it was more likely than not that this fire was caused by inappropriately discarded smoking materials for which the defendant is fully 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plaintiff shall have judgment for the amount of its damages sought of $216,061.51.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 KLOEGMAN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35" style="position:absolute;z-index:25185382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59"/>
          <w:headerReference w:type="default" r:id="rId760"/>
          <w:footerReference w:type="even" r:id="rId761"/>
          <w:footerReference w:type="default" r:id="rId762"/>
          <w:headerReference w:type="first" r:id="rId763"/>
          <w:footerReference w:type="first" r:id="rId76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7" w:history="1">
        <w:r>
          <w:rPr>
            <w:rFonts w:ascii="arial" w:eastAsia="arial" w:hAnsi="arial" w:cs="arial"/>
            <w:b/>
            <w:bCs/>
            <w:i/>
            <w:color w:val="0077CC"/>
            <w:kern w:val="32"/>
            <w:sz w:val="28"/>
            <w:szCs w:val="32"/>
            <w:u w:val="single"/>
            <w:shd w:val="clear" w:color="auto" w:fill="FFFFFF"/>
            <w:lang w:val="en-US" w:eastAsia="en-US" w:bidi="ar-SA"/>
          </w:rPr>
          <w:t>M.D. (Guardian ad litem of) v. British Columbia, [2000] B.C.J. No. 915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Melvin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23 - 26, 29 - 30, December 1 - 3, 6 - 10,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13 - 17, 1999 and January 24 - 26,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28,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Victoria Registry No. 3162/97</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[2000] B.C.J. No. 915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2000 BCSC 700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97 A.C.W.S. (3d) 645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765" w:history="1">
        <w:r>
          <w:rPr>
            <w:rFonts w:ascii="arial" w:eastAsia="arial" w:hAnsi="arial" w:cs="arial"/>
            <w:i/>
            <w:color w:val="0077CC"/>
            <w:sz w:val="20"/>
            <w:u w:val="single"/>
            <w:shd w:val="clear" w:color="auto" w:fill="FFFFFF"/>
            <w:lang w:val="en-US" w:eastAsia="en-US" w:bidi="ar-SA"/>
          </w:rPr>
          <w:t>[2000] B.C.T.C. 287</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M.D., by her Guardian ad litem C.E., H.E. and C.E., plaintiffs, and Her Majesty the Queen in Right of the Province of British Columbia and K.K., defendants, and Her Majesty the Queen in Right of the Province of British Columbia, third party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(127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36" style="position:absolute;z-index:2517032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85" w:name="Keywords_41"/>
      <w:bookmarkEnd w:id="285"/>
      <w:r>
        <w:rPr>
          <w:rFonts w:ascii="arial" w:eastAsia="arial" w:hAnsi="arial" w:cs="arial"/>
          <w:b/>
          <w:color w:val="000000"/>
          <w:sz w:val="20"/>
          <w:lang w:val="en-US" w:eastAsia="en-US" w:bidi="ar-SA"/>
        </w:rPr>
        <w:t xml:space="preserve">Guardian and ward — Public Trustee or Guardian — Appointment — Child in need or protection, medical or health reasons — Torts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of care, particular relationships — Claims against public officials, authorities or boards — Child and family services departments and employees, subcontractors, etc. — Vicarious liability.</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86" w:name="Case Summary_38"/>
            <w:bookmarkEnd w:id="28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a child's litigation guardian against the Province of British Columbia and K, a foster parent, for catastrophic injuries suffered by the child. The child was born with a methadone addiction. Her biological parents were unable to care for her, and because the Ministry of Children and Families could not complete a fostering assessment in time for release of the child from hospital, her aunt was not considered as a foster parent. As people with experience caring for methadone- addicted children, the current litigation guardians also applied for foster-parent status. They obtained interim custody by court order, which was opposed by the Ministry. The Ministry then obtained a protection order. It was always clear that the child had significant medical needs and would require a quiet environment with 24-hour care. However, this was not fully conveyed to the social worker on the file. He had previous experience with K, and knew that she was a nurse who had fostered a child with medical problems and was a single parent with a child of her own. On his recommendation, the Ministry selected K as a foster parent. Within four days of the child's release from hospital, K shook the child, causing brain damage that rendered her quadriplegic, blind and subject to seizures.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87" w:name="Holdings of Court_31"/>
            <w:bookmarkEnd w:id="287"/>
            <w:r>
              <w:rPr>
                <w:rFonts w:ascii="arial" w:eastAsia="arial" w:hAnsi="arial" w:cs="arial"/>
                <w:color w:val="000000"/>
                <w:sz w:val="20"/>
                <w:lang w:val="en-US" w:eastAsia="en-US" w:bidi="ar-SA"/>
              </w:rPr>
              <w:t>HELD: Action allowed against both the Province and K.</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Province was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well as vicariously liable for the conduct of K. It did not communicate appropriately with its workers on the file and turned the child over to a foster parent without proper qualifications for the child's care. Ministry staff failed to advise the social workers properly and the social workers did not give appropriate information to the caregiver. Ministry staff did not properly inquire into K's qualifications or suitability or consider whether the litigation guardians or aunt were preferable caregivers. The Ministry was not protected by the good-faith exemption provided in section 101 of the Child, Family and Community Service Act. The Ministry's vicarious liability stemmed from the direct control it exercised over K, although she was not an employee. Her wrongful act was sufficiently related to conduct authorized by the Ministry to justify the imposition of vicarious liability. Damages were to be based on a life expectancy of 30 years. The catastrophic nature of the injuries justified non-pecuniary damages at the current upper limit.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88" w:name="Legislation Cited_32"/>
      <w:bookmarkEnd w:id="28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37" style="position:absolute;z-index:2517544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Child, Family and Community Service Act, ss. 13, 47, 101.</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18"/>
                <w:lang w:val="en-US" w:eastAsia="en-US" w:bidi="ar-SA"/>
              </w:rPr>
              <w:t xml:space="preserve">[Quicklaw note: Supplementary reasons for judgment were released November 8, 2000. See </w:t>
            </w:r>
            <w:hyperlink r:id="rId765" w:history="1">
              <w:r>
                <w:rPr>
                  <w:rFonts w:ascii="arial" w:eastAsia="arial" w:hAnsi="arial" w:cs="arial"/>
                  <w:i/>
                  <w:color w:val="0077CC"/>
                  <w:sz w:val="18"/>
                  <w:u w:val="single"/>
                  <w:shd w:val="clear" w:color="auto" w:fill="FFFFFF"/>
                  <w:lang w:val="en-US" w:eastAsia="en-US" w:bidi="ar-SA"/>
                </w:rPr>
                <w:t>[2000] B.C.J. No. 2296</w:t>
              </w:r>
            </w:hyperlink>
            <w:r>
              <w:rPr>
                <w:rFonts w:ascii="arial" w:eastAsia="arial" w:hAnsi="arial" w:cs="arial"/>
                <w:color w:val="000000"/>
                <w:sz w:val="18"/>
                <w:lang w:val="en-US" w:eastAsia="en-US" w:bidi="ar-SA"/>
              </w:rPr>
              <w:t>.]</w:t>
            </w:r>
            <w:r>
              <w:rPr>
                <w:rFonts w:ascii="arial" w:eastAsia="arial" w:hAnsi="arial" w:cs="arial"/>
                <w:color w:val="000000"/>
                <w:sz w:val="20"/>
                <w:lang w:val="en-US" w:eastAsia="en-US" w:bidi="ar-SA"/>
              </w:rPr>
              <w:t xml:space="preserv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89" w:name="Counsel_43"/>
      <w:bookmarkEnd w:id="28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38" style="position:absolute;z-index:2518056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J.A.S. Legh, A. Sheane and B. Marlatt, for the plaintiffs. J.D. Eastwood, H.A. Mickelson and A.D. Gay, for the defendants. The defendant, K.K., appeared in person.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90" w:name="Judgment_43"/>
      <w:bookmarkEnd w:id="290"/>
      <w:r>
        <w:pict>
          <v:line id="_x0000_s1239" style="position:absolute;z-index:25185484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7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91" w:name="MELVIN J."/>
            <w:bookmarkEnd w:id="291"/>
            <w:r>
              <w:rPr>
                <w:rFonts w:ascii="arial" w:eastAsia="arial" w:hAnsi="arial" w:cs="arial"/>
                <w:b/>
                <w:color w:val="000000"/>
                <w:sz w:val="30"/>
                <w:lang w:val="en-US" w:eastAsia="en-US" w:bidi="ar-SA"/>
              </w:rPr>
              <w:t>MELVIN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By their statement of claim issued August 6, 1997, and subsequently amended, the plaintiffs seek damages from the defendants as a result of an assault of the infant M.D. ("M.D.") by the defendant K.K. ("K.K.") while M.D. was in K.K.'s care as a foster parent as a result of apprehension by the Director pursuant to the Child, Family and Community Service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infant M.D. was born on February 24, 1997, addicted to methadone as a result of drug use by her mother. Neither M.D.'s biological mother nor father are parties to this litigation. Due to the parents alleged inability to care for the infant and her methadone addiction, on February 26, 1997, the Ministry of Children and Families apprehended M.D. M.D. remained in hospital until April 23, 1997, during which time she was monitored at the special care nursery at the hospital for her methadone-related problems. During the interval that M.D. was in hospital, her aunts C.E. ("C.E.") and L.S. ("L.S.") sought to have care of the child; however, the Ministry selected the defendant K.K. as a foster parent, resulting in K.K. taking M.D. from hospital on April 23, 1997, after a discharge meeting with health care professionals at the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On or about April 27, 1997, M.D. was returned to the hospital after having been shaken by the defendant K.K. The infant M.D. suffered catastrophic injuries, as a result of which she requires 24-hour intensive care. Once M.D. had recovered sufficiently from her injuries to be discharged, she ultimately, with the concurrence of the Director, was placed with the plaintiffs E. At the present date, M.D. remains with the E.'s and is cared for there on a 24-hour basis by the E.'s with considerable outside assistance.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issues that arise in these proceedings are:</w:t>
      </w:r>
      <w:r>
        <w:rPr>
          <w:rFonts w:ascii="arial" w:eastAsia="arial" w:hAnsi="arial" w:cs="arial"/>
          <w:sz w:val="20"/>
          <w:lang w:val="en-US" w:eastAsia="en-US" w:bidi="ar-SA"/>
        </w:rPr>
        <w:cr/>
      </w:r>
    </w:p>
    <w:p>
      <w:pPr>
        <w:numPr>
          <w:numId w:val="1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liability of the defendant K.K. based on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and/or assaultive behaviour (admitted);</w:t>
      </w:r>
    </w:p>
    <w:p>
      <w:pPr>
        <w:numPr>
          <w:numId w:val="137"/>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Province of British Columbia in placing M.D. with the defendant K.K., or in failing to place M.D. with the plaintiffs E.;</w:t>
      </w:r>
    </w:p>
    <w:p>
      <w:pPr>
        <w:numPr>
          <w:numId w:val="1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vicarious liability of the defendant Province of British Columbia regarding acts of the foster parent (K.K.) with whom M.D. was placed by the Province;</w:t>
      </w:r>
    </w:p>
    <w:p>
      <w:pPr>
        <w:numPr>
          <w:numId w:val="1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life expectancy of M.D.;</w:t>
      </w:r>
    </w:p>
    <w:p>
      <w:pPr>
        <w:numPr>
          <w:numId w:val="1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non-pecuniary;</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cost of future care;</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cost of equipment/housing;</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income;</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plaintiffs' in trust claim; and</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plaintiffs' claim for aggravated or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Considerable background is needed in relation to the events that occurred in February, March and April of 1997. Hospital social workers, on learning of the pregnancy of M.D.'s mother, became concerned about the parents' ability to care for M.D. after birth on the basis of drug and alcohol addiction. Consequently, steps were taken to contact the appropriate government ministry, which after investigation, determined that M.D. should be apprehended under the provisions of the Child, Family and Community Service Act. In this respect, on February 5, 1997, Social worker Tooke met with M.D.'s mother at the hospital and reported to the Ministry that the baby would be born with special needs and would remain in the hospital. At about the middle of February, the Ministry learned that the plaintiff C.E. was fully aware of her sister's difficulties and had custody of another child borne of M.D.'s mother. At that time, C.E. expressed her concerns for the baby to be born. As early as February 25, 1997, M.D.'s mother was quite concerned about the Ministry's apprehension and indicated that she had plans and was going to "assign custody to someone else". The documentary exhibits demonstrate that as early as February 21, 1997, the Ministry was aware that "various of sisters of Mom willing to be a resource. They are already resources for previous children." On February 25, 1997, social worker Tooke noted that the baby had been born with special needs (methadone-addicted) and could not leave the hospital care nursery. As a result, there was an application for apprehension, specifying a hearing date of February 27, 1997, in the Provincial Court in Victoria. The documentation in support of the application to the court indicated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baby was born methadone addicted and possibly fetal alcohol affected and is in the special care nursery.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Collateral checks with the extended family indicate that it was not appropriate to plan with the extended family at this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As a result of this process of apprehension by the Ministry, certain steps are then taken to determine whether or not a foster parent should be selected, and if so, who that person should be. The formal order of the court on March 13, 1997 ordered that the child be in the custody of the Director until further order of the court. On March 14, 1997, another social worker, Petersen, requested from the resource side of the Ministry a request for "a special needs placement for this methadone baby".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March of 1997, M.D.'s aunt L.S. expressed her concerns about the apprehension by the Ministry and requested a restricted home study on her premises in the Lake Cowichan area with a view to obtaining custody of M.D. on her discharge from hospital. In that respect, she had prepared the appropriate paperwork and filed it with the Duncan office of the Ministry for purposes of a restricted home study. On March 13, 1997, the mother of M.D. left a letter with the social worker Petersen requesting that she call the Duncan office and give permission for that office to go ahead with the procedure for L.S. to become a restricted foster home, as this was where she and her partner (M.D.'s father) wanted M.D. to go when she was discharged. That letter was left at Petersen's office. Petersen, at this stage of the proceedings, declined to direct the Duncan office to proceed with the restricted home study; consequently, L.S. as a potential foster parent was eliminated from consideration. One of the concerns that Petersen had was that L.S.'s family lived outside of Victoria and she was concerned that the natural parents of M.D. were unable to resume parenting due to distance. Petersen reported that to the Provincial Court on March 13,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At the time of request to the resource side of the offices of the Ministry, the defendant K.K. had been a foster parent known to the Ministry. K.K. had previous children placed with her as foster parent and, at the time under consideration, had living with her Baby A., who was a baby with some medical concerns, and her own son of school age, and she was a single parent. K.K. was a registered nurse, and Bilinsky, a resource worker, on behalf of the Ministry, concluded that she would be an appropriate individual to care for M.D. on M.D.'s discharge. Consequently, he contacted K.K. and she became involved in the process leading to discharge on April 23, 1997. In that context, once K.K. was identified by the resource worker Bilinsky as the suitable foster parent, she attended at the hospital approximately 13 times while M.D. was present in the special care nursery and spent some time with the child on each of the occasions. Her conduct with reference to the child was noted by social workers and nurses in attendance and it would appear that her conduct was appropriate for the child and she demonstrated the ability to deal with the child at that time. At no time, either while the child was in the hospital or while K.K. was attending at the hospital, did K.K. express any reservations about her ability to care for the child on discharge.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Throughout this period of time, there appears to be some, albeit limited, knowledge on the part of social workers in the Victoria area as to the needs of methadone-addicted babies. The particular knowledge of the subject matter appeared to be located in the Vancouver area, and in particular, at Sunnyhill Hospital. Nevertheless, one of the medical practitioners, Dr. Chan, testified that approximately 12 narcotic-addicted children are born in Victoria every year; consequently, the medical staff had some knowledge as to the needs of such children. In addition, it must be noted that the child was in the special care nursery at the hospital from the date of birth until April 23, 1997, approximately two months; consequently, the ongoing needs in relation to the child during that two-month period would be obvious to the health care workers at the hospital and the social workers who attended at the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As a result of L.S.'s participation as a foster parent coming to an end, the plaintiff C.E. applied to become a restricted foster parent. As a result, she met with Bilinsky, the resource worker, in early April of 1997, with reference to conducting a restricted study on her home. C.E. had had a fire in her home and was not in a position to meet with Bilinsky until April 8, 1997 at which time they discussed the documents required by the Ministry. These were given to C.E. The documents required her husband's signature as well as her own. Her husband was absent from British Columbia at the relevant period and there was a delay in the return of the documentation. As of the date of M.D.'s discharge, no documentation was filed by the plaintiffs E. in support of a restricted home assessment. It is the position of the Ministry that regardless of the connection between the persons seeking to be foster parents and the child, a restricted home study of the family is required before the Ministry will allow that family to become foster parents of the child.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At about the same time, social worker Petersen, who was involved with the child at the hospital, who described her position as a float position, and who took over from the social worker Tooke, turned the matter over to social worker Beland.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As early as March 18, 1997, the Ministry social workers were aware that after discharge M.D. might be at risk for complications as a result of methadone addiction. In the memorandum from Petersen to Bilinsky concerning resources, she states, "the plan very tentatively, is for M.D. to go to a foster home and continue to be cared for in the manner of methadone babies who may go through the secondary withdrawal in the next six months". Consequently, over a month before M.D.'s discharge from hospital, the Ministry knew that there were possible complications that might be forthcoming within a further six-month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On March 19, 1997, a document was created, which was described as a child service file opening summary, which confirmed M.D.'s status in the special care nursery at the hospital, with a reference to resource social workers (Bilinsky) for a "specialized foster care along with the discharge planning in two weeks". With reference to the two-week period, it obviously was optimistic. In the body of the report, is reproduced some discussion concerning the care required by M.D. as of that date. The care is described in this language: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M.D. is now in the process of being withdrawn from the methadone and continues to be in the special nursery for addicted babies, which is complete darkness, little handling and much special care. It is expected that M.D. will remain at high risk for secondary withdrawal within the next six months and needs a low stimulation house, dark space in order to handle stress and very little other stimulation. She also needs around the clock 24-hour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relation to service goals within that same document, the authors note that at this particular point a referral has been made to resources (Bilinsky) for a "specialized foster placement when the baby is discharged".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As to the continued participation of C.E. in the context of a potential foster parent, in a memorandum of March 26, 1997, social worker Petersen notes the immediate concern is starting a restricted home study. In that memorandum she notes that a concern is her (C.E.'s) willingness to work with the Ministry to focus on M.D.'s special needs, her willingness to work with the birth parents to maintain contact, and the inter-family conflict which appeared to be an on-going problem. On that memorandum, which is found in Exhibit 1, Page 45, there appears a handwritten notation.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handwritten notation apparently was made by one Carol Kazanowski, a part-time Ministry worker in the resource side of the Ministry. Ms. Kazanowski was initially charged with the obligation of conducting the restricted home study of C.E. and H.E. There is a notation on the March 26, 1997 memorandum of M.D.'s date of birth, addiction to methadone, special care nursery, withdrawal from addictions, and then the language appears, "should be heavily scrutinized", and below that, "no rush". In considering the obligation of Ms. Kazanowski, with reference to the restricted home study, and considering the language of Petersen within that same memorandum, it is obvious that those notes relate to the application by C.E. to become a restricted foster parent. In other words, her application should be heavily scrutinized and that there was no rush in respect to that application. Ms. Kazanowski was not called as a witness at trial; consequently, those notations appear without further explanation.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On March 24, 1997, there was an interview with the parents, the plaintiff C.E., L.S., and social worker Petersen. Social worker Beland was also present as being the individual to whom the file would be transferred. At that time, the plan of care of the Ministry, which was to have M.D. placed in a foster home upon discharge, was objected to as the family wished M.D. to go directly to either the maternal aunts L.S. or C.E. At this meeting, there was a discussion of the restricted home study in relation to C.E. and the suggestion that this process commence. Beland was the social worker in relation to the child effective as of that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As a result of frustrations on the part of the E.'s with reference to the manner in which this matter was being handled, they issued a petition in the Supreme Court of British Columbia on April 16, 1997, directed to the Director of Child, Family and Community Service and others, requesting custody and guardianship of M.D. In response to that petition, social worker Beland filed an affidavit and the matter was heard before the Supreme Court of British Columbia on April 23, 1997. In his affidavit, Beland stated that the protection hearing was to commence on April 24, 1997 at which time the Ministry would be making application for a three-month temporary custody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He then stated as follows:</w:t>
      </w:r>
      <w:r>
        <w:rPr>
          <w:rFonts w:ascii="arial" w:eastAsia="arial" w:hAnsi="arial" w:cs="arial"/>
          <w:sz w:val="20"/>
          <w:lang w:val="en-US" w:eastAsia="en-US" w:bidi="ar-SA"/>
        </w:rPr>
        <w:cr/>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At birth M.D. was placed in the special care nursery at Victoria General Hospital and remains there to date. </w:t>
      </w:r>
      <w:r>
        <w:rPr>
          <w:rFonts w:ascii="arial" w:eastAsia="arial" w:hAnsi="arial" w:cs="arial"/>
          <w:color w:val="000000"/>
          <w:sz w:val="20"/>
          <w:u w:val="single"/>
          <w:lang w:val="en-US" w:eastAsia="en-US" w:bidi="ar-SA"/>
        </w:rPr>
        <w:t>M.D. is experiencing methadone withdrawal and requires significant medical attention. She is monitored on a 24-hour basis and is under the care of a paediatrician Dr. Chan</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underlining)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He further states:</w:t>
      </w:r>
      <w:r>
        <w:rPr>
          <w:rFonts w:ascii="arial" w:eastAsia="arial" w:hAnsi="arial" w:cs="arial"/>
          <w:sz w:val="20"/>
          <w:lang w:val="en-US" w:eastAsia="en-US" w:bidi="ar-SA"/>
        </w:rPr>
        <w:cr/>
      </w:r>
    </w:p>
    <w:p>
      <w:pPr>
        <w:numPr>
          <w:numId w:val="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At this time it is anticipated that M.D. will be discharged from the special care nursery at the Victoria General Hospital on or about April 23, 1997. Upon discharge the Ministry </w:t>
      </w:r>
      <w:r>
        <w:rPr>
          <w:rFonts w:ascii="arial" w:eastAsia="arial" w:hAnsi="arial" w:cs="arial"/>
          <w:color w:val="000000"/>
          <w:sz w:val="20"/>
          <w:u w:val="single"/>
          <w:lang w:val="en-US" w:eastAsia="en-US" w:bidi="ar-SA"/>
        </w:rPr>
        <w:t>intends to place the child with the foster parent, who has had significant involvement with methadone-addicted infants</w:t>
      </w:r>
      <w:r>
        <w:rPr>
          <w:rFonts w:ascii="arial" w:eastAsia="arial" w:hAnsi="arial" w:cs="arial"/>
          <w:color w:val="000000"/>
          <w:sz w:val="20"/>
          <w:lang w:val="en-US" w:eastAsia="en-US" w:bidi="ar-SA"/>
        </w:rPr>
        <w:t>. The foster parent has been involved with M.D. and M.D.'s medical caregivers at the special care nursery throughout M.D.'s period of recovery from the opiate addiction.</w:t>
      </w:r>
    </w:p>
    <w:p>
      <w:pPr>
        <w:numPr>
          <w:numId w:val="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At this time the Ministry cannot support the plaintiffs' application for custody of M.D. </w:t>
      </w:r>
      <w:r>
        <w:rPr>
          <w:rFonts w:ascii="arial" w:eastAsia="arial" w:hAnsi="arial" w:cs="arial"/>
          <w:color w:val="000000"/>
          <w:sz w:val="20"/>
          <w:u w:val="single"/>
          <w:lang w:val="en-US" w:eastAsia="en-US" w:bidi="ar-SA"/>
        </w:rPr>
        <w:t>The Ministry requires time to assess and determine M.D.'s future health needs and time to complete the restricted foster home study with respect to the plaintiffs</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underlining)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Counsel appeared on that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At that hearing, counsel for the plaintiffs E. requested an order of custody in order to give the E.'s standing in the Provincial Court, which would also result in the plaintiffs being parents "apparently entitled to custody which would give them status under the legislation". Counsel for the plaintiffs stated there was no question that the plaintiffs would not be obtaining custody as of the date of the application "because there is still medical concerns respecting the child". In response, counsel for the Director opposed the plaintiffs' application for custody and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child has been in hospital in the special care nursery to date. She has been monitored on a 24-hour basis in order to withdraw her off methadone. The child is being discharged from the hospital today and she is going into a special care foster home where the foster parent has had significant involvement with methadone-addicted children and can attend to this child's needs.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As a result of this process, the court ordered that the plaintiffs E. should have interim custody of M.D., subject to the rights of the Director to custody in the Provincial Court of British Columbia, with reference to the protection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On April 24, 1997, the parties were before the Provincial Court due to the proceedings under the legislation, at which time counsel for the Ministry advised the court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is a six week old methadone-addicted infant who was just released from the hospital yesterday and requires significant medical needs and attention. She is currently placed with a specialized resource with a foster parent who has numerous involvement with both the child and with the other methadone-addicted infants.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She further advised that the child could not travel outside of the foster home. Throughout this period of time, the documentation supported the conclusion advanced by counsel for the Ministry in the Supreme Court of British Columbia on April 23, 1997, and the Provincial Court of British Columbia on April 24, 1997, that the child required significant medical needs and attention.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At the discharge meeting on April 23, 1997, medical professionals attended, including Dr. Chan, who wrote, on April 23, 1997, a letter addressed To Whom It May Concern. He stated in his letter that "she [M.D.] is ready to be home today with a foster mother. In the future six to twelve months she still requires a rather strict routine, that is regular feeding time, play time, social contact and not getting too excited at any time". He stated that it was not advisable to expose her by taking her to different homes for the next few months, that the care was based on her needs and how much she could tolerate and that she would have to be assessed from time to time and alter her activity gradually when necessary. He stated that there was a possibility of recurrent symptoms withdrawal in the first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At trial, Dr. Chan was asked about the correspondence and his involvement at the discharge on April 23, 1997. He advised that neither the hospital nor the doctors train the social workers about the needs of narcotic-addicted babies when they go home, and that he had no idea who trains the social workers for that. He expanded upon his letter by saying the baby should be in a strict routine in the beginning and then watched for a response. If the baby responded well then stimulus could be increased, like taking the child for a car ride or going to visit another home. "You have to know the limit", according to Dr. Chan.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terms of the defendant K.K., he stated, with reference to M.D., that a single parent with another child at home was not an ideal environment. That is the Ministry's responsibility. "We gave them the information about this baby's needs and they chose the family. We depend entirely on the Ministry. They did not give me information about the family what baby is going to. I assume if they choose a family that it is suitable for the baby. That is their responsibility, not mine."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That leads to a consideration of the selection of the defendant K.K. as being the foster parent with reference to this child. Social worker Bilinsky was the individual who selected K.K. based on his experience with her, which had been positive. At trial, when it was brought to Bilinsky's attention, both at the Provincial Court and the Supreme Court on April 23 and 24, 1997, that it was indicated that M.D. had significant medical needs and was to be placed in a specialized resource with a foster parent who had numerous involvement with methadone-addicted children, Bilinsky said he was not provided with that information. At the same time, he acknowledged that he did not hear about any difficulties from the protection social workers (Petersen or Beland) and if there had been a concern, he would have attempted to locate another resource even though there was no other resource in his area at that time. Bilinsky said he had no direct medical information that the child was of special needs or needed a special needs home; the only information he had was that the child was drug-addicted, methadone withdrawing, and the baby was doing well. In terms of the responsibility of the caregiver to raise issues as to the suitability of the child being placed with that caregiver, Bilinsky said it is best for the caregiver to get the information from those who are professionals dealing with the child, and that the child social worker is the case manager for the child and is the one who has all of the information concerning the child's difficulties.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this context, the following questions and answers, in my view, are significant: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But it seems to me, that people with the information in the Ministry don't communicate with the people that are making this initial selection, from what you're telling me. Maybe they do in some cases, but there is a communication problem perhaps; you're not given the total picture?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WITNESS: Correct. I don't have the full comprehensive picture, nor is it something that -- in general practice, that we have.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So the fall back position of the Ministry is that the caregiver should make the ultimate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882"/>
        <w:gridCol w:w="690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WITNESS:</w:t>
            </w:r>
          </w:p>
        </w:tc>
        <w:tc>
          <w:tcPr>
            <w:tcW w:w="675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568"/>
        <w:gridCol w:w="721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53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COURT:</w:t>
            </w:r>
          </w:p>
        </w:tc>
        <w:tc>
          <w:tcPr>
            <w:tcW w:w="706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Is that it?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WITNESS: No, the caregiver is one of the people to make the ultimate decision. Because even if K.K. or the caregiver says, yes, I'm going to take this child, if the child's social worker or the hospital or even me, if any of us have concerns and say this is not a -- information has come to light that says that this is not a doable placement, then any one of us can stop it at any time.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The ultimate authority rests with the Ministry?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882"/>
        <w:gridCol w:w="690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WITNESS:</w:t>
            </w:r>
          </w:p>
        </w:tc>
        <w:tc>
          <w:tcPr>
            <w:tcW w:w="675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Ultimately, 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LEGH: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You never communicated with the hospital staff directly at all?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No, I never did. That's not something that I would normally do in my role as a resource worker is to have direct contact. That's the protection, the social worker's role to be dealing with the hospital, dealing with the natural parents, dealing with any other agencies that are involved specifically around the child. My role is to liaise with the resource worker or resource caregiver.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short, Bilinsky did not have the information that Beland stated in his affidavit of April 23,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This evidence is confirmed by the evidence of Jane Cowell, a senior supervisor with the Ministry of Children and Families in Victoria, whose official title is Regional Executive Director for the Ministry of Children for Southern Vancouver Island.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Cowell described two teams established in Victoria, the Victoria East and Victoria West teams. Cowell knew social workers, Beland, Bilinsky and Petersen and, in particular, had known Beland and Bilinsky for a number of years. Cowell describes the division of responsibility in this fashion. Social workers Peterson and Tooke were the intake assessment workers who performed the investigation function. Social worker Beland was responsible for the planning and guardianship function. Social worker Bilinsky was on the residential resource team.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respect of social worker Bilinsky's function, she described him as being a member of the residential resource team whose function was to recruit, train and support caregivers in the Capital Region, and being responsible for the finding of placements for children that come into care. At her cross-examination: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And so Ron would make that determination as to the adequacy of the home that he was putting forward?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Yes, yes.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And he would do that based on getting sufficient information as to the child and the child's needs to come up with that match of a caregiver?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Yes. Certainly he -- I mean, the initial phone call exploration stage, they would identify further information that was required. And again, the child's social worker has a role to play as well in providing further information and insuring that the caregiver is provided with what they need.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I take it the social workers in this case, Alexis Peterson, Patty Tooke and Paul Beland, they would be the source of information for Mr. Bilinsky to make his assessment as to a proper home?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Correct.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Further in her cross-examination she confirmed that it was Bilinsky's responsibility to assess K.K.'s home and determine whether it was adequate for the care of M.D. She also confirmed the limited knowledge that Bilinsky might be expected to receive in the following passage: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Well, once the home is identified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That's correct.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 Ron Bilinsky doesn't do much more at that stage. At that point, it's between the social worker and the foster parent to determine and look at the specific situation to determine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Right.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 if this is going to work?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Well, no. The resource social worker maintains and continues to have a role.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The resource social worker, as I understand it from Mr. Bilinsky, doesn't receive all of the medical information regarding the child?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No, that's true.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And the person that's going to ultimately have the most information about the child and the child's needs is the social worker; in this case, Paul Beland?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Correct. At the end of the day, though, if Mr. Beland had had an issue with the placement of Baby M.D. with K.K. and he had said, "I'm not placing the child in this home," and had gone back to Mr. Bilinsky and said that, then Mr. Bilinsky would look for other options. If there were no other options available, it would be Mr. Bilinsky's call.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Bilinsky's cross-examination, the following appears: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When you first identified K.K. as a suitable home for M.D., you were not aware of what her specific needs were, were you?</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I was not. I was given general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110"/>
        <w:gridCol w:w="167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96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Q And ultimately, you never took the opportunity to</w:t>
            </w:r>
          </w:p>
        </w:tc>
        <w:tc>
          <w:tcPr>
            <w:tcW w:w="163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96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assess K.K.'s ability to meet M.D.'s needs; did you?</w:t>
            </w:r>
          </w:p>
        </w:tc>
        <w:tc>
          <w:tcPr>
            <w:tcW w:w="163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It</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96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wasn't something you did?</w:t>
            </w:r>
          </w:p>
        </w:tc>
        <w:tc>
          <w:tcPr>
            <w:tcW w:w="163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No.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Important factors concerning K.K.'s personal situation at the relevant period of time include the fact that she was a single parent with a seven year old child of her own. In addition, she had a foster child with medical needs of approximately one year old, she had no source of income other than foster care and part-time employment with her parents, and she was recovering from a broken leg.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my opinion, an alert was sounded when social work Bilinsky acknowledged that before M.D. was placed with K.K. "a woman named Alison Sutherland had expressed at one time some concern over the fact she felt K.K. might be overloaded." Answer: "That is correct". Although the evidence did not expand upon this reference and relate the expression of concern to a time frame associated with the placement of M.D. with K.K., nevertheless, in my view, it is an indication that more detailed inquiries should have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Consequently, at the date of discharge of M.D. into the care of the defendant K.K., Bilinsky did not have the specific needs, touched on by Beland in his affidavit, with regard to a caregiver, and it is obvious that K.K. did not meet the criteria referred to by Beland in his affidavit. It is equally obvious that social worker Petersen did not pass on any more information to Beland nor did she make any inquiries of K.K. or the hospital as to K.K.'s abilities to meet the needs of the child. The hospital staff expected that the social worker would select the appropriate caregiver and were not involved in that process. Beland, who was actively involved in the latter part of the placement period, taking over from Petersen in early April of 1997, did not testify. No adverse inference can be drawn from that as an affidavit from his physician was filed demonstrating that for medical reasons he was unable to attend and testify on these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Throughout the evidence of Bilinsky, Petersen and other social workers, there appears to be an acceptance that the foster parent, the ultimate caregiver, is the individual who must ultimately make the decision as to whether or not he or she is capable of providing care in relation to the child. The difficulty in the case at bar is that the caregiver, the foster parent, on the evidence that I have and I accept, did not have, in my opinion, the detailed knowledge which was required in order to make that value judgment. The Ministry apprehends children pursuant to the provisions of the statute for a variety of reasons, which are enumerated in Part 3 and, in particular, s. 13. Once the Director has, through staff, apprehended the child, protection hearings are conducted in the Provincial Court and, as a result, a number of orders can be made, including permanent or temporary orders. In this respect, the Director took temporary custody of M.D. pursuant to the authority given to him by the statute and then, pursuant to the authority given by that same statute, placed the child in the defendant K.K.'s care pursuant to a foster parent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In order for the plaintiffs to succeed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with reference to the placement of M.D. in the care of the defendant K.K., it is necessary to consider the duty of care, and the standard of care, and whether or not there has been a breach. Insofar as the issue of duty of care is concerned, there can be no doubt that the Ministry has a duty of care towards children it takes into its custody. This duty, of course, must be carried out by social workers in the employ of the Ministry. The Director's duty of care may be simply described as one of a prudent parent. In exercising that duty, in my opinion, the Director is required, within the resources available in the province, to select a suitable foster parent. In exercising that value judgment, the resource workers are required to know what needs exist with reference to the child under consideration. Secondly, the social worker who is the child protection worker must be in a position to communicate with the resource worker and the potential foster parent with reference to the same subject. Otherwise, lack of communication may create difficulties.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In the case at bar, in my view, there was a lack of appropriate communication between the child protection workers, the resource worker, and the caregiver K.K. Although K.K. attended at the hospital periodically throughout March and April prior to the discharge of M.D. into her care, it must be remembered that she did so in the context of attending at a special needs nursery at the hospital. That, in and of itself, demonstrates the level of concern that individuals had as to M.D.'s care. K.K. appeared to be the only resource available to Bilinsky at the time he made the selection. He did not seek to inquire as to whether there were other resources that might be more suitable in the adjacent area. It should be noted that at all relevant times, the Victoria area is divided into Victoria East and Victoria West. Bilinsky could have carried out such an inquiry as he saw fit. Further, Beland's concerns as expressed in his affidavit of April 23, 1997 were not expressed to K.K. In the exhibit introduced at trial in relation to the criminal proceedings involving K.K., the transcript relating to Beland's evidence contains the following statement, with reference to K.K.:</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I was not actually aware of all the details of the other children in her house and some of the things that you make reference to I am not actually aware of.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Did you know that she was caring for a 14 month old child in addition to her 7 year old child?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No, I did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Dr. Chan's evidence and letter demonstrates that the K.K. residence was perhaps not an ideal environment.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short, there was a lack of communication between the various individuals and the Ministry staff who were responsible for the selection of the foster parent K.K. with respect to the needs of M.D.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As to the affidavit of Beland, which was presented to the Supreme Court of British Columbia in opposition to the plaintiffs' request for custody, it demonstrates that in his opinion, at the time, the child required significant medical attention and that the Ministry was going to place the child with a foster parent who had significant involvement with methadone-addicted infants. This was a sworn statement under oath by Beland and, insofar as it may be true, the Ministry did not carry out the expressed intention to place the child with a foster parent who had significant involvement with methadone-addicted infants, as deposed to by him, but placed the child with K.K. who had no such experience. In addition, K.K. did not know that the child required significant medical attention as stated by Beland.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Under all those circumstances, taken cumulatively, I am satisfied that the Ministry staff were negligent in the following areas:</w:t>
      </w:r>
      <w:r>
        <w:rPr>
          <w:rFonts w:ascii="arial" w:eastAsia="arial" w:hAnsi="arial" w:cs="arial"/>
          <w:sz w:val="20"/>
          <w:lang w:val="en-US" w:eastAsia="en-US" w:bidi="ar-SA"/>
        </w:rPr>
        <w:cr/>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of the protection social workers to fully advise the resource social worker as to the needs of the child, and failure of the resource worker to fully inquire as to the needs of the child;</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of the social workers to communicate with the caregiver as to the medical needs of the child;</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to inquire as to the current ability of the caregiver to meet the child's needs, including providing 24-hour monitoring;</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to select a foster parent suited to the child's needs;</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to select the plaintiffs E. or L.S. as suitable foster parents contrary to the child's best interests.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On April 17 1998, Mr. Dawson, Director of Child Protection, reported to Cowell, Regional Operating Officer, concerning the activities of the Ministry with reference to M.D. This report was based on Cowell's interviews with a number of individuals. Some of these individuals testified at this trial, others did not. This report was prepared as a result of the concerns the Ministry had with respect to the injuries sustained by M.D. while in the care of the foster parent K.K. The report is an evaluation of the circumstances leading up to the injuries sustained by M.D. Although it was admitted in evidence, as it was a document prepared by the defendant Ministry, it should be noted that it was prepared with the benefit of hindsight. Under all the circumstances, although the report demonstrates deficiencies of the conduct of the Ministry in relation to the placement of M.D. with the defendant K.K., in my view, it does not stand in the place and stead of evidence at trial. Accordingly, it should not be used to bolster the findings that have been made. The report demonstrates that the Ministry considered the matter seriously and appropriately in the hope of avoiding future difficulties. Nevertheless, some of the criticisms contained in the report accord with the findings that I have made based on the evidence I have heard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A finding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this respect, however, is not sufficient to impose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SECTION 101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Section 101 of the Child, Family and Community Service Act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 person is personally liable for anything done or omitted in good faith in the exercise or performance or intended exercise or performance of</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power, duty or function conferred by or under this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In my opinion, the finding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liability flowing therefrom is restricted by the language of s. 101. If negligent, however, if acting in good faith, no liability can attach.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It has been suggested that the good faith defence is an outgrowth of the decision in Home Office v. Dorset Yacht Company (1970), A.C. 1004. In this province, in A.G. v. Superintendent of Family and Child Service of British Columbia </w:t>
      </w:r>
      <w:hyperlink r:id="rId766" w:history="1">
        <w:r>
          <w:rPr>
            <w:rFonts w:ascii="arial" w:eastAsia="arial" w:hAnsi="arial" w:cs="arial"/>
            <w:i/>
            <w:color w:val="0077CC"/>
            <w:sz w:val="20"/>
            <w:u w:val="single"/>
            <w:shd w:val="clear" w:color="auto" w:fill="FFFFFF"/>
            <w:lang w:val="en-US" w:eastAsia="en-US" w:bidi="ar-SA"/>
          </w:rPr>
          <w:t>(1989), 38 B.C.L.R. (2d) 215</w:t>
        </w:r>
      </w:hyperlink>
      <w:r>
        <w:rPr>
          <w:rFonts w:ascii="arial" w:eastAsia="arial" w:hAnsi="arial" w:cs="arial"/>
          <w:color w:val="000000"/>
          <w:sz w:val="20"/>
          <w:lang w:val="en-US" w:eastAsia="en-US" w:bidi="ar-SA"/>
        </w:rPr>
        <w:t>, the Court of Appeal in this decision considered the discretionary power to apprehend on the part of the Superintendent and the issue of good faith. At page 227, Esson J.A. stated, in the context of no liability existing if the statutory discretion is exercised with due care: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In my view, "due care" in that context does not refer to the degree of care required by the general law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sense in which the term is there employed, there will have been want of due care </w:t>
      </w:r>
      <w:r>
        <w:rPr>
          <w:rFonts w:ascii="arial" w:eastAsia="arial" w:hAnsi="arial" w:cs="arial"/>
          <w:color w:val="000000"/>
          <w:sz w:val="20"/>
          <w:u w:val="single"/>
          <w:lang w:val="en-US" w:eastAsia="en-US" w:bidi="ar-SA"/>
        </w:rPr>
        <w:t>only if there has been a failure to carry out the duty to consider the matter, or if the conclusion reached is so unreasonable as to show a failure to carry out the duty</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underlining)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In terms of s. 23 (now 101), the court did not decide the issue as to whether the section afforded a separate degree of protection or was merely a statutory restatement of the principles set forth in Dorset Yacht. The court stated, however, "s. 23 may provide protection in respect of the exercise of a discretionary power in cases where liability would otherwise be imposed."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In the case at bar, that language is helpful. In addition, the Court of Appeal in D.(B.) v. British Columbia </w:t>
      </w:r>
      <w:hyperlink r:id="rId767" w:history="1">
        <w:r>
          <w:rPr>
            <w:rFonts w:ascii="arial" w:eastAsia="arial" w:hAnsi="arial" w:cs="arial"/>
            <w:i/>
            <w:color w:val="0077CC"/>
            <w:sz w:val="20"/>
            <w:u w:val="single"/>
            <w:shd w:val="clear" w:color="auto" w:fill="FFFFFF"/>
            <w:lang w:val="en-US" w:eastAsia="en-US" w:bidi="ar-SA"/>
          </w:rPr>
          <w:t>(1997), 30 B.C.L.R. (3d) 201</w:t>
        </w:r>
      </w:hyperlink>
      <w:r>
        <w:rPr>
          <w:rFonts w:ascii="arial" w:eastAsia="arial" w:hAnsi="arial" w:cs="arial"/>
          <w:color w:val="000000"/>
          <w:sz w:val="20"/>
          <w:lang w:val="en-US" w:eastAsia="en-US" w:bidi="ar-SA"/>
        </w:rPr>
        <w:t>, referred to a prior decision of the Court of Appeal and adopted, in the context of good faith, the following language at page 205: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my opinion the duty of the superintendent, and those delegated to exercise the duties of the superintendent, is to honestly consider the facts </w:t>
      </w:r>
      <w:r>
        <w:rPr>
          <w:rFonts w:ascii="arial" w:eastAsia="arial" w:hAnsi="arial" w:cs="arial"/>
          <w:color w:val="000000"/>
          <w:sz w:val="20"/>
          <w:u w:val="single"/>
          <w:lang w:val="en-US" w:eastAsia="en-US" w:bidi="ar-SA"/>
        </w:rPr>
        <w:t>he knew or ought to have known</w:t>
      </w:r>
      <w:r>
        <w:rPr>
          <w:rFonts w:ascii="arial" w:eastAsia="arial" w:hAnsi="arial" w:cs="arial"/>
          <w:color w:val="000000"/>
          <w:sz w:val="20"/>
          <w:lang w:val="en-US" w:eastAsia="en-US" w:bidi="ar-SA"/>
        </w:rPr>
        <w:t xml:space="preserve"> before he makes his decision: "i.e., believing in facts which, if true, would have justified what he did" (per Kellock J., Chaput v. Romain, [</w:t>
      </w:r>
      <w:hyperlink r:id="rId768" w:history="1">
        <w:r>
          <w:rPr>
            <w:rFonts w:ascii="arial" w:eastAsia="arial" w:hAnsi="arial" w:cs="arial"/>
            <w:i/>
            <w:color w:val="0077CC"/>
            <w:sz w:val="20"/>
            <w:u w:val="single"/>
            <w:shd w:val="clear" w:color="auto" w:fill="FFFFFF"/>
            <w:lang w:val="en-US" w:eastAsia="en-US" w:bidi="ar-SA"/>
          </w:rPr>
          <w:t>[1955] S.C.R. 834</w:t>
        </w:r>
      </w:hyperlink>
      <w:r>
        <w:rPr>
          <w:rFonts w:ascii="arial" w:eastAsia="arial" w:hAnsi="arial" w:cs="arial"/>
          <w:color w:val="000000"/>
          <w:sz w:val="20"/>
          <w:lang w:val="en-US" w:eastAsia="en-US" w:bidi="ar-SA"/>
        </w:rPr>
        <w:t>] at p. 859).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underlining)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In D.(B.), supra, the court in 1997 adopted the language of Esson J.A. previously quoted.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court in D.(B.) made it very clear that "decisions relating to child welfare are inherently difficult and that liability cannot be founded on errors of judgment made in good faith".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As previously stated, I am satisfied that the Ministry staff were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Taking the language from D.(B), the duty -- "is to honestly consider the facts he knew, or ought to have known, before he makes his decision". In this instance, the lack of communication which I have referred to between the various individuals and the Superintendent's Ministry, on a balance of probabilities, satisfies me that there was a failure to consider the facts that the Ministry staff ought to have known before the decision was made to place the child with K.K.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Looked at from another perspective, in the context of due care, there has been a failure to carry out the duty to inquire and communicate with reference to the best interests of this child.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It is obvious in this context that K.K. could not meet the requirements set forth by Beland in his affidavit filed in the Supreme Court of British Columbia. In that respect, the lack of information, due to lack of communication and inquiry between the social workers, demonstrates a failure to consider, within the meaning of the "good faith" authorities referred to in the context of s. 101.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Consequently, I am satisfied that the Ministry is liable for the negligent acts of its social workers and that those workers are not protected by s. 101 of the Child, Family and Community Service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If Beland's affidavit was knowingly wrong, that is, false, misleading or erroneous, the question must then be asked as to why it was prepared and filed in the proceedings in the Supreme Court of British Columbia and in the proceedings in the Provincial Court which followed immediately thereafter. In that respect, in my view, the only purpose for filing the affidavit of Beland was to oppose the applications of the plaintiffs to seek custody of the child. Once the affidavit was filed, it is patently obvious that it would be virtually impossible for any court to grant the plaintiffs custody and override the position of the Director, in the event there is jurisdiction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Consequently, the effect of the Beland affidavit was to reinforce the status of the Ministry in relation to the continued custody and guardianship of M.D. The effect of the affidavit in this context was to thwart the plaintiffs' application for custody and, in my view, is evidence of an attempt by the Ministry to ensure that neither aunt would obtain custody of M.D.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Misleading the court, on the assumption the affidavit was false, misleading or erroneous, and causing orders of the court to be made accordingly, cannot be equated with acting in good faith in terms of considering M.D.'s aunts as suitable caregivers. That process places the Ministry's interests ahead of the best interests of M.D.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Or, if the Beland affidavit is correct, it reinforces the conclusion that there was a complete lack of inquiry and communication between the Ministry staff and K.K. as to the suitability of the placement of M.D. with K.K. Alternatively, if the affidavit of Beland was knowingly wrong, as previously discussed, in my view, it colours the whole of the conduct of the Ministry in relation to the proceedings in April of 1997, with reference to the Ministry's attempts to place the child with a caregiver rather than consider the position of M.D.'s extended family or what might be in M.D.'s best interests.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It is submitted on behalf of the defendants that the inability of the Director to allow the plaintiffs to have custody of M.D. was the lack of a restricted home study. The required paperwork, from the point of view of the Ministry, had not been completed. Consequently the Ministry staff could not conduct their evaluation. It is interesting to note that immediately after the assault carried out by K.K. on M.D., the Ministry acted extremely quickly and removed K.K.'s seven year old child from her custody to that of the maternal grandparents, and conducted a form of restricted home study within a period of two to three days. Consequently, in the event the Ministry feels it wishes to move quickly, it obviously has the ability to do so. Knowing the Ministry has that capacity, it raises additional concerns about the Ministry's good faith in opposing the E. application for custody on the basis of the Beland affidavit.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VICARIOUS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The plaintiffs' other branch of attack relates to the relationship between K.K. and the Ministry. For purposes of these proceedings, it is acknowledged that, as a result of K.K.'s plea of guilty to criminal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causing bodily harm in the criminal courts concerning the assaultive behaviour, she is liable for the consequential injury and damages claimed. The issue therefore arises as to whether or not the relationship between K.K. and the Ministry is such that it attracts vicarious liability on the part of the Ministry.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It is clear that in the classic definitions of "employee" and "employer", K.K. was not an employee of the Ministry. The contractual documents between the Ministry and K.K. demonstrate that. Nevertheless, the decisions concerning placement in a foster home, according to the evidence, are joint decisions of the resource worker Bilinsky, the protection social workers Petersen and Beland, and the foster parent K.K. Throughout the period that the child is in foster care, the Ministry retains all the rights of guardianship of the child and has authority to control the foster parent on any issue with reference to the child.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As an illustration of the control exercised by the Ministry in the case at bar, Bilinsky instructed K.K. as to what babysitters she might use at any given time. The contract and the various Ministry documents demonstrate that the Ministry does give detailed instructions to the caregiver as to how the caregiver is to conduct himself or herself in the context of the parental role that the caregiver is providing. In this respect, it is clear that government can exercise day-to-day control over the manner in which the caregiver does provide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Merely setting forth the provisions of the contract is not sufficient to answer the question as to the degree of control exercised by the Ministry. This is particularly so in the case at bar when the placement planning meeting was to occur on the Monday following the child being placed in K.K.'s care. In other words, the final planning meeting, as contemplated by all the Ministry employees, was to occur on a date following the assaultive behaviour. According to Bilinsky's evidence, he and Beland planned to meet with K.K. on April 28, 1997 to complete a placement service plan. This was a plan to be set out in writing to detail the services needed for the child and the goals for the child.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In terms of the placement plan, Bilinsky testified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WITNESS: ... The common practice was to bring the three parties [resource worker, placement worker, caregiver] together just after placement or as soon after placement as possible and then go on from there.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So really the significant communication between the three parties, in my illustration, takes place after placement?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WITNESS: Significant, in that everybody has their heads together, everybody is identifying specifics that need to be addressed. One of the reasons we do that is that in a lot of cases when a child is placed, the caregiver has the information, but may not always have the information of what it's like for the child to be living with them. And so for them to be able to communicate and say, gee, I have this child and this child, gee, doesn't sleep well at night, or this child, I've noticed he has a diaper rash that I didn't know about before. It brings the caregiver into a much brighter light as to being able to talk about the child rather than the worker saying this, this and this. They now become part of the discussion, part of the saying, these are my needs, this is what I've experienced in the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Petersen described the placement plan meeting as what occurred between the social worker, resource worker and foster home after a child had been placed in the home. It was done after the child was in the home to see what types of issues were going to arise for the foster parent and the child and the family in order that the Ministry could be specific as to what types of support that they would need to place. As an illustration of the nature of control that the Ministry has over caregivers, the evidence of social worker Cowell, Regional Executive Director for the Ministry for Children and Families for Southern Vancouver Island, is of value as she enumerates some of the duties of the foster parent:</w:t>
      </w:r>
      <w:r>
        <w:rPr>
          <w:rFonts w:ascii="arial" w:eastAsia="arial" w:hAnsi="arial" w:cs="arial"/>
          <w:sz w:val="20"/>
          <w:lang w:val="en-US" w:eastAsia="en-US" w:bidi="ar-SA"/>
        </w:rPr>
        <w:cr/>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to provide daily records with regard to the children in his/her care;</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to supervise access;</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control over religion;</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control over medical care and dental care;</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permission to travel outside the community;</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control travel outside the community;</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insurance requirements; and</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control over child attending summer camp.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Legislatively, under s. 47 of the Child, Family and Community Service Act, the Director has the rights and responsibilities as to health care, decisions about the child's education and religious upbringing, and may exercise any of the rights and carry out any other responsibilities of a guardian of the child's person. The foster family handbook issued in 1997 by the Ministry of Children and Families points out that the social workers are the Ministry's main contact with the children and families and make most of the key decisions for the children in care. They are generally responsible for planning the child's care and for any funding issues directly related to the child. The handbook notes that if a child has special problems, the social worker helps either personally or by referral to appropriate agencies or resources.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child's plan of care (placement plan) as described in the foster parents' handbook, describes the goals of the plan, the caregiver's responsibilities, including record-keeping, and the need to keep daily entries about the child's progress and routines, including visits with natural family, school-related issues, health-care issues, unusual behaviour or behavioural changes, positive achievements, a change in the child's circumstances or routine, any incident or development that might put the child at risk of harm, and unauthorized absences from home. All of this indicates a considerable level of control being exercised by the Ministry over the manner in which the caregiver (foster parent) forms his or her duties.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 am satisfied on the facts of the case at bar that the evidence demonstrates that the Ministry had a right of control over the manner in which K.K. carried out her functions in accordance with the contractual arrangements she had entered into with the Ministry. In addition, in my view, it is important to consider the peculiar timing in the case at bar. The placement planning meeting had yet to be held. This is a meeting which would identify problems, and identify steps that needed to be taken with reference to the foster parent with reference to the child, etc. That not having yet taken place, and it being necessary in the view of the Ministry personnel, demonstrates, in my view, that the Ministry was exercising its considerable power of control over K.K. at the relevant period of time. It is obvious in the case at bar that the meeting on April 28, 1997 was to "finalize" the terms and conditions of the placement of the child with K.K. This is not a situation where a child has been in the care of a foster parent for a considerable time and may, as a result, exercise greater freedom or discretion in the manner in which he or she cares for the child.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Consequently, I am satisfied that the arrangement between K.K. and the Ministry goes beyond a level of supervision and amounts to a level of direct control over the day-to-day activity of K.K. and her relationship with M.D. during this initial period prior to the placement plan meeting. In short, the arrangement was more of a contract of service between the Ministry and K.K., rather than that of an independent contractor.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 am satisfied that although K.K. was not an employee in the classic sense of the word, the relationship was analogous to an employee/employer relationship, or one which could be described as a near employment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The question then arises as to whether or not, under those circumstances, the Ministry is vicariously liable for the acts authorized and unauthorized which are so connected with the authorized acts that they may be regarded as modes, although improper modes, of doing authorized acts. In Bazley v. Curry </w:t>
      </w:r>
      <w:hyperlink r:id="rId769" w:history="1">
        <w:r>
          <w:rPr>
            <w:rFonts w:ascii="arial" w:eastAsia="arial" w:hAnsi="arial" w:cs="arial"/>
            <w:i/>
            <w:color w:val="0077CC"/>
            <w:sz w:val="20"/>
            <w:u w:val="single"/>
            <w:shd w:val="clear" w:color="auto" w:fill="FFFFFF"/>
            <w:lang w:val="en-US" w:eastAsia="en-US" w:bidi="ar-SA"/>
          </w:rPr>
          <w:t>(1999), 174 D.L.R. (4th) 45</w:t>
        </w:r>
      </w:hyperlink>
      <w:r>
        <w:rPr>
          <w:rFonts w:ascii="arial" w:eastAsia="arial" w:hAnsi="arial" w:cs="arial"/>
          <w:color w:val="000000"/>
          <w:sz w:val="20"/>
          <w:lang w:val="en-US" w:eastAsia="en-US" w:bidi="ar-SA"/>
        </w:rPr>
        <w:t>, the court considered the issue in terms of the policies lying at the heart of vicarious liability. The court considered Fleming, The Law of Torts, in the context of the two fundamental concerns underlying the imposition of vicarious liability; the first, a provision of a just and practical remedy for the harm, and second, deterrence of future harm. McLachlin J. (as she then was) states at page 62, paragraphs 37 and 38: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question in each case is whether there is a connection or nexus between the employment enterprise and that wrong that justifies imposition of vicarious liability on the employer for the wrong, in terms of fair allocation of the consequences of the risk and/or deterrence.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Where the risk is closely associated with the wrong that occurred, it seems just that the entity that engages in the enterprise (and in many cases profits from it) should internalize the full costs of operation, including potential torts. ... On the other hand, when the wrongful act lacks meaningful connection to the enterprise, liability ceases to flow.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At page 64, paragraph 41 of the reasons, the court sets forth principles that should be considered in determining the issue of vicarious liability. After reciting those principles, in relation to sexual abuse by employees, the court stated at paragraph 42: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there must be a strong connection between what the employer was asking the employee to do (the risk created by the employer's enterprise) and the wrongful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In the case at bar, dealing with an infant who has medical concerns, the Ministry was asking K.K. to deal with those concerns with reference to a baby who was addicted to methadone. The evidence clearly demonstrates that such a child is difficult to console and cries interminably. It is also important to note that K.K. was dealing with an infant who was two months old; consequently, that child had to be constantly handled in terms of bathing, in terms of feeding, in terms of dressing, in terms of transporting her around K.K.'s premises, and in terms of consoling. It was in that series of activities that is directly related to the duties which the Ministry had imposed on K.K. in her role as a foster parent of an infant that the injury occurred. On the evidence, it is clear that in the course of those actions, K.K. committed the act which resulted in the significant injury to M.D. In other words, while holding the child, whether in an attempt to console her or comfort her, she shook the child. In my view, that wrongful act, in terms of the reasons of the Supreme Court of Canada, is sufficiently related to the conduct authorized by the Ministry to justify the imposition of vicarious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fact that the contract signed by K.K. with the Ministry prohibited physical discipline, including shaking, does not change the character of the relationship of the wrongful act to the conduct authorized by the Ministry.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Consequently, I am satisfied that the Ministry is vicariously liable for the tortious acts of the defendant K.K.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LIFE EXPECTANCY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When considering this issue, it is necessary to comment on the catastrophic nature of the injuries sustained by M.D. The injuries, inter alia, are as follows:</w:t>
      </w:r>
      <w:r>
        <w:rPr>
          <w:rFonts w:ascii="arial" w:eastAsia="arial" w:hAnsi="arial" w:cs="arial"/>
          <w:sz w:val="20"/>
          <w:lang w:val="en-US" w:eastAsia="en-US" w:bidi="ar-SA"/>
        </w:rPr>
        <w:cr/>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severe brain injury, which has left her profoundly handicapped;</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necessity to be tube-fed via a gastronomic tube, a process that takes 20 hours per day;</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functionally blind;</w:t>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quadriplegic;</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substantially reduced mental capacity;</w:t>
      </w:r>
    </w:p>
    <w:p>
      <w:pPr>
        <w:numPr>
          <w:numId w:val="15"/>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minor seizures, and</w:t>
      </w:r>
    </w:p>
    <w:p>
      <w:pPr>
        <w:numPr>
          <w:numId w:val="16"/>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requires constant 24-hour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There is a substantial difference between the evidence of the experts concerning the life expectancy of M.D. The expert evidence ranges from a period of approximately 10 to 30 years, depending upon the expert's assessment of M.D.'s condition and a comparison of individuals with like disabilities on a statistical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Shortly stated, witnesses on behalf of the plaintiffs, opine that, with the level of care that M.D. is presently receiving, and based on their clinical experience, they conclude M.D. will live an additional 30 years. The witnesses opining on behalf of the defence submit that such opinions are unduly optimistic and fail to reflect the statistical information which is available to demonstrate that people with the disabilities suffered by M.D., who are unable to move, have an extremely limited life expectancy.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In this context, movement -- crawling, creeping or scooting -- is considered to be an extremely important indicator of a disabled child's life expectancy. At the moment M.D. is able to turn over, although with extreme difficulty. There are some movements, which were video-taped, which may indicate an ability to move forward. In the opinion of most experts, the movements are involuntary.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Both Dr. Bolton and Dr. Anderson, on behalf of the plaintiffs, make it abundantly clear that the excellent care that M.D. has received is a factor in determining her life expectancy. With reference to Dr. Anderson, an epidemiologist, he has taken the statistical information available and considered that in the context of his personal assessment of M.D., her medical background, and the care she has received. In this context, it is important to note that one of the most significant risks to M.D.'s health is the possibility of contracting pneumonia. As at the date of trial, she has no respiratory problems and the 24-hour care which she receives is a significant factor in minimizing any respiratory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 evidence of M.D.'s mobility has been touched on by caregivers, in particular a physiotherapist who has attended and has manipulated M.D.'s limbs for purposes of assisting in growth. Christine James testified that M.D. "moved with assistance". This evidence was subject to criticism by an expert called on behalf of the defence, who felt that the movement was not voluntary, but a reaction to stimulus. When considering mobility as a significant factor in determining life expectancy, in my view, there is important evidence which indicates change or improvement in M.D.'s abilities to move without assistance. In particular, the recent movements by M.D. from lying on her stomach to rolling over on to her back, albeit done with difficulty, are an indication of mobility.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Dr. Strauss, a statistician called on behalf of the defence, demonstrated statistically, as a result of a rather large study in the State of California, that children in M.D.'s condition have a very limited life expectancy. He considered the medical information that he had received and applied it to the statistical studies and testified on life expectancy tailored for M.D. herself. Dr. Strauss is not able to comment, and does not comment, on the quality of care that M.D. is given. Dr. Strauss responds to information that he was given and opines based on his statistical study as it interacts with that information concerning M.D.'s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There is no ability to determine, with any degree of accuracy, the life expectancy of a child under these circumstances. Fortunately, in terms of cost of future care, counsel for the Ministry acknowledged during argument that the Ministry in the case at bar will maintain the cost of care funding for M.D. so long as M.D. lives. Consequently, in that sense, the issue of life expectancy of M.D. becomes academic.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Unfortunately, it still remains important in the area of loss of income and in respect of the defendant K.K. Counsel have made certain agreements concerning the monetary aspect of the income loss or loss of capital asset in the amount of $306,000.00, depending on the life expectancy which this court determines in accordance with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 am satisfied, on a balance of probabilities, based on the evidence of Dr. Anderson and Dr. Bolton, that M.D.'s life expectancy will be 30 years, with the level of care and support that she receives.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LOSS OF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As indicated above, counsel have agreed that the future wage loss has been agreed to be the present value of $306,000.00, based on a normal life span. Counsel have agreed that once life expectancy has been determined by these reasons, the parties will conduct the appropriate calculations to determine the final figure, which will have deducted from it 62.5% for lost years. Although the defendant K.K. is not a party to this agreement, in my view, based on the material at trial, I am satisfied that it is an appropriate amount for future wage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As previously stated, M.D.'s injuries are catastrophic within the meaning of the decisions of the Supreme Court of Canada. In Andrews v. Grand &amp; Toy (Alberta) Ltd., </w:t>
      </w:r>
      <w:hyperlink r:id="rId16"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in discussing the three theoretical approaches to non-pecuniary loss, the Supreme Court of Canada stated, in terms of the functional approach:</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my mind this last approach has much to commend it as it provides a rationale as to why money is considered compensation for non-pecuniary losses such as loss of amenities, pain and suffering, and loss of expectation of life. Money is awarded because it will serve a useful function in making up for what has been lost in the only way possible, excepting that what has been lost is incapable of being replaced in any direct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In these circumstances, I am satisfied, in the case at bar, that catastrophic loss and damages sustained by M.D. as a result of the injuries justify the award of non-pecuniary damages at the current upper limit.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Since M.D. was discharged from hospital after her injuries and placed in the care of the plaintiffs, she has been receiving 24 hours a day, 7 days a week care, by a firm which provides that service on a contractual basis. The firm, Paramed, has been providing these services at a cost ranging as high as $240,000.00 per year. To this date, the funds have been paid by government. It is clear that the plaintiffs are unable to provide 24-hour care to M.D. Their financial resources preclude accepting personal responsibilities for that significant cost.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Evidence of the quality of care, the background of the caregivers, and the dedication of the caregivers, was given by the caregivers themselves plus the medical professionals who attend at the plaintiffs' residence from time to time. All comment on the excellent quality of care provided by the current caregivers. These caregivers include not only the personnel through Paramed, but also the plaintiffs, C.E. and her daughter, G.E., who assist in times of emergency or at times when there is a staff shortage.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The defendants led evidence of a caregiver in the Greater Victoria area who has not dealt with M.D. and who has not provided service to the same extent as is presently being given to M.D., of being able to provide this service at somewhat less cost. Different profiles were given as to the level of care, stand-by health professionals, management staff, and the like, all of which has an impact on the cost of providing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Considering all this evidence, and the submissions of counsel thereon, I am satisfied that the current level of care, which has been accepted by all parties as being appropriate to the date of trial, is the level of care that should continue. Consequently, I am satisfied that the existing level of care provided by Paramed, or such other substitute that may be considered appropriate by the plaintiffs, be maintained. If there is a substantial change, by virtue of the plaintiffs changing the caregiver which would increase the cost to the defendant beyond the existing Paramed costs, that matter would have to be the subject of further consideration. That can be dealt with in the case at bar as the defendant Province accepts the responsibility for the periodic payments to Paramed so long as M.D. may live. I note in this context that Paramed has, in other situations, been engaged by the Government of British Columbia to provide similar services to that being provided to M.D. Paramed's involvement in the care of M.D. is not something which is unusual or beyond the norm.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COST OF EQUIPMENT AND HOUSING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Counsel have prepared Schedules which outline the needs of M.D. with reference to equipment and supplies. Rather than identify each and every item, approximately 79, the Schedules will be attached as an appendix to these reasons, with my abbreviated comments with reference to the items which have changed from the Schedules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SCHEDULE 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In my opinion, the only change to Schedule A is the reduction in Item 3 from $10,000.00 to $5,000.00 per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SCHEDULE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Described as plaintiffs and defendants agreeing as to need but not cost: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Item 5: I accept the evidence of witness Smith, on behalf of the defendants, that the amount should be $2,500.00 for the change table described therein.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Item 9: I agree with the defendants' position concerning mileage, which will be allocated at 37ó per kilometre. As the mileage charge should be related to healthcare reasons, in my view, the maximum allowance of 250 kilometres per month is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SCHEDULE 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Items claimed by the plaintiffs for which the defendants have taken no position: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Item 1: Accommodation costs for M.D. This heading will be the subject of separate reasons.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Item 25: Platform therapy mat at $6,375.00. In my opinion, this amount is excessive and is not justified on the evidence. As a result, it should be deleted from the items recovered.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Items 30 &amp; 31: Tricycles. As M.D. is unable to operate such devices, in my view, they are excessive and unnecessary. I appreciate the physiotherapist's evidence to the effect that movement of M.D.'s limbs is important in the context of her overall health. However, the evidence is that M.D. is unable to move her limbs in a voluntary fashion but appears to be responding to stimulus. As, on the evidence, she will never be able to operate such devices on her own, in my view, they are excessive and should be deleted.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Item 36: Sensory integration therapy. In my opinion, the need for this item has not been established by the evidence and, consequently, it will be deleted.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Item 41: Air ambulance service, $10,000.00 annually. This item will presumably only be required in the event it is necessary to transfer M.D. to Vancouver. As of this date, such has not occurred and there is no suggestion in the evidence that it is likely to occur. Under those circumstances, to provide $10,000.00 a year for a contingency of this nature is not justified. Consequently, the item is disallowed.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Items 42, 43 &amp; 44: These three items are described under the general heading of "future technology contingencies". Presumably, they are matters which may become of value sometime in the future whose existence is not known of this date. The claim for this amount is to provide for a fund of approximately $80,000.00 for such contingencies. Under the circumstances, in my view, the amount is not justified on the evidence. In the event future devices, apparatus, technologies become available, which would be of assistance to M.D., in my opinion, these items would come under the "cost of future care" and should be the subject of that annual evaluation.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Item 45: Counselling for M.D.'s family. On the evidence at trial, it appears that, to a degree, counselling is available at Queen Alexander Hospital. In this respect, the family received some initial counselling, which seems to have sufficed as of this date. There is no evidence to conclude that further counselling is required. Consequently, the item is disallowed. Under the heading "miscellaneous", a request for storage units at a cost of $3,000.00 is noted. Presumably, the units would be for the storage of items needed for M.D.'s care. As of this date, some storage is provided. In my opinion, on the evidence, $3,000.00 is excessive and should be reduced to the sum of $1,000.00 for this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SCHEDULE 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Under the heading "rehabilitation services", the plaintiffs and defendants disagree as to need and cost. Under this heading, the plaintiffs claim for sums for a television and video cassette recorder for training of care services, and the cost of replacing them every 10 years. In addition, the plaintiffs claim the need for a video camera for such training purposes.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If Paramed is providing the services as outlined previously in the reasons for judgment, and considering what has occurred to date, in my view, there is no justification for imposing the cost of a video cassette recorder or a video camera on the defendants. Consequently, this item is disallowed, as well as video tapes.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Under the heading "therapeutic equipment", the plaintiffs claim the sum of $1,475.00 for a walker. As M.D. is a quadriplegic and has extremely limited, if any, ability to move, in my opinion, this item is not justified.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The proposal on behalf of counsel for the Ministry in relation to periodic payments in relation to cost of future care, is that these payments are to be made on April 15 of each year, and that the Ministry will pay for equipment that is to be replaced on the same periodic basis, as the need arises. The payments will be indexed annually based on the cost of living in British Columbia. Under the circumstances, there may be details to be worked out between the plaintiffs and the Ministry in this respect. Consequently, there will be liberty to apply to either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Exhibit 26 outlines a listing of past costs incurred that were being claimed in the action. These include three items which are to be repaid, in the amount of $13,847.13, $3,051.93 and $200.35 respectively, as set forth in Items 11, 12 and 13. Included in the special damage claim are the past care services of Paramed to November of 1999 which, at the date of trial, on the evidence appear to be unpaid. Substantial amounts of wages to G.E., wages to C.E., the wage loss sustained by H.E., and home renovation. These items have been identified in the evidence. The plaintiffs' townhouse was modified to a degree to accommodate M.D.'s needs. In this respect, the E.'s incurred considerable cost. H.E. carried out some of the activity himself, due to his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The total claim submitted as total past expenses amounts to $501,441.50. Over half of that amount relates to the unpaid Paramed statement of account as of November 15, 1999. In my view, all the items set forth in that claim are appropriately recoverable from the defendants subject to further comment.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Exhibit 26 includes a claim for wage loss by H.E. in the amount of $24,351.99 and C.E. in the amount of $13,885.85. With reference to H.E., wage loss relates to a claim for 1997. With reference to C.E., those are wages that had been paid to November 26,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In submissions on behalf of the plaintiffs, counsel have agreed that there is an "in trust" claim for Mr. and Mrs. E. for services rendered in relation to M.D., which has been agreed at $60,000.00. Although it is not clear from the evidence or counsel's submissions, it would appear that the wages paid to C.E. (Exhibit 26) would not be included in the $60,000.00, but the wage loss of H.E., of $24,351.99, would be included as it relates to his loss of income due to services that he rendered for the care and attention of M.D. Counsel and Ms. K.K. have liberty to apply on this issue, if clarification is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xml:space="preserve">  The plaintiffs claim in their own right non-pecuniary damages as a result of suffering that they have sustained as a result of the injury to M.D. In my opinion, the authorities relied on by the plaintiffs for this head of damage demonstrate that the award for non-pecuniary damages to individuals who have not suffered a direct loss or injury is, generally speaking, as a result of having observed the traumatic event of death or injury having occurred to a loved one or member of family. In this respect, see Easton v. Ramadanovic Estate, </w:t>
      </w:r>
      <w:hyperlink r:id="rId770" w:history="1">
        <w:r>
          <w:rPr>
            <w:rFonts w:ascii="arial" w:eastAsia="arial" w:hAnsi="arial" w:cs="arial"/>
            <w:i/>
            <w:color w:val="0077CC"/>
            <w:sz w:val="20"/>
            <w:u w:val="single"/>
            <w:shd w:val="clear" w:color="auto" w:fill="FFFFFF"/>
            <w:lang w:val="en-US" w:eastAsia="en-US" w:bidi="ar-SA"/>
          </w:rPr>
          <w:t>[1988] B.C.J. No. 824</w:t>
        </w:r>
      </w:hyperlink>
      <w:r>
        <w:rPr>
          <w:rFonts w:ascii="arial" w:eastAsia="arial" w:hAnsi="arial" w:cs="arial"/>
          <w:color w:val="000000"/>
          <w:sz w:val="20"/>
          <w:lang w:val="en-US" w:eastAsia="en-US" w:bidi="ar-SA"/>
        </w:rPr>
        <w:t>. Consequently, in my view, there is no factual basis upon which to award this head of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In addition, the plaintiffs submit that they should receive compensation for future wage loss insofar as they may be required to provide care to M.D. The plaintiffs have not established entitlement to this head of damage, in my opinion, as the cost of future care will rest with the defendant Province on a periodic basis. If there is a need for an increase in care by virtue of a change in the condition of M.D., then that responsibility, of course, will fall on the defendant Province.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FUTURE HOUSING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It was submitted on behalf of the plaintiffs that the evidence demonstrates that in the future, M.D.'s physical care will require a considerable increase in her housing. An architect called on behalf of the plaintiffs, describing the level of care required and the apparatus needed, gave evidence of accommodation approaching 2,100 square feet for M.D.'s purposes only. This would necessitate the plaintiffs acquiring a new home, which would accommodate themselves in the usual fashion and have this extra space for M.D.'s needs.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I am not satisfied that the evidence justifies that conclusion. A separate, 2,100 square foot residence to provide for M.D.'s needs alone, in my view, is excessive. According to the architect, the cost would approach $250,000.00. There is no doubt that additional space will be required for M.D.'s needs and for the equipment that her care requires. Nevertheless, in my view, the construction of 2,100 square feet for that purpose is excessive.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It is difficult to determine an amount which might be appropriate for that purpose, as there is no evidence on this issue other than that of the architect. The importance of this issue is that the plaintiffs will have to move. On my assessment of the evidence, the existing townhouse cannot be expanded further to accommodate M.D.'s future needs. Therefore, a new home will be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Counsel for the defendants submit that in the event the plaintiffs feel it appropriate to spend an additional $50,000.00 or $60,000.00, or more, to acquire a larger home, then that is an appropriate expenditure of funds under the non-pecuniary head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Neither the plaintiffs' evidence nor the defendants' suggestion is particularly attractive but, under the circumstances, in my view, some allowance must be made for the E.'s to be able to provide for the physical plant for M.D.'s care in the future. In this respect, absent clear evidence on the issue, I am going to make an assessment based in part on the modifications already carried out by the E.'s and award a further $50,000.00 for this item.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THERAPY POOL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On the evidence, I am not satisfied that M.D. is required to have a therapy pool on her premises. Her experience with pools to date has been limited.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THERAPY</w:t>
      </w:r>
      <w:r>
        <w:rPr>
          <w:rFonts w:ascii="arial" w:eastAsia="arial" w:hAnsi="arial" w:cs="arial"/>
          <w:sz w:val="20"/>
          <w:lang w:val="en-US" w:eastAsia="en-US" w:bidi="ar-SA"/>
        </w:rPr>
        <w:cr/>
      </w:r>
    </w:p>
    <w:p>
      <w:pPr>
        <w:numPr>
          <w:numId w:val="17"/>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Case Manager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In my view, a case manager is not justified so long as the Paramed type of service continues. A case manager has not been required to date and, in my view, the need for a case manager in the future has not been demonstrated.</w:t>
      </w:r>
      <w:r>
        <w:rPr>
          <w:rFonts w:ascii="arial" w:eastAsia="arial" w:hAnsi="arial" w:cs="arial"/>
          <w:sz w:val="20"/>
          <w:lang w:val="en-US" w:eastAsia="en-US" w:bidi="ar-SA"/>
        </w:rPr>
        <w:cr/>
      </w:r>
    </w:p>
    <w:p>
      <w:pPr>
        <w:numPr>
          <w:numId w:val="18"/>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Rehabilitation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Rehabilitation services such as physical/ occupational therapy are of value. In my view, so far as rehabilitation services are concerned, physiotherapy and occupational therapy should continue but, on the basis of the evidence at trial, there should not be the attendance of either the occupational or the physical therapist for more than one session per week each. The cost of this, of course, is reflected in the cost of future care, to be paid for on a periodic basis by the defendant Province.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AGGRAVATED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In my view, the defendant Ministry's conduct is not of the character to attract aggravated damages. Aggravated damages are designed to compensate, depending upon the circumstances under which the loss or injury has occurred. In this sense, aggravated damages are not ordered as pecuniary or punishment but for circumstances which have peculiarly aggravated the loss or injury. In the case at bar, I cannot conclude that the circumstances justify an award for aggravated damages against the Ministry.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xml:space="preserve">  In addition, the plaintiffs claim punitive damages against the defendant K.K. alone, for her tortious act. The defendant K.K. is civilly and criminally responsible for her actions and her plea of guilty to the offence of criminal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causing bodily harm demonstrates her culpability. Nevertheless, her conduct was completely out of character and the question arises as to whether additional damages are necessary in order to punish her or to set an example that may deter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Although the actions of K.K. were extremely significant, in my view, they do not encompass conduct which may be described as malicious, vindictive or harsh. I am not satisfied, on the evidence I have heard, that the acts of K.K. were intentional, in the sense that she deliberately set about to harm M.D. Quite simply, but tragically, she reacted in a moment of stress in an inappropriate manner. Under those circumstances, I would not award punitive damages against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The plaintiffs further claim on behalf of M.D. damages for loss of inter-dependent relationship. In this respect, although acknowledging that the loss is speculative, the plaintiffs submit that the amount of $50,000.00 is reasonable. In this respect I do not agree. There is no evidence that an inter-personal relationship has value, or as to what the measure of loss may be if it does have value. In many respects, it is non-pecuniary. Nevertheless, it appears to have been accepted as an appropriate area of compensation. In the circumstances, in my opinion, a modest amount should be allowed and I assess the loss at $2,500.00.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The parties may have liberty to apply with reference to tax gross-up, if necessary. Insofar as the management fee is concerned, as the Ministry has agreed to pay for the cost of future care on a periodic basis, in my opinion, there is no necessity for a management fee or a trustee fee.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As regards the defendant K.K., the heads of damage throughout are recoverable from her as well as from the Ministry. It is important to note that she is not a party to the agreement concerning the cost of future care, nor did she have any submissions with reference to Schedules A through D. If necessary, for purposes of judgment against K.K., counsel can calculate the present value in monetary terms in relation to the life expectancy which has been determined, in order to record a monetary judgment against the defendant K.K. In this respect, all parties may have liberty to apply. Insofar as counsel prepares such a calculation, notice should be given to the defendant K.K. of the calculations in order that she may have an opportunity to consider them and speak to the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Although third party proceedings were taken by the defendant K.K. against the Province, no submissions were made. As this procedure appears to have been ignored, no ruling is made on this subject.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The plaintiffs will recover judgment against both defendants as indicated in these reasons, and to the extent as described therein. Counsel and Ms. K.K. may speak to the matter of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MELVIN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40" style="position:absolute;z-index:25189580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71"/>
          <w:headerReference w:type="default" r:id="rId772"/>
          <w:footerReference w:type="even" r:id="rId773"/>
          <w:footerReference w:type="default" r:id="rId774"/>
          <w:headerReference w:type="first" r:id="rId775"/>
          <w:footerReference w:type="first" r:id="rId77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77" w:history="1">
        <w:r>
          <w:rPr>
            <w:rFonts w:ascii="arial" w:eastAsia="arial" w:hAnsi="arial" w:cs="arial"/>
            <w:b/>
            <w:bCs/>
            <w:i/>
            <w:color w:val="0077CC"/>
            <w:kern w:val="32"/>
            <w:sz w:val="28"/>
            <w:szCs w:val="32"/>
            <w:u w:val="single"/>
            <w:shd w:val="clear" w:color="auto" w:fill="FFFFFF"/>
            <w:lang w:val="en-US" w:eastAsia="en-US" w:bidi="ar-SA"/>
          </w:rPr>
          <w:t>Mills v. Merrill Lynch Canada Inc., [2005] B.C.J. No. 210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Bauman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20 - 23 and 27 - 30, and October</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1, 4, 5, 7 and 8,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Written submissions received: October 21, 27, 28 and</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29, 2004.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4,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S025258</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[2005] B.C.J. No. 210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2005 BCSC 151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136 A.C.W.S. (3d) 1160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Tracy Mills and Richard Burns, plaintiffs, and Merrill Lynch Canada Inc., CIBC World Markets Inc., CIBC World Markets Inc. doing business as CIBC Wood Gundy and Robert Klenk,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(154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41" style="position:absolute;z-index:2517043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92" w:name="Keywords_42"/>
      <w:bookmarkEnd w:id="292"/>
      <w:r>
        <w:rPr>
          <w:rFonts w:ascii="arial" w:eastAsia="arial" w:hAnsi="arial" w:cs="arial"/>
          <w:b/>
          <w:color w:val="000000"/>
          <w:sz w:val="20"/>
          <w:lang w:val="en-US" w:eastAsia="en-US" w:bidi="ar-SA"/>
        </w:rPr>
        <w:t>Professional responsibility — Professions — Other — Investment and management consultants.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93" w:name="Case Summary_39"/>
            <w:bookmarkEnd w:id="29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Mills and Burns for damages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breach of contract and breach of fiduciary duty. Mills and Burns were wife and husband. Mills had been a senior employee with a fibre optics company and as such had acquired stock in the company. Having seen the price of the stock rise dramatically shortly after she sold some of it, she decided to obtain investment advice. She approached potential advisors, one of whom was the defendant Klenk. She invited proposals for a strategy to pay a substantial tax bill. One advisor recommended a higher degree of diversification. Klenk assumed that concentration in the stock was not a factor, as the objective was to fund tax liabilities without selling securities at the market price. However, he recommended consideration of a risk management strategy to deal with the concentrated equity position. When Mills opened an account with the defendant Merrill Lynch Canada Inc., Klenk's employer, her stock was valued at over $2.5 million. When she terminated Klenk's services about a year and half later, her stock was worth about $120,000. She complained that Klenk did not competently advise her by failing to warn her of the risk of her extremely concentrated position. Burns advanced a claim in respect of losses incurred in trading naked call options based on Klenk's advice.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94" w:name="Holdings of Court_32"/>
            <w:bookmarkEnd w:id="294"/>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plaintiffs were warned by both investment advisors of the risk of a concentrated equity position. Furthermore, it was clear that Mills was carefully monitoring her financial position and was aware of her concentration in the fibre optic stock. She was aware of both the potential benefits as well as the risks of holding the stock. The plaintiffs made an informed choice to accept the risks of pursuing options trading and remaining concentrated in the stock. Their losses did not arise because of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breach of duty on the part of any of the defendants.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95" w:name="Counsel_44"/>
      <w:bookmarkEnd w:id="29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42" style="position:absolute;z-index:2517555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J.S. Forstrom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Merrill Lynch Canada Inc.: S.K. Gudmundseth, Q.C. and L.D. Ridgedale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CIBC World Markets Inc., CIBC World Markets Inc. doing business as CIBC Wood Gundy and Robert Klenk: S.M. Winder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96" w:name="Judgment_44"/>
      <w:bookmarkEnd w:id="296"/>
      <w:r>
        <w:pict>
          <v:line id="_x0000_s1243" style="position:absolute;z-index:25180672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97" w:name="BAUMAN J."/>
            <w:bookmarkEnd w:id="297"/>
            <w:r>
              <w:rPr>
                <w:rFonts w:ascii="arial" w:eastAsia="arial" w:hAnsi="arial" w:cs="arial"/>
                <w:b/>
                <w:color w:val="000000"/>
                <w:sz w:val="30"/>
                <w:lang w:val="en-US" w:eastAsia="en-US" w:bidi="ar-SA"/>
              </w:rPr>
              <w:t>BAUMAN J.</w:t>
            </w:r>
          </w:p>
        </w:tc>
      </w:tr>
    </w:tbl>
    <w:p>
      <w:pPr>
        <w:numPr>
          <w:numId w:val="1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Technology stocks had a dramatic run-up in value between 1999 and the fall of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Senior staff in many technology companies made hundreds of thousands of dollars through employee share purchase and share option plans.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value of these holdings literally dwarfed the annual salaries of the affected employees.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For many, it must have seemed to be all too good to be true. For many, including the plaintiffs, it was.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By December 2000, the "tech bubble" had burst and all that was left for some of these employees was a stock portfolio of much diminished value and a tax liability with CCRA of nightmarish proportions.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Tracy Mills and Richard Burns, wife and husband, bring action against their investment advisor, Robert Klenk, and his employers,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breach of contract and breach of fiduciary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largest claim is that advanced by Ms. Mills, who was a senior manager in a Victoria based fibre optics company called SDL Optics Inc. ("SDL").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February 2001, SDL merged with JDS Uniphase ("JDS"), a very large North American technology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When Ms. Mills approached Mr. Klenk and formally opened accounts with Merrill Lynch Canada Inc. ("Merrill Lynch"), she held in excess of $2.5 million (CAD) in SDL stock, and vested and soon to be vested options.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By the time Ms. Mills severed ties with the defendants (including CIBC World Markets Inc. and Wood Gundy, collectively "Wood Gundy", who succeeded Merrill Lynch), Ms. Mills' holdings had declined in value to about $120,000 (USD) (approximately one third of the amount of tax she owed in respect of these shares).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Her chief complaint against the defendants is that, in breach of Mr. Klenk's duty to competently advise her, he did not warn her of the risks associated with her extremely concentrated position in SDL and the need to diversify her holdings.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Dr. Burns, a dentist, advances a smaller claim in respect of his loss of about $38,000 (USD) in trading naked call options based on Mr. Klenk's advice.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Before I turn to a detailed description of the facts, it is useful to set out generally the legal backdrop.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nature and extent of the duty to advise in any particular broker-client relationship is essentially a question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That relationship can be placed on a spectrum with the broker as a mere order-taker at one end, to the broker exercising virtually complete management of a discretionary account at the 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Not surprisingly, the nature and scope of the duty owed by the broker varies as one advances along the spectrum.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In Rhoads v. Prudential-Bache Securities Canada Ltd. </w:t>
      </w:r>
      <w:hyperlink r:id="rId778" w:history="1">
        <w:r>
          <w:rPr>
            <w:rFonts w:ascii="arial" w:eastAsia="arial" w:hAnsi="arial" w:cs="arial"/>
            <w:i/>
            <w:color w:val="0077CC"/>
            <w:sz w:val="20"/>
            <w:u w:val="single"/>
            <w:shd w:val="clear" w:color="auto" w:fill="FFFFFF"/>
            <w:lang w:val="en-US" w:eastAsia="en-US" w:bidi="ar-SA"/>
          </w:rPr>
          <w:t>(1992), 63 B.C.L.R. (2d) 256</w:t>
        </w:r>
      </w:hyperlink>
      <w:r>
        <w:rPr>
          <w:rFonts w:ascii="arial" w:eastAsia="arial" w:hAnsi="arial" w:cs="arial"/>
          <w:color w:val="000000"/>
          <w:sz w:val="20"/>
          <w:lang w:val="en-US" w:eastAsia="en-US" w:bidi="ar-SA"/>
        </w:rPr>
        <w:t xml:space="preserve">, </w:t>
      </w:r>
      <w:hyperlink r:id="rId778" w:history="1">
        <w:r>
          <w:rPr>
            <w:rFonts w:ascii="arial" w:eastAsia="arial" w:hAnsi="arial" w:cs="arial"/>
            <w:i/>
            <w:color w:val="0077CC"/>
            <w:sz w:val="20"/>
            <w:u w:val="single"/>
            <w:shd w:val="clear" w:color="auto" w:fill="FFFFFF"/>
            <w:lang w:val="en-US" w:eastAsia="en-US" w:bidi="ar-SA"/>
          </w:rPr>
          <w:t>11 B.C.A.C. 13</w:t>
        </w:r>
      </w:hyperlink>
      <w:r>
        <w:rPr>
          <w:rFonts w:ascii="arial" w:eastAsia="arial" w:hAnsi="arial" w:cs="arial"/>
          <w:color w:val="000000"/>
          <w:sz w:val="20"/>
          <w:lang w:val="en-US" w:eastAsia="en-US" w:bidi="ar-SA"/>
        </w:rPr>
        <w:t xml:space="preserve"> (C.A.), Justice Taylor made this point (at [paragraph] 19, 20 and 22):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What, then, is the duty of a stockbroker who chooses to offer financial, investment and taxation advice, in addition to the services of a broker or "order-taker"?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stockbroker who merely makes sales and purchases on the instructions of clients may well have no responsibility for the wisdom of the transactions involved. The broker may if asked agree to give opinions on purchases or sales, and may make it apparent to the client, if not already well understood between them, that these constitute no more than personal opinions, and are not in the nature of considered investment advice. Where, however, as here, the firm and its employees seek to enhance their business by offering guidance to would-be investors--on "growing and managing retirement wealth" and "keeping investments safe", and to serve in "ways that no one else can" through the advice of "two financial advisors with 22 years of combined investment and taxation experience" -- they must expect that their advice may be relied on as that of skilled, independent professional advisors. Stockbrokers who carry on business in this way accept responsibilities beyond those involved in bringing together buyers and sellers. They undertake the duty of providing careful, competent, considered professional advice of a sort in which clients, especially those who have no experience of their own to guide them, may well place their complete reliance.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such circumstances a financial advisor must be taken to assume duties similar to those of any other professional advisor--doctor, accountant, engineer, lawyer--in the sense of being obliged to take reasonable steps to ensure that customers or clients are aware of the available options, and of the main potential benefits and risks associated with them. Considerable discretion is, of course, allowed to the professional advisor in deciding, as a matter of judgment, on the nature and scope of the advice appropriate to any case. When called on to account the advisor is not, of course, answerable as "guarantor", "custodian" or "insurer"--the terms used by counsel for the appellants in this case--but only to show that he or she reasonably applied the skill and care appropriate to the task undertaken and to the circumstances of the case.</w:t>
      </w:r>
    </w:p>
    <w:p>
      <w:pPr>
        <w:numPr>
          <w:numId w:val="2"/>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Detailed Chronology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Tracy Mills was aged 42 at trial. She received her Bachelor of Arts in Administration from the University of Regina in 1986. In taking that degree, she completed a number of courses in business finance and administration.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June 1996, she joined SDL, a fibre optics company in the telecommunications field, as Materials Manager.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company then had about 75 to 85 employees.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When Ms. Mills left on maternity leave in May 2001, the company had approximately 800 employees.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Ms. Mills' duties expanded as the company experienced its phenomenal growth. She was a senior employee. In the summer of 2000, she took over administration of the software infrastructure for the manufacturing operation of the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Ms. Mills was not a sophisticated stock investor at any time, but she did have some exposure to the market before her contact with Mr. Klenk and Merrill Lynch.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She had a very modest losing investment in Air Canada in the 1980s and successful, but relatively small, investments in at least two technology companies in the late 1990s. These investments were made after the stocks were talked up among Ms. Mills' SDL colleagues.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Ms. Mills also maintained an RRSP account primarily in mutual funds.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Richard Burns was aged 43 at trial. He had a successful dental practice in Sidney until October 2000, when he sold it. The practice had been listed for sale since June 2000. Dr. Burns believed that with Ms. Mills' wealth, the couple could afford for him to retire from practice.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Prior to his involvement with the defendants, Dr. Burns had very little experience in the stock market, limited essentially to his RRSP investments.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SDL operated two stock programs for its employees. As a senior employee, Ms. Mills was entitled to participate at a correspondingly higher level.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Employee Stock Purchase Plan ("ESPP") allowed employees to acquire shares of the company at favourable prices. The shares were paid for through payroll deductions. Distributions were made in April and October each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Employee Stock Option Plan ("ESOP") involved the distribution of options to purchase SDL shares at favourable prices to employees each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ESOP established the price for these options and their vesting date (the date when they might be exercised by the employee) in advance.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Of course, the employees would benefit to the extent that the current share price of SDL stock was higher than the employee's exercise price for any vested option.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tax consequences to the employee were essentially these:</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under the ESPP, the difference between the employee's cost per share and the market value of that share at the date of issue represented an immediate taxable benefit and it was taken into the employee's income for that year; and</w:t>
      </w:r>
    </w:p>
    <w:p>
      <w:pPr>
        <w:numPr>
          <w:numId w:val="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under the ESOP, the difference between the price paid by the employee to exercise an option and the market value of the share acquired at the date of exercise represented a taxable capital gain to the employee. In this case, however, payment of the tax is deferred until the sale of the shares or the employee's death.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either case, the amount of the taxable benefit was fixed at the time the employee acquired the share. If the employee elected to hold the shares and their price declined, one can appreciate the conundrum arising.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share price of SDL stock, until its merger with JDS, was highly volatile. When Ms. Mills joined the company in June 1996, the share price was $6.93 (USD). In April 1997, the price declined to $3.25 (USD).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price fluctuated between $2.50 and $6.00 (USD) until November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share price then began its climb. It was $12.50 (USD) in January 1999, $61.65 (USD) in October 1999 and $109 (USD) by the end of that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March 2000, the share price of SDL stock was $212 (USD). In April, however, there was a decline in the price.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At this point Ms. Mills and Dr. Burns were not receiving any investment advice. They debated selling some of Ms. Mills' SDL stock because of the decline in price, and Ms. Mills eventually did so. On 17 April 2000, she sold 1,018 shares of SDL at $125 (USD) a share.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Almost immediately, the share price started to rise again. By June 2000, it was at $285 (USD).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Ms. Mills was upset with herself because she felt that she had sold too low. In her words, she was "kicking herself for having sold".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At this point the plaintiffs realized that they needed some professional advice. They approached three potential advisors, only two of whom are relevant to the issues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They are Robert Klenk, then of Merrill Lynch, and Douglas Campbell of BMO/Nesbitt Burns.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Ms. Mills and Dr. Burns had already been in general discussions with Douglas Campbell concerning their ability to retire at that time. Mr. Campbell had prepared a retirement profile for the couple. Based on the assumptions in that document (Exhibit 1, Tab 1 - the Pathfinder Report), Dr. Burns could then sell his practice and retire while Ms. Mills would continue in the workforce at SDL for a further five to six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profile was based partially on an assumed share price for SDL of $170 (USD). That became the floor price to fund the couple's retirement dreams.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Ms. Mills resolved to set a test for her potential advisors. She wanted them to outline a strategy to assist her in paying the estimated $300,000 to $400,000 (CAD) she owed in taxes for the 2000 taxation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While it is undisputed that Mr. Klenk, at least, understood that Ms. Mills was seeking advice about all of her investment assets and her overall financial position, it is important that Ms. Mills began her involvement with Mr. Klenk with this more limited enquiry.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On 17 May 2000, Ms. Mills sent identical e-mails to Mr. Klenk and Mr. Campbell, including "Additional Information for Recommended Financial Plan for Tax Strategy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She invited proposals by 26 May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 will now turn to those proposals, but it should be remembered that at the centre of the plaintiffs' problem, and their essential complaint, is the fact that Ms. Mills' portfolio remained largely concentrated in SDL stock and that she did not diversify while the stock was at its higher values.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On 24 May 2000, Douglas Campbell responded by letter to the plaintiffs. He did not offer much concrete advice as he recommended a session with a tax accountant.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He did say this, however, concerning changes in the capital gains tax regime: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Because the Options were made available at fair market value to you at the time, the gain is taxed at the same rate as a capital gain. Therefore, because the capital gain tax is less than the income tax, there is an advantage to selling the options before selling the shares from the ESPP. Presently the capital gains tax works out to about 34% compared to 52% for straight income tax.</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considerable innuendo that the next budget may reduce the capital gain tax to 50% from 66% of the gain, meaning a .52(50) - 26% tax on the capital gain. Incidentally the Pathfinder analysis which we did showed the tax rate on the options at 50%, so we can correct it to 34% to reflect the current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And he ended with this advice about the need to diversify: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discussed in our previous meeting, I believe that a detailed investment strategy needs to be designed, to implement a higher degree of diversification in the portfolio (from an asset allocation and security perspective) which you are presently lacking. I look forward to working with both of you in the future, and hope that this has been of some use to you.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On 25 May 2000, Mr. Klenk responded. His covering e-mail, with the subject heading "Tax Planning", includes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Any assumptions have been noted and the plan is designed around a neutral bias on the stock itself. Again, if you have any questions or notice any discrepancies please let me know. It is concise but will provide a good foundation to build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Mr. Klenk's proposal is titled: "Tax-Planning and Funding Overview 2000 Tax Year-Tracy Mills".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 highlight that to give context again to the proposal. The parties were concentrating on an aspect of Ms. Mills' financial picture - the planning necessary to fund her year 2000 tax bill.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Mr. Klenk states the "Objective" of the proposal so:</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Objective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fund tax instalments and ESPP tax liability without selling securities at the market price during this year. By minimizing any additional sales of SDL, we can delay incurring any additional capital gains until the following tax year.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accomplish this, we will sell call options on SDL to generate enough cash to pay tax instalments in September and December. The benefit to an outright sale is the time premium in the option that is substantial due to the potential return of SDL and the recent volatility of the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Under "Assumptions" he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Assumptions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Concentration in SDL stock is not a factor in the discussion above and therefore the stock is assumed to remain static throughout the year.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Under "Risk Management":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Risk Management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company and market specific risk of concentration in SDL is an issue that has not been covered and should be dealt with concurrently as it may be accomplished as a secondary issue while funding the tax liability. Contingency planning should also be addressed should SDL make a significant move either up or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Under "Conclusion":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Conclusion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Above I have noted a few available strategies designed to maximize your after-tax return while funding your tax liabilities as they come due. As mentioned, they are for illustration purpose only.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Before determining the appropriate tax strategy, you may wish to consider determining a risk management strategy for such a concentrated equity position. For example, a strategy that would cap the downside potential and participate in the upside within parameters set by you to diversify and reduce risk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In the context of the plaintiffs' essential complaint, I note that at this point the plaintiffs:</w:t>
      </w:r>
      <w:r>
        <w:rPr>
          <w:rFonts w:ascii="arial" w:eastAsia="arial" w:hAnsi="arial" w:cs="arial"/>
          <w:sz w:val="20"/>
          <w:lang w:val="en-US" w:eastAsia="en-US" w:bidi="ar-SA"/>
        </w:rPr>
        <w:cr/>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had been told by Mr. Campbell that Ms. Mills needed a higher degree of diversification in her portfolio; and</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had been told by Mr. Klenk that Ms. Mills' concentration in SDL was an issue that "should be dealt with concurrently";</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but that in Mr. Klenk's proposal, "concentration is not a factor" because the objective was "to fund tax instalments and ESPP tax liability without selling securities at the market price during this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As to why Mr. Klenk made the assumptions he did, Ms. Mills in her evidence said that while she read the stated objective in Mr. Klenk's proposal, it was not her objective.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Curiously, she also said that she did not tell Mr. Klenk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On cross-examination, Ms. Mills was referred to the portion of Mr. Klenk's proposal dealing with minimizing sales of SDL shares in 2000 and she was asked (Transcript: 22 September 2004, p. 19, lines 5-42):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was it not your objective -- was it your objective, rather, to defer selling more SDL because if you did it would be subject potentially to a higher tax rate?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Did you tell him that that was not your objective?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I didn't, no.</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Then under the heading "Assumptions":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Concentration in SDL stock is not a factor in the discussion above and therefore the stock is assumed to remain static throughout the year.</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Do you see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did you understand when he said that the stock is assumed to remain static throughout the year that for the purpose of his analysis he was assuming a stable price in the stock?</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don't know if I thought about it.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Did -- now having had this read to you, do you understand what it means?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And presumably you understood what it meant at the time that you read it back in May of 2000; 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presume so.</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when he says: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Concentration in SDL stock is not a factor in the discussion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Is it fair to say that you understood that you were concentrated in SDL stock?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I knew my holdings were all SDL, pretty much all of them. Except for the RRSPs. But the majority was.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Mr. Klenk was referred to notes he made, which are found at Exhibit 3, Tab 132. He said that he made these notes in May 2000, before sending his proposal to Ms. Mills. The notes are headed "2000 Tax Plan" and they state this under the heading "Assumptions": "- do not want to reduce company specific risk in your concentrated position in SDL."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Mr. Klenk testified that the assumptions stated in the notes "came from my talks with Ms. Mills and my assessment of her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On the whole of the evidence, I conclude that this was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 will digress briefly to discuss the credibility of the parties. Neither of the principal parties questioned the credibility, in the sense of the truthfulness, of the opposing principal witnesses. Neither do 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plaintiffs and Mr. Klenk were all forthright witnesses. The differences between them reflect memory lapses and the like. In resolving questions of fact, I have relied on the preponderance of probabilities given the circumstances surrounding each question of fact and on contemporary documentary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Returning to the particular issue here, it is most reasonable to conclude that Mr. Klenk's assumptions were based on his discussions with Ms. Mills. Briefly, this is so because he recorded the assumptions in notes made before the proposal, he stated them expressly in the proposal without objection from Ms. Mills, and the position was entirely consistent with Ms. Mills' mindset at the time - she had just lost a lot of money by selling over 1,000 shares of SDL in April before its price started to climb dramatically and she was very positive as to the company's prospects.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Standing pat with the SDL shares, in fact, turned out to be a highly profitable decision for Ms. Mills in the summer of 2000. She did not, in the result, formally open her accounts with Merrill Lynch until September 2000. On 1 June 2000, SDL shares were trading at $249.69 (USD); on 1 September 2000, they were trading at $401.13 (USD).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During the summer, the plaintiffs had a number of telephone discussions with Mr. Klenk.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These conversations included discussions concerning Mr. Klenk's options strategy for Ms. Mills, which involved the sale of covered call options in SDL shares. Essentially, a covered call option involves the sale of the right to purchase a certain number of shares at a set price in the future (the strike price). The seller recovers a premium and in consideration of that, gives up the upside potential in the stock price. It is called a covered option, because the seller of the call owns the underlying shares.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evidence before me is to the effect that this is the most conservative options trading strategy. Options trading is an area that can include a number of very risky strategies.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purpose of selling covered calls is to generate revenue while maintaining one's position in the underlying stock.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In July 2000, Mr. Klenk met with the plaintiffs in their home in Sidney. I accept that the parties discussed calls and puts in options trading and that Mr. Klenk spoke of an options strategy which "gave away the upside and protected the downside."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As to the "downside", I also accept that the plaintiffs discussed Mr. Campbell's Pathfinder Report and the floor price that he established for SDL shares at $170 (USD) as that required to fund the plaintiffs' very early retirement.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During this period, indeed at all relevant times, I am satisfied that the plaintiffs fully understood the essential risk that they faced by remaining concentrated so completely in SDL stock. Ms. Mills, in particular, was warned of this by both Mr. Campbell and Mr. Klenk in May 2000. But more importantly, it was, I find, self evident to Ms. Mills.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Ms. Mills knew that she was concentrated and she knew that she risked a decline in the stock value. She had watched the stock closely since her employment started in 1996; indeed, it was a topic of much conversation among her fellow employees at SDL. Ms. Mills witnessed the stock's startling volatility. By the summer of 2000, she was watching the stock on the Nasdaq Exchange weekly and at times, daily.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At this point, Ms. Mills was very positive about the company's prospects. She had witnessed its dramatic growth from the ground floor. Her Excel spreadsheets provided to Mr. Klenk and Mr. Campbell in May 2000 contemplated significant future growth in SDL share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At the same time, it is fair to observe that Mr. Klenk was as well positive about the company and its prospects. SDL was by then a substantial manufacturing company in a cutting edge field - telecommunications and fibre optics.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It was in this context that Mr. Klenk testified, and I accept, that he discussed the risk of concentration with Ms. Mills many times and the sale of SDL stock to protect the downside. It was Mr. Klenk's assessment that Ms. Mills was confident holding the stock.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In early September 2000, Ms. Mills met with Mr. Klenk and signed various account opening forms with Merrill Lynch. At this point, Ms. Mills had 1,035 shares in her ESPP account and 2,050 shares represented by vested options.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By 6 October 2000, she had an additional 1,022 shares in her ESPP account. In addition, she held unvested options. On that date, SDL shares were trading at $300.94 (USD). The approximate value of her current and soon to be acquired shares in September 2000 was $2.5 million (CAD).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As to the fact of discussions between Mr. Klenk and Ms. Mills about the possibility of diversification, we have Ms. Mills' note of an 11 October 2000 telephone conversation with Mr. Klenk: "Diversify - Lucent, down $10 today - good buy" and "Sell stock - pay liabilities ...". And Ms. Mills' agenda for a meeting with Mr. Klenk dated 21 October 2000 includes: "4. Risk Acceptance - Diversification."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Mr. Klenk executed the first covered call transaction for Ms. Mills in October 2000. It was a relatively small deal. While Mr. Klenk had hoped to generate up to $80,000 (USD) per year for Ms. Mills with the covered call options strategy, in fact he only made about half that amount over the course of the parties' relationship, which effectively lasted just over a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 share price of SDL stock had peaked in the summer of 2000 at over $400 (USD). In early September 2000, it ranged between $340 and $390 (USD) per share.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In October 2000, however, the share price began a virtually consistent decline to $300, thence to $246 (USD) on 1 November 2000. On 30 November 2000, the share price plunged to $181.75 (USD). It recovered into the mid $200 (USD) range in early to mid December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In mid February 2001, the merger with JDS was completed and thereafter Ms. Mills held shares in that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By March 2001, the value of Ms. Mills' JDS shares was about equivalent to her tax liability in respect of them. By the end of November 2001, when Ms. Mills and Dr. Burns had stopped using the services of Mr. Klenk, the value of Ms. Mills' portfolio was $120,000 (USD), which was about one-third of the tax which she owed on the shares.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Ms. Mills, I find, must have well understood the course of the declining value of her SDL/JDS shares. Her monthly statements from Merrill Lynch contained a summary cover page which clearly indicated the declining values of her portfolio.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I turn to juxtapose Ms. Mills' dealings with Mr. Klenk in this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On 1 December 2000, Ms. Mills had a further telephone conversation with Mr. Klenk and her notes of it are at Exhibit 1, Tab 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These notes indicate clearly that Ms. Mills and Mr. Klenk discussed the pros and cons of selling SDL stock. Changes anticipated in the capital gains tax regime were discussed. Mr. Klenk is recorded as thinking "we've seen the worst of it", a reference, I take it, to the decline in value of the stock.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On 19 December 2000, the two had a further telephone conference.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A sale of some of the SDL stock was again discussed, prompted no doubt by Ms. Mills' need to pay for an original Robert Bateman painting which the couple purchased for approximately $180,000.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Ms. Mills and Mr. Klenk discussed their plans going forward. I note these entries in Ms. Mills' notes: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Keep stock for this year (don't tax loss sell)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Continue Option calls through next yr to raise cash.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 immediately below that last note: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Risk - Stock absolutely tanks and forced to sell a bunch for tax bill come April. Meet in Jan. to discuss.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On 11 January 2001, Ms. Mills sold 500 SDL shares to pay for the Bateman painting.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In February 2001, as I indicated earlier, the merger with JDS completed and Ms. Mills received 3.8 JDS shares for each SDL share.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On 9 April 2001, Ms. Mills was facing a large tax bill for the 2000 taxation year. She had a telephone conference with her accountant and her notes of the conversation, or made around the time of the conference, are at Exhibit 1, Tab 44. They indicate a consideration of various alternatives to pay off the substantial tax liability. I highlight these notes: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Pay off purely on Options = [plus/minus] 4 years.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Risk - Stock goes to [zero struck through]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Benefit - keep stock.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Accelerate Payment - If stocks rise - cash in some to pay off and retire debt.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Again, this makes clear to me that throughout the period Ms. Mills was carefully monitoring her own financial position; she was alive to her concentration in SDL/JDS stock and the risk associated with that ("stock goes to [zero struck through]"), but that she also saw the potential benefit of holding the stock in the hope of a rise in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In April 2001, Ms. Mills instructed Mr. Klenk to sell 4,916 of her JDS shares (they were trading in the $20 (USD) range).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For some reason, Mr. Klenk only sold 2,000 of these shares. When he told Ms. Mills this fact, he indicated that he would honour the price on the shares which he did not sell and he would make it up to her in the future. Ms. Mills testified that she accepted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Ms. Mills and a number of her colleagues at SDL filed Notices of Objection with CCRA in respect of the tax treatment of their ESPP and ESOP shares. Ms. Mills eventually paid her 2000 tax liability through a loan advanced by her aunt. That loan remains outstanding.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In June 2001, Ms. Mills and Dr. Burns had a very emotional conversation concerning their financial position. It was realized that Dr. Burns would have to remain in practice. Dr. Burns testified that after this conversation he went for a long bike ride and on that ride he called Mr. Klenk on his cell phone.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Dr. Burns says that he and Mr. Klenk discussed the basic question "How did we get into this situation?" He testified that Mr. Klenk said: "In hindsight, we should have sold ... it happened too fast."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Dr. Burns says that at this point Mr. Klenk remained bullish on JDS. That stock was then trading in the $10 to $12 (USD) range, which it did until a further drop below $10 in December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In October and November 2001, Ms. Mills and Mr. Klenk had a disagreement over the sale of a covered call. As I take it, Mr. Klenk acknowledged that he made a mistake in the transaction. By this point, however, Ms. Mills had lost confidence in Mr. Klenk and she instructed him to stop trading options in her account on 16 November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On 12 November 2001, Dr. Burns (who had suffered some losses in his options trading) sent a letter of complaint to Mr. Klenk's supervisor, Gary P. Mayzes.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It is an interesting letter, as much for what it does not say. Dr. Burns complained of the sale of two put options in January 2001, on his account, which resulted in losses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Dr. Burns also complained of the failure of Mr. Klenk to sell the 1,916 shares in Ms. Mills' account in April 2001 and the botched sale of the call option in November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Importantly, however, Dr. Burns made no complaint alleging Mr. Klenk's failing to advise the couple of the dangers of concentration in SDL stock and the need to diversify if their retirement plans were to be preserved.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Merrill Lynch responded to Dr. Burns' complaint in March 2002. They gave it no weight. Dr. Burns and Ms. Mills severed all ties with Merrill Lynch (by then replaced by Wood Gundy) in March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I will backtrack to discuss Dr. Burns' relationship with Mr. Klenk.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Dr. Burns opened his accounts with Merrill Lynch in December 2000. He transferred about $350,000 from the sale of his dental practice and $60,000 in RRSPs into his accounts.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Among the documents prepared by Mr. Klenk in opening Dr. Burns' accounts is one titled "Compass Investor Profile" wherein Dr. Burns answered various questions concerning his financial position and his plans. Dr. Burns checked the box "I think higher risk investing may be appropriate, but only for a portion of my portfolio."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He answered the question: "Should your investment decline, how easily could you replace this loss from other sources?" With: "Easily, with some planning involved."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Dr. Burns indicated that he needed a return of $3,000 per month from his portfolio.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Among the documents signed by Dr. Burns was a "Special Statement for Uncovered Option Writers".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That document is replete with pretty dire warnings, including: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are special risks associated with uncovered option writing which expose the investor to potentially significant losses. Therefore, this type of strategy may not be suitable for all clients approved for options transactions.</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potential loss of uncovered call option writing is unlimited. The writer of an uncovered call is in an extremely risky position, and must understand that he/she can incur large losses if the value of the underlying instruments increases above the exercise price.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NOTE: It is expected that you will read the document entitled "Risk Disclosure Statement for Futures and Options" which was provided to you at the time you opened your option account. Additional copies are available from your Financial Consultant. In particular your attention is directed to the sections entitled "Options" and "Additional Risks Common to Futures and Options."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Dr. Burns also signed the form acknowledging receipt of Merrill Lynch's Disclosure Statement for Exchange Traded Options, but he did not, in evidence, actually recall receiving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I have related above the general trend in the trading in Dr. Burns' account. The bulk of his losses occurred with the first trade in January 2001 (the subject of his complaint to Merrill Lynch in November 2001), but Dr. Burns continued making trades in risky uncovered options until November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Dr. Burns testified that he never really understood the risks which he faced. But he acknowledged in cross-examination by Mr. Gudmundseth, that he discussed each transaction with Mr. Klenk and that Mr. Klenk explained the "whys" of each trade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Dr. Burns further appreciated that success could not be guaranteed by Mr. Klenk.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Interestingly, on his examination for discovery, Dr. Burns was referred to his complaint letter of November 2001 and he gave these answers, which he accepted as true at trial (Transcript: 7 September 2004, pp. 110-111, lines 20-25 and 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I know that. But I'm trying to understand what was in your mind at the time. So it's entirely possible it was in your mind that if they cut you a cheque, you'd stay with Mr. Klenk, and away you'd go. Is that what was in your mind at the time?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 may have been in my mind at the time.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I don't want you to speculate, I'd just like to know if that's what you were thinking. Because you keep bringing up the fact about waiting for that response. And to me that means, if it were positive -- if it were favourable, you would have stayed with Mr. Klenk. Is that a fair assumption?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may have. I wanted to see what they were going to say, 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I will end the chronology by summarizing a number of my findings of fact:</w:t>
      </w:r>
      <w:r>
        <w:rPr>
          <w:rFonts w:ascii="arial" w:eastAsia="arial" w:hAnsi="arial" w:cs="arial"/>
          <w:sz w:val="20"/>
          <w:lang w:val="en-US" w:eastAsia="en-US" w:bidi="ar-SA"/>
        </w:rPr>
        <w:cr/>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Although Mr. Klenk was engaged to give general financial advice to Ms. Mills, the relationship began, at Ms. Mills' direction, with a concentration on strategies to fund her 2000 tax year liability;</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Mills and Dr. Burns fully understood the danger of Ms. Mills' concentrated position in SDL/JDS, but they were confident of its prospects and held on to the shares with their eyes open to the risk of a declining share price; they accepted the risk of a fall in the share price;</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indeed, Mr. Klenk was confident as well, but that was a view shared by many in the investment industry at the time and it was not an unreasonable one;</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while the plaintiffs wanted to retire early and they made that known to Mr. Klenk, they were not typical retirees who should never risk concentration in one stock; the parties expected Ms. Mills to continue work for a number of years and Dr. Burns always had, and knew he had, the fallback of his profession;</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knew that their early retirement was premised on a stock price of $170 (USD) for SDL, but they both watched the price fall well below that without apparent concern;</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while the plaintiffs had limited investment knowledge, as Mr. Klenk understood, they were intelligent individuals who diligently attended to their own affairs by asking questions, keeping notes and seeking accounting and other advice; they understood that there were risks in investing in companies listed on the stock market and that there are different levels of risk with respect to different stocks; Dr. Burns in particular understood that there was a relationship between risk and returns and that with higher returns came higher risks;</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while Mr. Klenk acknowledged that establishing a floor price for SDL was something that should have been done, but was not, the plaintiffs understood that as well and did not need to be warned about it, and indeed, they already had the floor price established by Mr. Campbell;</w:t>
      </w:r>
    </w:p>
    <w:p>
      <w:pPr>
        <w:numPr>
          <w:numId w:val="18"/>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while Mr. Klenk advised Ms. Mills to roll forward with the options strategy at various points, Ms. Mills was alive to the alternative of selling her stock in SDL and chose not to do so, except for the sales which I noted in the chronology; and</w:t>
      </w:r>
    </w:p>
    <w:p>
      <w:pPr>
        <w:numPr>
          <w:numId w:val="19"/>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while Dr. Burns was trading in the much more risky uncovered options, he was warned of the risks and accepted them in an effort to generate more monthly income from his portfolio. In fact, the bulk of Dr. Burns' capital was invested in a managed fund, Frontiers.</w:t>
      </w:r>
    </w:p>
    <w:p>
      <w:pPr>
        <w:numPr>
          <w:numId w:val="20"/>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xml:space="preserve">  While the plaintiffs focus their claims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breach of contract and breach of fiduciary duties, they acknowledge that, in the circumstances, there is no significant distinction between these causes of action. Because of the view I take, it is not necessary to resolve the question of whether Mr. Klenk was a fiduciary to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This action is founded on the broker's duty to advise. I have already discussed the decision in Rhoads in this context: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advisor is not, of course, answerable as "guarantor", "custodian" or "insurer" ... but only to show that he or she reasonably applied the skill and care appropriate to the task undertaken and the circumstances of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xml:space="preserve">  To put the duty in a different way, brokers are under no duty to offer only successful financial advice. Brokers will inevitably make wrong predictions and it is difficult, in hindsight, to question honest investment advice - see Kent v. May </w:t>
      </w:r>
      <w:hyperlink r:id="rId779" w:history="1">
        <w:r>
          <w:rPr>
            <w:rFonts w:ascii="arial" w:eastAsia="arial" w:hAnsi="arial" w:cs="arial"/>
            <w:i/>
            <w:color w:val="0077CC"/>
            <w:sz w:val="20"/>
            <w:u w:val="single"/>
            <w:shd w:val="clear" w:color="auto" w:fill="FFFFFF"/>
            <w:lang w:val="en-US" w:eastAsia="en-US" w:bidi="ar-SA"/>
          </w:rPr>
          <w:t>(2001), 298 A.R. 71</w:t>
        </w:r>
      </w:hyperlink>
      <w:r>
        <w:rPr>
          <w:rFonts w:ascii="arial" w:eastAsia="arial" w:hAnsi="arial" w:cs="arial"/>
          <w:color w:val="000000"/>
          <w:sz w:val="20"/>
          <w:lang w:val="en-US" w:eastAsia="en-US" w:bidi="ar-SA"/>
        </w:rPr>
        <w:t xml:space="preserve">, </w:t>
      </w:r>
      <w:hyperlink r:id="rId779" w:history="1">
        <w:r>
          <w:rPr>
            <w:rFonts w:ascii="arial" w:eastAsia="arial" w:hAnsi="arial" w:cs="arial"/>
            <w:i/>
            <w:color w:val="0077CC"/>
            <w:sz w:val="20"/>
            <w:u w:val="single"/>
            <w:shd w:val="clear" w:color="auto" w:fill="FFFFFF"/>
            <w:lang w:val="en-US" w:eastAsia="en-US" w:bidi="ar-SA"/>
          </w:rPr>
          <w:t>[2001] A.J. No. 552</w:t>
        </w:r>
      </w:hyperlink>
      <w:r>
        <w:rPr>
          <w:rFonts w:ascii="arial" w:eastAsia="arial" w:hAnsi="arial" w:cs="arial"/>
          <w:color w:val="000000"/>
          <w:sz w:val="20"/>
          <w:lang w:val="en-US" w:eastAsia="en-US" w:bidi="ar-SA"/>
        </w:rPr>
        <w:t xml:space="preserve"> at [paragraph] 67 and 81 (Alta. Q.B.).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xml:space="preserve">  Because it is particularly relevant to the plaintiffs' claims and the thrust of the expert evidence to which I will refer, I note the submission that the rules governing brokers set by the Investment Dealers Association inform the broker-client relationship and assist in establishing the legal standard of care for brokers. Cited in this regard are: Varcoe v. Sterling </w:t>
      </w:r>
      <w:hyperlink r:id="rId780" w:history="1">
        <w:r>
          <w:rPr>
            <w:rFonts w:ascii="arial" w:eastAsia="arial" w:hAnsi="arial" w:cs="arial"/>
            <w:i/>
            <w:color w:val="0077CC"/>
            <w:sz w:val="20"/>
            <w:u w:val="single"/>
            <w:shd w:val="clear" w:color="auto" w:fill="FFFFFF"/>
            <w:lang w:val="en-US" w:eastAsia="en-US" w:bidi="ar-SA"/>
          </w:rPr>
          <w:t>(1992), 7 O.R. (3d) 204</w:t>
        </w:r>
      </w:hyperlink>
      <w:r>
        <w:rPr>
          <w:rFonts w:ascii="arial" w:eastAsia="arial" w:hAnsi="arial" w:cs="arial"/>
          <w:color w:val="000000"/>
          <w:sz w:val="20"/>
          <w:lang w:val="en-US" w:eastAsia="en-US" w:bidi="ar-SA"/>
        </w:rPr>
        <w:t xml:space="preserve">, </w:t>
      </w:r>
      <w:hyperlink r:id="rId781" w:history="1">
        <w:r>
          <w:rPr>
            <w:rFonts w:ascii="arial" w:eastAsia="arial" w:hAnsi="arial" w:cs="arial"/>
            <w:i/>
            <w:color w:val="0077CC"/>
            <w:sz w:val="20"/>
            <w:u w:val="single"/>
            <w:shd w:val="clear" w:color="auto" w:fill="FFFFFF"/>
            <w:lang w:val="en-US" w:eastAsia="en-US" w:bidi="ar-SA"/>
          </w:rPr>
          <w:t>[1992] O.J. No. 60</w:t>
        </w:r>
      </w:hyperlink>
      <w:r>
        <w:rPr>
          <w:rFonts w:ascii="arial" w:eastAsia="arial" w:hAnsi="arial" w:cs="arial"/>
          <w:color w:val="000000"/>
          <w:sz w:val="20"/>
          <w:lang w:val="en-US" w:eastAsia="en-US" w:bidi="ar-SA"/>
        </w:rPr>
        <w:t xml:space="preserve"> (Gen. Div.), affirmed </w:t>
      </w:r>
      <w:hyperlink r:id="rId782" w:history="1">
        <w:r>
          <w:rPr>
            <w:rFonts w:ascii="arial" w:eastAsia="arial" w:hAnsi="arial" w:cs="arial"/>
            <w:i/>
            <w:color w:val="0077CC"/>
            <w:sz w:val="20"/>
            <w:u w:val="single"/>
            <w:shd w:val="clear" w:color="auto" w:fill="FFFFFF"/>
            <w:lang w:val="en-US" w:eastAsia="en-US" w:bidi="ar-SA"/>
          </w:rPr>
          <w:t>10 O.R. (3d) 574</w:t>
        </w:r>
      </w:hyperlink>
      <w:r>
        <w:rPr>
          <w:rFonts w:ascii="arial" w:eastAsia="arial" w:hAnsi="arial" w:cs="arial"/>
          <w:color w:val="000000"/>
          <w:sz w:val="20"/>
          <w:lang w:val="en-US" w:eastAsia="en-US" w:bidi="ar-SA"/>
        </w:rPr>
        <w:t xml:space="preserve">, </w:t>
      </w:r>
      <w:hyperlink r:id="rId783" w:history="1">
        <w:r>
          <w:rPr>
            <w:rFonts w:ascii="arial" w:eastAsia="arial" w:hAnsi="arial" w:cs="arial"/>
            <w:i/>
            <w:color w:val="0077CC"/>
            <w:sz w:val="20"/>
            <w:u w:val="single"/>
            <w:shd w:val="clear" w:color="auto" w:fill="FFFFFF"/>
            <w:lang w:val="en-US" w:eastAsia="en-US" w:bidi="ar-SA"/>
          </w:rPr>
          <w:t>[1992] O.J. No. 1501</w:t>
        </w:r>
      </w:hyperlink>
      <w:r>
        <w:rPr>
          <w:rFonts w:ascii="arial" w:eastAsia="arial" w:hAnsi="arial" w:cs="arial"/>
          <w:color w:val="000000"/>
          <w:sz w:val="20"/>
          <w:lang w:val="en-US" w:eastAsia="en-US" w:bidi="ar-SA"/>
        </w:rPr>
        <w:t xml:space="preserve"> (C.A.) and Refco Futures (Canada) Ltd. v. SYB Holdings Corp. et al. </w:t>
      </w:r>
      <w:hyperlink r:id="rId784" w:history="1">
        <w:r>
          <w:rPr>
            <w:rFonts w:ascii="arial" w:eastAsia="arial" w:hAnsi="arial" w:cs="arial"/>
            <w:i/>
            <w:color w:val="0077CC"/>
            <w:sz w:val="20"/>
            <w:u w:val="single"/>
            <w:shd w:val="clear" w:color="auto" w:fill="FFFFFF"/>
            <w:lang w:val="en-US" w:eastAsia="en-US" w:bidi="ar-SA"/>
          </w:rPr>
          <w:t>(2001), 16 B.L.R. (3d) 243</w:t>
        </w:r>
      </w:hyperlink>
      <w:r>
        <w:rPr>
          <w:rFonts w:ascii="arial" w:eastAsia="arial" w:hAnsi="arial" w:cs="arial"/>
          <w:color w:val="000000"/>
          <w:sz w:val="20"/>
          <w:lang w:val="en-US" w:eastAsia="en-US" w:bidi="ar-SA"/>
        </w:rPr>
        <w:t xml:space="preserve">, </w:t>
      </w:r>
      <w:hyperlink r:id="rId784" w:history="1">
        <w:r>
          <w:rPr>
            <w:rFonts w:ascii="arial" w:eastAsia="arial" w:hAnsi="arial" w:cs="arial"/>
            <w:i/>
            <w:color w:val="0077CC"/>
            <w:sz w:val="20"/>
            <w:u w:val="single"/>
            <w:shd w:val="clear" w:color="auto" w:fill="FFFFFF"/>
            <w:lang w:val="en-US" w:eastAsia="en-US" w:bidi="ar-SA"/>
          </w:rPr>
          <w:t>2001 BCSC 1037</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21"/>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In his submissions, Mr. Winder, for Wood Gundy, says that the resolution of the plaintiffs' claims turns primarily on the answer to this relatively simple question: "Did Ms. Mills and Dr. Burns make an informed choice to accept the risks of pursuing options trading and remaining concentrated in SDL/JDS?" I agree that the answer to that question is at the heart of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For the reasons that I have intimated in my treatment of the facts, I answer this question in the affirmative.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Generally, the plaintiffs were driven throughout, or at least until it was too late, by a strong belief in the security of SDL/JDS as an investment and a realization that they lost a lot of money by giving up on it in respect of the 1,018 shares in April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The plaintiffs knew the risk of their concentration in SDL, they were given the opportunity both on their own and through Mr. Klenk to reconsider that position at various points and I find that they effectively resolved to stay the course and run the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In the summer of 2001, Mr. Klenk provided an article to the plaintiffs. It dealt with the stock market since the terrorist attacks of September 2001. Dr. Burns sent an e-mail back to Mr. Klenk "Re: Great Article" dated 2 October 2001. Dr. Burns said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we accept that greed kept us in the market too long, don't we run the risk of greed keeping us eyeing only companies with the potential for huge run-ups in the so-called ""V"" recovery, versus some with just potential 30% ho-hum returns? Shouldn't we be selecting some of each, in a few different ""scenario groupings""?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Just a few late night ruminations, talk to you soon,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Richard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The sentiment expressed here was, I conclude, accurate. While, to be charitable, I would not call it greed, clearly the hope of exceedingly large gains based on their experience in 1999 to midway in 2000, is what motivated the plaintiffs to knowingly take the risks they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I wish to address specific points made by the plaintiffs in their written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At paragraph 75, Mr. Forstrom submits: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failure of Mr. Klenk giving rise to liability is obvious, and undeniable. He failed to offer any advice to Mills to deal with the unsuitable concentration problem in her portfolio. Quite the reverse, he recommended an options trading strategy to her which perpetuated the concentration in her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I have found as a fact that Mr. Klenk discussed diversification with Ms. Mills on many occasions. I have found that Mr. Klenk recommended an options trading strategy because Ms. Mills wanted to hold onto her stock.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At paragraph 80, Mr. Forstrom writes: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Mills had previously sold SDLI shares in April, and certainly understood she would have to sell the rest at some point to fund her retirement. In fact, she was seeking Klenk's advice on when and how to do this. Obviously, like any investor, she wished to maximize the value of her available investment assets, but not at the risk of her primary financial goals. The Plaintiffs submit that there is no reasonable basis upon which the Court could conclude that Mills was unwilling to sell her SDLI shares when she hired Klenk, or that she would not, in fact, have done so had Klenk advised her that this was the appropriate thing to do. Mills denies ever saying this, and Klenk has no clear recollection that she did. He says he now believes she must have done so, because this is the only way to rationalize the advice he gave her. The Plaintiffs submit that the more probable explanation is that this is something he assumed, or simply failed to consider.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In fact, Ms. Mills was upset with herself for selling the stock in April 2000. It was a bad experience for her. That experience coloured her approach to the question of selling stock, which she discussed with Mr. Klenk on a number of occasions. In fact, Ms. Mills was prepared to risk her financial goals by hanging onto the SDL stock. She watched its price decline with her eyes open.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At paragraph 83, it is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issue of "informed consent" applies to the formulation of Klenk's advice regardless of whose idea the options trading strategy was. In the absence of appropriate cautionary advice, the Plaintiffs decision to accept Klenk's recommendations cannot be considered to be properly informed.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I have found that there was cautionary advice given by Mr. Klenk as I have detailed above. In any event, the risk was obvious and not overlooked by Ms. Mills in her careful and diligent approach to her financial affairs. The options trading strategy was recommended based on Ms. Mills' advice that she wanted to remain in SDL.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At paragraph 142, it is submitted: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Obviously, Mills understood that her portfolio was completely concentrated in securities of SDLI when she opened her account. Knowledge of this fact does not mean she understood the risk. As Mr. Horgan testified under cross-examination, the fact of concentration is easily understood by any investor, but the risks which accompany concentration (company specific risk, sector risk, market risk, other systemic risks) are more subtle and complex, and would not ordinarily be understood by an unsophisticated investor. While anyone can understand that the value of a completely concentrated portfolio will rise and fall in accordance with the underlying share price, an inexperienced investor is unlikely to appreciate that, regardless of how positive the outlook for the stock, a completely concentrated portfolio is inherently high risk, and inappropriate for an investor who is dependant upon their investment capital for income. The Plaintiffs simply lacked the knowledge or experience to evaluate such risks. They relied on Klenk's advice, and justifiably assumed that whatever he recommended would be suitable to their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I have found as a fact that the plaintiffs, in particular Ms. Mills, understood the inherently high risk of staying concentrated in SDL. Ms. Mills was on the ground floor closely following a very volatile stock over a lengthy period. Quite simply, the plaintiffs did not lack the knowledge or experience to evaluate such risks.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In conclusion, I can find no breach of the duty of care by Mr. Klenk and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The plaintiffs made comprehensive submissions on alleged breaches of regulatory provisions by the defendants, particularly in the opening of the plaintiffs' accounts. I need not deal with these submissions because even if made out, those breaches were not causative of the plaintiffs' losses.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xml:space="preserve">  In this regard, the decision in Parks v. Midland Walwyn Capital Inc., </w:t>
      </w:r>
      <w:hyperlink r:id="rId785" w:history="1">
        <w:r>
          <w:rPr>
            <w:rFonts w:ascii="arial" w:eastAsia="arial" w:hAnsi="arial" w:cs="arial"/>
            <w:i/>
            <w:color w:val="0077CC"/>
            <w:sz w:val="20"/>
            <w:u w:val="single"/>
            <w:shd w:val="clear" w:color="auto" w:fill="FFFFFF"/>
            <w:lang w:val="en-US" w:eastAsia="en-US" w:bidi="ar-SA"/>
          </w:rPr>
          <w:t>[1995] O.J. No. 2073</w:t>
        </w:r>
      </w:hyperlink>
      <w:r>
        <w:rPr>
          <w:rFonts w:ascii="arial" w:eastAsia="arial" w:hAnsi="arial" w:cs="arial"/>
          <w:color w:val="000000"/>
          <w:sz w:val="20"/>
          <w:lang w:val="en-US" w:eastAsia="en-US" w:bidi="ar-SA"/>
        </w:rPr>
        <w:t xml:space="preserve"> (Ont. Gen. Div.) is apposite (at [paragraph] 48):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48 Non-compliance with regulations, either as set forth in the Registered Representative's Manual, or in the compliance manual, do not, in and of themselves, give rise to liability on the part of Midland. To approach the analysis of Midland's position from this perspective would be to overlook the responsibility that Mr. Parks must assume for his decisions with respect to his investment strategies. I do not suggest that compliance may be loosely regarded. In this case, the non-compliance, which has been admitted to, is not the cause of Mr. Parks' losses.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xml:space="preserve">  Their loss, in the context of Ms. Mills, arose because of the coming to pass of the risk they knowingly accepted. That is true in the case of Dr. Burns' losses as well. His losses arose out of the trading which he undertook in the risky area of uncovered options trading. Those are losses that did not arise because of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breach of duty on the part of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Once again, because of this conclusion it is not necessary for me to address the plaintiffs' submission in respect of the brokerage houses and their alleged failure to properly supervise Mr. Klenk.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For these reasons as well, I need not deal with the expert evidence called through Mr. Fox and Mr. Horgan. To the extent that Mr. Fox opines that Mr. Klenk's advice was given negligently to Ms. Mills, I agree with Mr. Gudmundseth's submission that Mr. Fox's opinion is based on the central assumption that Ms. Mills did not understand the risks of being concentrated and I of course have found just the opposite to be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While the plaintiffs of course led evidence concerning the mistaken call sale in November 2001 and the failure of Mr. Klenk to sell 1,916 JDS shares in April 2001, these items where not identified in the plaintiffs' theory of damages. Rather, that assessment was based on the premise that Ms. Mills ought to have been warned that the concentration risk in her portfolio was unsuitable and advised to liquidate her holdings to reinvest in a balanced, diversified portfolio.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That being so, I do not intend to look further into any potential damages arising out of these two transactions.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It follows that the plaintiffs' claims are dismissed. The defendants are entitled to costs on Scale 3, unless the parties have further matters to bring to my attention.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BAUMAN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44" style="position:absolute;z-index:25185587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86"/>
          <w:headerReference w:type="default" r:id="rId787"/>
          <w:footerReference w:type="even" r:id="rId788"/>
          <w:footerReference w:type="default" r:id="rId789"/>
          <w:headerReference w:type="first" r:id="rId790"/>
          <w:footerReference w:type="first" r:id="rId79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49" w:history="1">
        <w:r>
          <w:rPr>
            <w:rFonts w:ascii="arial" w:eastAsia="arial" w:hAnsi="arial" w:cs="arial"/>
            <w:b/>
            <w:bCs/>
            <w:i/>
            <w:color w:val="0077CC"/>
            <w:kern w:val="32"/>
            <w:sz w:val="28"/>
            <w:szCs w:val="32"/>
            <w:u w:val="single"/>
            <w:shd w:val="clear" w:color="auto" w:fill="FFFFFF"/>
            <w:lang w:val="en-US" w:eastAsia="en-US" w:bidi="ar-SA"/>
          </w:rPr>
          <w:t>Moses v. Kim, [2007] B.C.J. No. 2693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 Gray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8,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17,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M031647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[2007] B.C.J. No. 2693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2007 BCSC 1820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163 A.C.W.S. (3d) 188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Antoine James Moses, Plaintiff, and Taehun Kim and Aviscar Inc., Defendants, and Insurance Corporation of British Columbia, Third Party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(22 paras.)</w:t>
      </w:r>
    </w:p>
    <w:p>
      <w:pPr>
        <w:spacing w:line="24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[Editor's note: The original reasons for judgment were released September 19, 2007. See </w:t>
      </w:r>
      <w:hyperlink r:id="rId347" w:history="1">
        <w:r>
          <w:rPr>
            <w:rFonts w:ascii="arial" w:eastAsia="arial" w:hAnsi="arial" w:cs="arial"/>
            <w:i/>
            <w:color w:val="0077CC"/>
            <w:sz w:val="18"/>
            <w:u w:val="single"/>
            <w:shd w:val="clear" w:color="auto" w:fill="FFFFFF"/>
            <w:lang w:val="en-US" w:eastAsia="en-US" w:bidi="ar-SA"/>
          </w:rPr>
          <w:t>[2007] B.C.J. No. 2045</w:t>
        </w:r>
      </w:hyperlink>
      <w:r>
        <w:rPr>
          <w:rFonts w:ascii="arial" w:eastAsia="arial" w:hAnsi="arial" w:cs="arial"/>
          <w:color w:val="000000"/>
          <w:sz w:val="18"/>
          <w:lang w:val="en-US" w:eastAsia="en-US" w:bidi="ar-SA"/>
        </w:rPr>
        <w:t>.]</w:t>
      </w:r>
      <w:r>
        <w:rPr>
          <w:rFonts w:ascii="arial" w:eastAsia="arial" w:hAnsi="arial" w:cs="arial"/>
          <w:sz w:val="20"/>
          <w:lang w:val="en-US" w:eastAsia="en-US" w:bidi="ar-SA"/>
        </w:rPr>
        <w:cr/>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45" style="position:absolute;z-index:2517053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98" w:name="Keywords_43"/>
      <w:bookmarkEnd w:id="298"/>
      <w:r>
        <w:rPr>
          <w:rFonts w:ascii="arial" w:eastAsia="arial" w:hAnsi="arial" w:cs="arial"/>
          <w:b/>
          <w:color w:val="000000"/>
          <w:sz w:val="20"/>
          <w:lang w:val="en-US" w:eastAsia="en-US" w:bidi="ar-SA"/>
        </w:rPr>
        <w:t xml:space="preserve">Civil procedure — Costs — Special orders — Where success divided — Plaintiff with serious personal injuries, held 65 percent liable for accident and awarded $215,000 after trial, awarded 90 percent of costs — Defendant's denial of all liability and failure of parties to agree on damages resulted in nine-day trial, most of which dedicated to plaintiff proving his damages — Court considered plaintiff's legal expenses of $118,000, which would leave him with only $127,000 from judgment if awarded only 35 percent of costs according to apportionment of liability — Injustice would result from such a costs award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Act, s. 3(1).</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99" w:name="Case Summary_40"/>
            <w:bookmarkEnd w:id="29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Moses for costs in action against Kim for damages for personal injuries sustained in motor vehicle accident -- Moses, pedestrian, struck by Kim's vehicle as Moses crossed highway -- Moses sustained serious injuries, leaving him unable to be competitively employed -- Kim denied any liability for accident -- Following nine-day trial, only one day of which was dedicated to issues of liability, Moses held 65 percent responsible for accident -- Moses's damages assessed at $623,000 -- Moses ultimately received judgment for $215,000 -- Pursuant to contingency agreement, Moses responsible to pay legal expenses of $118,000 -- Moses sought 100 percent of taxable costs, or $84,000 -- Kim took position Moses entitled to 35 percent of costs to reflect division of liability -- HELD: Application allowed in part -- Moses awarded 90 percent of costs -- Court considered length of trial, seriousness of Moses's injuries, and fact Kim denied all liability at outset -- Moses's legal expenses also considered -- Injustice would result if Moses awarded only 35 percent of costs, leaving him with total recovery of $127,000 -- Because parties did not agree on damages, Moses was called upon to prove damages to recover for his very significant injuries -- Bearing in mind one day spent at trial dealing with liability and finding that Moses was 65 percent liable, Moses entitled to 90 percent of his costs.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00" w:name="Legislation Cited_33"/>
      <w:bookmarkEnd w:id="30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46" style="position:absolute;z-index:2517565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Rules of Court, Rule 37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hyperlink r:id="rId792" w:history="1">
        <w:r>
          <w:rPr>
            <w:rFonts w:ascii="arial" w:eastAsia="arial" w:hAnsi="arial" w:cs="arial"/>
            <w:i/>
            <w:color w:val="0077CC"/>
            <w:sz w:val="20"/>
            <w:u w:val="single"/>
            <w:shd w:val="clear" w:color="auto" w:fill="FFFFFF"/>
            <w:lang w:val="en-US" w:eastAsia="en-US" w:bidi="ar-SA"/>
          </w:rPr>
          <w:t>R.S.B.C. 1996, c. 333, s. 3</w:t>
        </w:r>
      </w:hyperlink>
      <w:r>
        <w:rPr>
          <w:rFonts w:ascii="arial" w:eastAsia="arial" w:hAnsi="arial" w:cs="arial"/>
          <w:color w:val="000000"/>
          <w:sz w:val="20"/>
          <w:lang w:val="en-US" w:eastAsia="en-US" w:bidi="ar-SA"/>
        </w:rPr>
        <w:t>(1)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01" w:name="Counsel_45"/>
      <w:bookmarkEnd w:id="301"/>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47" style="position:absolute;z-index:2518077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Guy J. Collette.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Michael P. Ragona, Q.C.</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02" w:name="Judgment_45"/>
      <w:bookmarkEnd w:id="302"/>
      <w:r>
        <w:pict>
          <v:line id="_x0000_s1248" style="position:absolute;z-index:25185689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Supplemental Reasons for</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Judgment Re: Costs</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4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03" w:name="GRAY J._1"/>
            <w:bookmarkEnd w:id="303"/>
            <w:r>
              <w:rPr>
                <w:rFonts w:ascii="arial" w:eastAsia="arial" w:hAnsi="arial" w:cs="arial"/>
                <w:b/>
                <w:color w:val="000000"/>
                <w:sz w:val="30"/>
                <w:lang w:val="en-US" w:eastAsia="en-US" w:bidi="ar-SA"/>
              </w:rPr>
              <w:t>GRAY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September 11, 2002, Mr. Moses was walking across a highway when he was struck by a car driven by the defendant, Mr. Kim. Mr. Moses was seriously injured. Mr. Moses's claim for damages proceeded to a nine-day trial. In reasons for judgment released September 19, 2007, Mr. Moses's damages were assessed at $623,000. Mr. Moses was held 65% responsible for the accident. Adjusted by an increase for pre-judgment interest and a decrease for what are commonly termed "Part 7 Benefits", Mr. Moses recovered judgment for about $215,000.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outstanding issue is Mr. Moses's application for costs. Mr. Moses seeks 100% of his taxable costs notwithstanding the division of liability. The position of the defence is that Mr. Moses should recover only 35% of his costs, reflecting the division of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PRELIMINARY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defence raised a preliminary issue about the admissibility of evidence tendered on behalf of Mr. Moses. The evidence in question consisted of correspondence between plaintiff's counsel and defence counsel regarding settlement. All of the relevant letters were marked "without prejudice".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There is a general privilege over "without prejudice" communications made in furtherance of settlement. The leading case in British Columbia is </w:t>
      </w:r>
      <w:r>
        <w:rPr>
          <w:rFonts w:ascii="arial" w:eastAsia="arial" w:hAnsi="arial" w:cs="arial"/>
          <w:b/>
          <w:i/>
          <w:color w:val="000000"/>
          <w:sz w:val="20"/>
          <w:lang w:val="en-US" w:eastAsia="en-US" w:bidi="ar-SA"/>
        </w:rPr>
        <w:t>Middelkamp v. Fraser Real Estate Board</w:t>
      </w:r>
      <w:r>
        <w:rPr>
          <w:rFonts w:ascii="arial" w:eastAsia="arial" w:hAnsi="arial" w:cs="arial"/>
          <w:color w:val="000000"/>
          <w:sz w:val="20"/>
          <w:lang w:val="en-US" w:eastAsia="en-US" w:bidi="ar-SA"/>
        </w:rPr>
        <w:t xml:space="preserve"> </w:t>
      </w:r>
      <w:hyperlink r:id="rId793" w:history="1">
        <w:r>
          <w:rPr>
            <w:rFonts w:ascii="arial" w:eastAsia="arial" w:hAnsi="arial" w:cs="arial"/>
            <w:i/>
            <w:color w:val="0077CC"/>
            <w:sz w:val="20"/>
            <w:u w:val="single"/>
            <w:shd w:val="clear" w:color="auto" w:fill="FFFFFF"/>
            <w:lang w:val="en-US" w:eastAsia="en-US" w:bidi="ar-SA"/>
          </w:rPr>
          <w:t>(1992), 71 B.C.L.R. (2d) 276</w:t>
        </w:r>
      </w:hyperlink>
      <w:r>
        <w:rPr>
          <w:rFonts w:ascii="arial" w:eastAsia="arial" w:hAnsi="arial" w:cs="arial"/>
          <w:color w:val="000000"/>
          <w:sz w:val="20"/>
          <w:lang w:val="en-US" w:eastAsia="en-US" w:bidi="ar-SA"/>
        </w:rPr>
        <w:t xml:space="preserve"> (C.A.). While that case recognizes that there may be exceptions to the privilege, such as in cases of fraud, the general rule is that such documents are not admissible.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Defence counsel also relied on </w:t>
      </w:r>
      <w:r>
        <w:rPr>
          <w:rFonts w:ascii="arial" w:eastAsia="arial" w:hAnsi="arial" w:cs="arial"/>
          <w:b/>
          <w:i/>
          <w:color w:val="000000"/>
          <w:sz w:val="20"/>
          <w:lang w:val="en-US" w:eastAsia="en-US" w:bidi="ar-SA"/>
        </w:rPr>
        <w:t>Primrose v. Hanlon</w:t>
      </w:r>
      <w:r>
        <w:rPr>
          <w:rFonts w:ascii="arial" w:eastAsia="arial" w:hAnsi="arial" w:cs="arial"/>
          <w:color w:val="000000"/>
          <w:sz w:val="20"/>
          <w:lang w:val="en-US" w:eastAsia="en-US" w:bidi="ar-SA"/>
        </w:rPr>
        <w:t xml:space="preserve">, </w:t>
      </w:r>
      <w:hyperlink r:id="rId794" w:history="1">
        <w:r>
          <w:rPr>
            <w:rFonts w:ascii="arial" w:eastAsia="arial" w:hAnsi="arial" w:cs="arial"/>
            <w:i/>
            <w:color w:val="0077CC"/>
            <w:sz w:val="20"/>
            <w:u w:val="single"/>
            <w:shd w:val="clear" w:color="auto" w:fill="FFFFFF"/>
            <w:lang w:val="en-US" w:eastAsia="en-US" w:bidi="ar-SA"/>
          </w:rPr>
          <w:t>[1998] B.C.J. No. 2091</w:t>
        </w:r>
      </w:hyperlink>
      <w:r>
        <w:rPr>
          <w:rFonts w:ascii="arial" w:eastAsia="arial" w:hAnsi="arial" w:cs="arial"/>
          <w:color w:val="000000"/>
          <w:sz w:val="20"/>
          <w:lang w:val="en-US" w:eastAsia="en-US" w:bidi="ar-SA"/>
        </w:rPr>
        <w:t xml:space="preserve"> (QL), </w:t>
      </w:r>
      <w:hyperlink r:id="rId794" w:history="1">
        <w:r>
          <w:rPr>
            <w:rFonts w:ascii="arial" w:eastAsia="arial" w:hAnsi="arial" w:cs="arial"/>
            <w:i/>
            <w:color w:val="0077CC"/>
            <w:sz w:val="20"/>
            <w:u w:val="single"/>
            <w:shd w:val="clear" w:color="auto" w:fill="FFFFFF"/>
            <w:lang w:val="en-US" w:eastAsia="en-US" w:bidi="ar-SA"/>
          </w:rPr>
          <w:t>82 A.C.W.S. (3d) 495</w:t>
        </w:r>
      </w:hyperlink>
      <w:r>
        <w:rPr>
          <w:rFonts w:ascii="arial" w:eastAsia="arial" w:hAnsi="arial" w:cs="arial"/>
          <w:color w:val="000000"/>
          <w:sz w:val="20"/>
          <w:lang w:val="en-US" w:eastAsia="en-US" w:bidi="ar-SA"/>
        </w:rPr>
        <w:t xml:space="preserve"> (S.C.). In that case, Beames J. wrote at para. 25 that "[a]s a general proposition, it is clear that settlement correspondence, written on a without prejudice basis, is not admissible for any purpose, including the determination of costs". The court regretfully concluded that none of the informal offers in that case could have any effect on the issue of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this case, there was no suggestion that the settlement correspondence falls within any exception to the privilege. The letters were marked "without prejudice", and there was no suggestion in them that they were sent on a "with prejudice" basis regarding costs. As such, they are inadmissible.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COSTS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Negligence</w:t>
      </w:r>
      <w:r>
        <w:rPr>
          <w:rFonts w:ascii="arial" w:eastAsia="arial" w:hAnsi="arial" w:cs="arial"/>
          <w:b/>
          <w:i/>
          <w:color w:val="000000"/>
          <w:sz w:val="20"/>
          <w:lang w:val="en-US" w:eastAsia="en-US" w:bidi="ar-SA"/>
        </w:rPr>
        <w:t xml:space="preserve"> Act</w:t>
      </w:r>
      <w:r>
        <w:rPr>
          <w:rFonts w:ascii="arial" w:eastAsia="arial" w:hAnsi="arial" w:cs="arial"/>
          <w:color w:val="000000"/>
          <w:sz w:val="20"/>
          <w:lang w:val="en-US" w:eastAsia="en-US" w:bidi="ar-SA"/>
        </w:rPr>
        <w:t xml:space="preserve">, </w:t>
      </w:r>
      <w:hyperlink r:id="rId792" w:history="1">
        <w:r>
          <w:rPr>
            <w:rFonts w:ascii="arial" w:eastAsia="arial" w:hAnsi="arial" w:cs="arial"/>
            <w:i/>
            <w:color w:val="0077CC"/>
            <w:sz w:val="20"/>
            <w:u w:val="single"/>
            <w:shd w:val="clear" w:color="auto" w:fill="FFFFFF"/>
            <w:lang w:val="en-US" w:eastAsia="en-US" w:bidi="ar-SA"/>
          </w:rPr>
          <w:t>R.S.B.C. 1996, c. 333, s. 3</w:t>
        </w:r>
      </w:hyperlink>
      <w:r>
        <w:rPr>
          <w:rFonts w:ascii="arial" w:eastAsia="arial" w:hAnsi="arial" w:cs="arial"/>
          <w:color w:val="000000"/>
          <w:sz w:val="20"/>
          <w:lang w:val="en-US" w:eastAsia="en-US" w:bidi="ar-SA"/>
        </w:rPr>
        <w:t>(1) provides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3(1) Unless the court otherwise directs, the liability for costs of the parties to every action is in the same proportion as their respective liability to make good the damage or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This section was interpreted by the B.C. Court of Appeal in </w:t>
      </w:r>
      <w:r>
        <w:rPr>
          <w:rFonts w:ascii="arial" w:eastAsia="arial" w:hAnsi="arial" w:cs="arial"/>
          <w:b/>
          <w:i/>
          <w:color w:val="000000"/>
          <w:sz w:val="20"/>
          <w:lang w:val="en-US" w:eastAsia="en-US" w:bidi="ar-SA"/>
        </w:rPr>
        <w:t>Flatley v. Denike</w:t>
      </w:r>
      <w:r>
        <w:rPr>
          <w:rFonts w:ascii="arial" w:eastAsia="arial" w:hAnsi="arial" w:cs="arial"/>
          <w:color w:val="000000"/>
          <w:sz w:val="20"/>
          <w:lang w:val="en-US" w:eastAsia="en-US" w:bidi="ar-SA"/>
        </w:rPr>
        <w:t xml:space="preserve"> </w:t>
      </w:r>
      <w:hyperlink r:id="rId795" w:history="1">
        <w:r>
          <w:rPr>
            <w:rFonts w:ascii="arial" w:eastAsia="arial" w:hAnsi="arial" w:cs="arial"/>
            <w:i/>
            <w:color w:val="0077CC"/>
            <w:sz w:val="20"/>
            <w:u w:val="single"/>
            <w:shd w:val="clear" w:color="auto" w:fill="FFFFFF"/>
            <w:lang w:val="en-US" w:eastAsia="en-US" w:bidi="ar-SA"/>
          </w:rPr>
          <w:t>(1997), 32 B.C.L.R. (3d) 97</w:t>
        </w:r>
      </w:hyperlink>
      <w:r>
        <w:rPr>
          <w:rFonts w:ascii="arial" w:eastAsia="arial" w:hAnsi="arial" w:cs="arial"/>
          <w:color w:val="000000"/>
          <w:sz w:val="20"/>
          <w:lang w:val="en-US" w:eastAsia="en-US" w:bidi="ar-SA"/>
        </w:rPr>
        <w:t>. In giving the judgment for the court, McEachern C.J.B.C. stated as follows at paras. 20-22: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 Turning to the question of costs, s. 3, the liability for costs of the parties "... shall be in the same proportion as their respective liability to make good the damage or loss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[21] In cases where the defendant has not suffered damage, the plaintiff is under no liability for costs because the plaintiff's liability, if any, would only be in the same proportion as his or her liability to make good the defendant's damage or loss, of which there is none.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[22] As a result I would hold that in cases such as this, where the defendant suffers no damage or loss, but liability is divided, the defendant must pay the plaintiff the same proportion of the plaintiff's costs as the defendant is liable for the plaintiff's damages, but the plaintiff is not liable to pay any portion of the defendant's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As a result, applying the usual rule, the defendants would be required to pay only 35% of Mr. Moses's costs, and Mr. Moses would not be liable to pay any of the defendants'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 opening words of s. 3(1) of the </w:t>
      </w:r>
      <w:r>
        <w:rPr>
          <w:rFonts w:ascii="arial" w:eastAsia="arial" w:hAnsi="arial" w:cs="arial"/>
          <w:b/>
          <w:i/>
          <w:color w:val="000000"/>
          <w:sz w:val="20"/>
          <w:u w:val="single"/>
          <w:lang w:val="en-US" w:eastAsia="en-US" w:bidi="ar-SA"/>
        </w:rPr>
        <w:t>Negligence</w:t>
      </w:r>
      <w:r>
        <w:rPr>
          <w:rFonts w:ascii="arial" w:eastAsia="arial" w:hAnsi="arial" w:cs="arial"/>
          <w:b/>
          <w:i/>
          <w:color w:val="000000"/>
          <w:sz w:val="20"/>
          <w:lang w:val="en-US" w:eastAsia="en-US" w:bidi="ar-SA"/>
        </w:rPr>
        <w:t xml:space="preserve"> Act</w:t>
      </w:r>
      <w:r>
        <w:rPr>
          <w:rFonts w:ascii="arial" w:eastAsia="arial" w:hAnsi="arial" w:cs="arial"/>
          <w:color w:val="000000"/>
          <w:sz w:val="20"/>
          <w:lang w:val="en-US" w:eastAsia="en-US" w:bidi="ar-SA"/>
        </w:rPr>
        <w:t xml:space="preserve"> give the court discretion to depart from that usual rule. The court has an unqualified discretion to award or refuse costs, even if there has been an apportionment of liability between the parties. However, there must be some reason connected to the case to justify the exercise of discretion to depart from the usual rule: see </w:t>
      </w:r>
      <w:r>
        <w:rPr>
          <w:rFonts w:ascii="arial" w:eastAsia="arial" w:hAnsi="arial" w:cs="arial"/>
          <w:b/>
          <w:i/>
          <w:color w:val="000000"/>
          <w:sz w:val="20"/>
          <w:lang w:val="en-US" w:eastAsia="en-US" w:bidi="ar-SA"/>
        </w:rPr>
        <w:t>Peters v. Davidson</w:t>
      </w:r>
      <w:r>
        <w:rPr>
          <w:rFonts w:ascii="arial" w:eastAsia="arial" w:hAnsi="arial" w:cs="arial"/>
          <w:color w:val="000000"/>
          <w:sz w:val="20"/>
          <w:lang w:val="en-US" w:eastAsia="en-US" w:bidi="ar-SA"/>
        </w:rPr>
        <w:t xml:space="preserve">, </w:t>
      </w:r>
      <w:hyperlink r:id="rId796" w:history="1">
        <w:r>
          <w:rPr>
            <w:rFonts w:ascii="arial" w:eastAsia="arial" w:hAnsi="arial" w:cs="arial"/>
            <w:i/>
            <w:color w:val="0077CC"/>
            <w:sz w:val="20"/>
            <w:u w:val="single"/>
            <w:shd w:val="clear" w:color="auto" w:fill="FFFFFF"/>
            <w:lang w:val="en-US" w:eastAsia="en-US" w:bidi="ar-SA"/>
          </w:rPr>
          <w:t>[1981] 125 D.L.R. (3d) 753</w:t>
        </w:r>
      </w:hyperlink>
      <w:r>
        <w:rPr>
          <w:rFonts w:ascii="arial" w:eastAsia="arial" w:hAnsi="arial" w:cs="arial"/>
          <w:color w:val="000000"/>
          <w:sz w:val="20"/>
          <w:lang w:val="en-US" w:eastAsia="en-US" w:bidi="ar-SA"/>
        </w:rPr>
        <w:t xml:space="preserve"> (BCSC) aff'd </w:t>
      </w:r>
      <w:hyperlink r:id="rId797" w:history="1">
        <w:r>
          <w:rPr>
            <w:rFonts w:ascii="arial" w:eastAsia="arial" w:hAnsi="arial" w:cs="arial"/>
            <w:i/>
            <w:color w:val="0077CC"/>
            <w:sz w:val="20"/>
            <w:u w:val="single"/>
            <w:shd w:val="clear" w:color="auto" w:fill="FFFFFF"/>
            <w:lang w:val="en-US" w:eastAsia="en-US" w:bidi="ar-SA"/>
          </w:rPr>
          <w:t>(1982), 41 B.C.L.R. 330</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 principal consideration for the court is whether an injustice will result by following s. 3(1): see </w:t>
      </w:r>
      <w:r>
        <w:rPr>
          <w:rFonts w:ascii="arial" w:eastAsia="arial" w:hAnsi="arial" w:cs="arial"/>
          <w:b/>
          <w:i/>
          <w:color w:val="000000"/>
          <w:sz w:val="20"/>
          <w:lang w:val="en-US" w:eastAsia="en-US" w:bidi="ar-SA"/>
        </w:rPr>
        <w:t>Forsyth v. Sikorsky Aircraft Corp.</w:t>
      </w:r>
      <w:r>
        <w:rPr>
          <w:rFonts w:ascii="arial" w:eastAsia="arial" w:hAnsi="arial" w:cs="arial"/>
          <w:color w:val="000000"/>
          <w:sz w:val="20"/>
          <w:lang w:val="en-US" w:eastAsia="en-US" w:bidi="ar-SA"/>
        </w:rPr>
        <w:t xml:space="preserve"> </w:t>
      </w:r>
      <w:hyperlink r:id="rId798" w:history="1">
        <w:r>
          <w:rPr>
            <w:rFonts w:ascii="arial" w:eastAsia="arial" w:hAnsi="arial" w:cs="arial"/>
            <w:i/>
            <w:color w:val="0077CC"/>
            <w:sz w:val="20"/>
            <w:u w:val="single"/>
            <w:shd w:val="clear" w:color="auto" w:fill="FFFFFF"/>
            <w:lang w:val="en-US" w:eastAsia="en-US" w:bidi="ar-SA"/>
          </w:rPr>
          <w:t>(2002), 100 B.C.L.R. (3d) 66</w:t>
        </w:r>
      </w:hyperlink>
      <w:r>
        <w:rPr>
          <w:rFonts w:ascii="arial" w:eastAsia="arial" w:hAnsi="arial" w:cs="arial"/>
          <w:color w:val="000000"/>
          <w:sz w:val="20"/>
          <w:lang w:val="en-US" w:eastAsia="en-US" w:bidi="ar-SA"/>
        </w:rPr>
        <w:t xml:space="preserve">, </w:t>
      </w:r>
      <w:hyperlink r:id="rId798" w:history="1">
        <w:r>
          <w:rPr>
            <w:rFonts w:ascii="arial" w:eastAsia="arial" w:hAnsi="arial" w:cs="arial"/>
            <w:i/>
            <w:color w:val="0077CC"/>
            <w:sz w:val="20"/>
            <w:u w:val="single"/>
            <w:shd w:val="clear" w:color="auto" w:fill="FFFFFF"/>
            <w:lang w:val="en-US" w:eastAsia="en-US" w:bidi="ar-SA"/>
          </w:rPr>
          <w:t>2002 BCCA 231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Moore v. Dhillon</w:t>
      </w:r>
      <w:r>
        <w:rPr>
          <w:rFonts w:ascii="arial" w:eastAsia="arial" w:hAnsi="arial" w:cs="arial"/>
          <w:color w:val="000000"/>
          <w:sz w:val="20"/>
          <w:lang w:val="en-US" w:eastAsia="en-US" w:bidi="ar-SA"/>
        </w:rPr>
        <w:t xml:space="preserve"> </w:t>
      </w:r>
      <w:hyperlink r:id="rId799" w:history="1">
        <w:r>
          <w:rPr>
            <w:rFonts w:ascii="arial" w:eastAsia="arial" w:hAnsi="arial" w:cs="arial"/>
            <w:i/>
            <w:color w:val="0077CC"/>
            <w:sz w:val="20"/>
            <w:u w:val="single"/>
            <w:shd w:val="clear" w:color="auto" w:fill="FFFFFF"/>
            <w:lang w:val="en-US" w:eastAsia="en-US" w:bidi="ar-SA"/>
          </w:rPr>
          <w:t>(1993), 85 B.C.L.R. (2d) 69</w:t>
        </w:r>
      </w:hyperlink>
      <w:r>
        <w:rPr>
          <w:rFonts w:ascii="arial" w:eastAsia="arial" w:hAnsi="arial" w:cs="arial"/>
          <w:color w:val="000000"/>
          <w:sz w:val="20"/>
          <w:lang w:val="en-US" w:eastAsia="en-US" w:bidi="ar-SA"/>
        </w:rPr>
        <w:t xml:space="preserve"> (C.A.), Taylor J.A. explained how the usual rule, as s. 3(1) of the </w:t>
      </w:r>
      <w:r>
        <w:rPr>
          <w:rFonts w:ascii="arial" w:eastAsia="arial" w:hAnsi="arial" w:cs="arial"/>
          <w:b/>
          <w:i/>
          <w:color w:val="000000"/>
          <w:sz w:val="20"/>
          <w:u w:val="single"/>
          <w:lang w:val="en-US" w:eastAsia="en-US" w:bidi="ar-SA"/>
        </w:rPr>
        <w:t>Negligence</w:t>
      </w:r>
      <w:r>
        <w:rPr>
          <w:rFonts w:ascii="arial" w:eastAsia="arial" w:hAnsi="arial" w:cs="arial"/>
          <w:b/>
          <w:i/>
          <w:color w:val="000000"/>
          <w:sz w:val="20"/>
          <w:lang w:val="en-US" w:eastAsia="en-US" w:bidi="ar-SA"/>
        </w:rPr>
        <w:t xml:space="preserve"> Act</w:t>
      </w:r>
      <w:r>
        <w:rPr>
          <w:rFonts w:ascii="arial" w:eastAsia="arial" w:hAnsi="arial" w:cs="arial"/>
          <w:color w:val="000000"/>
          <w:sz w:val="20"/>
          <w:lang w:val="en-US" w:eastAsia="en-US" w:bidi="ar-SA"/>
        </w:rPr>
        <w:t xml:space="preserve"> was then construed, might work well in some circumstances but result in an injustice in others (at para. 13):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While the s. 3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rule may work well in cases where liability is divided between defendants only, and where there are cross-claims between plaintiff and defendant, there is potential for injustice when the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rule is applied without exercise of discretion in cases, such as this, where division of fault is as between a successful personal injury plaintiff and a defendant who has suffered no injury or damage, or who has already been fully compensated for any injury or damage suffered. This is demonstrated by the Law of Reform Commission of B.C. in its 1993 report entitled 'Apportionment of Costs and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Section 3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The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rule would plainly work an injustice in the present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authorities demonstrate many factors the court has considered in exercising this discretion. Among them are the following:</w:t>
      </w:r>
      <w:r>
        <w:rPr>
          <w:rFonts w:ascii="arial" w:eastAsia="arial" w:hAnsi="arial" w:cs="arial"/>
          <w:sz w:val="20"/>
          <w:lang w:val="en-US" w:eastAsia="en-US" w:bidi="ar-SA"/>
        </w:rPr>
        <w:cr/>
      </w:r>
    </w:p>
    <w:p>
      <w:pPr>
        <w:numPr>
          <w:numId w:val="1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seriousness of the plaintiff's injuries;</w:t>
      </w:r>
    </w:p>
    <w:p>
      <w:pPr>
        <w:numPr>
          <w:numId w:val="1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difficulties facing the plaintiff in establishing liability;</w:t>
      </w:r>
    </w:p>
    <w:p>
      <w:pPr>
        <w:numPr>
          <w:numId w:val="1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fact that in settlement negotiations the amount offered was substantially below the ultimate amount;</w:t>
      </w:r>
    </w:p>
    <w:p>
      <w:pPr>
        <w:numPr>
          <w:numId w:val="1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 was forced to go to trial to obtain recovery;</w:t>
      </w:r>
    </w:p>
    <w:p>
      <w:pPr>
        <w:numPr>
          <w:numId w:val="1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costs of getting to trial;</w:t>
      </w:r>
    </w:p>
    <w:p>
      <w:pPr>
        <w:numPr>
          <w:numId w:val="1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difficulty and length of the trial;</w:t>
      </w:r>
    </w:p>
    <w:p>
      <w:pPr>
        <w:numPr>
          <w:numId w:val="1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costs recovery available to the plaintiff, if costs are apportioned according to liability, will bear any reasonable relationship to the party's costs in obtaining the results achieved;</w:t>
      </w:r>
    </w:p>
    <w:p>
      <w:pPr>
        <w:numPr>
          <w:numId w:val="1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positions taken by the parties at trial, in particular whether the positions taken were appropriate and reasonable in the circumstances;</w:t>
      </w:r>
    </w:p>
    <w:p>
      <w:pPr>
        <w:numPr>
          <w:numId w:val="1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defendants made any settlement offers;</w:t>
      </w:r>
    </w:p>
    <w:p>
      <w:pPr>
        <w:numPr>
          <w:numId w:val="1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ultimate result of the trial; and</w:t>
      </w:r>
    </w:p>
    <w:p>
      <w:pPr>
        <w:numPr>
          <w:numId w:val="1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whether the plaintiff achieved substantial success that would be effectively defeated if costs were awarded pursuant to s. 3(1) of the </w:t>
      </w:r>
      <w:r>
        <w:rPr>
          <w:rFonts w:ascii="arial" w:eastAsia="arial" w:hAnsi="arial" w:cs="arial"/>
          <w:b/>
          <w:i/>
          <w:color w:val="000000"/>
          <w:sz w:val="20"/>
          <w:u w:val="single"/>
          <w:lang w:val="en-US" w:eastAsia="en-US" w:bidi="ar-SA"/>
        </w:rPr>
        <w:t>Negligence</w:t>
      </w:r>
      <w:r>
        <w:rPr>
          <w:rFonts w:ascii="arial" w:eastAsia="arial" w:hAnsi="arial" w:cs="arial"/>
          <w:b/>
          <w:i/>
          <w:color w:val="000000"/>
          <w:sz w:val="20"/>
          <w:lang w:val="en-US" w:eastAsia="en-US" w:bidi="ar-SA"/>
        </w:rPr>
        <w:t xml:space="preserve">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See </w:t>
      </w:r>
      <w:r>
        <w:rPr>
          <w:rFonts w:ascii="arial" w:eastAsia="arial" w:hAnsi="arial" w:cs="arial"/>
          <w:b/>
          <w:i/>
          <w:color w:val="000000"/>
          <w:sz w:val="20"/>
          <w:lang w:val="en-US" w:eastAsia="en-US" w:bidi="ar-SA"/>
        </w:rPr>
        <w:t>Forsyth, supra,</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Logeman v. Rossa</w:t>
      </w:r>
      <w:r>
        <w:rPr>
          <w:rFonts w:ascii="arial" w:eastAsia="arial" w:hAnsi="arial" w:cs="arial"/>
          <w:color w:val="000000"/>
          <w:sz w:val="20"/>
          <w:lang w:val="en-US" w:eastAsia="en-US" w:bidi="ar-SA"/>
        </w:rPr>
        <w:t xml:space="preserve">, </w:t>
      </w:r>
      <w:hyperlink r:id="rId800" w:history="1">
        <w:r>
          <w:rPr>
            <w:rFonts w:ascii="arial" w:eastAsia="arial" w:hAnsi="arial" w:cs="arial"/>
            <w:i/>
            <w:color w:val="0077CC"/>
            <w:sz w:val="20"/>
            <w:u w:val="single"/>
            <w:shd w:val="clear" w:color="auto" w:fill="FFFFFF"/>
            <w:lang w:val="en-US" w:eastAsia="en-US" w:bidi="ar-SA"/>
          </w:rPr>
          <w:t>[2006] B.C.J. No. 963</w:t>
        </w:r>
      </w:hyperlink>
      <w:r>
        <w:rPr>
          <w:rFonts w:ascii="arial" w:eastAsia="arial" w:hAnsi="arial" w:cs="arial"/>
          <w:color w:val="000000"/>
          <w:sz w:val="20"/>
          <w:lang w:val="en-US" w:eastAsia="en-US" w:bidi="ar-SA"/>
        </w:rPr>
        <w:t xml:space="preserve"> (QL), </w:t>
      </w:r>
      <w:hyperlink r:id="rId800" w:history="1">
        <w:r>
          <w:rPr>
            <w:rFonts w:ascii="arial" w:eastAsia="arial" w:hAnsi="arial" w:cs="arial"/>
            <w:i/>
            <w:color w:val="0077CC"/>
            <w:sz w:val="20"/>
            <w:u w:val="single"/>
            <w:shd w:val="clear" w:color="auto" w:fill="FFFFFF"/>
            <w:lang w:val="en-US" w:eastAsia="en-US" w:bidi="ar-SA"/>
          </w:rPr>
          <w:t>2006 BCSC 692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Moses relied in particular on the following cases:</w:t>
      </w:r>
      <w:r>
        <w:rPr>
          <w:rFonts w:ascii="arial" w:eastAsia="arial" w:hAnsi="arial" w:cs="arial"/>
          <w:sz w:val="20"/>
          <w:lang w:val="en-US" w:eastAsia="en-US" w:bidi="ar-SA"/>
        </w:rPr>
        <w:cr/>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Sayers v. Fediuk</w:t>
      </w:r>
      <w:r>
        <w:rPr>
          <w:rFonts w:ascii="arial" w:eastAsia="arial" w:hAnsi="arial" w:cs="arial"/>
          <w:color w:val="000000"/>
          <w:sz w:val="20"/>
          <w:lang w:val="en-US" w:eastAsia="en-US" w:bidi="ar-SA"/>
        </w:rPr>
        <w:t xml:space="preserve"> </w:t>
      </w:r>
      <w:hyperlink r:id="rId801" w:history="1">
        <w:r>
          <w:rPr>
            <w:rFonts w:ascii="arial" w:eastAsia="arial" w:hAnsi="arial" w:cs="arial"/>
            <w:i/>
            <w:color w:val="0077CC"/>
            <w:sz w:val="20"/>
            <w:u w:val="single"/>
            <w:shd w:val="clear" w:color="auto" w:fill="FFFFFF"/>
            <w:lang w:val="en-US" w:eastAsia="en-US" w:bidi="ar-SA"/>
          </w:rPr>
          <w:t>(1992), 77 B.C.L.R. (2d) 117</w:t>
        </w:r>
      </w:hyperlink>
      <w:r>
        <w:rPr>
          <w:rFonts w:ascii="arial" w:eastAsia="arial" w:hAnsi="arial" w:cs="arial"/>
          <w:color w:val="000000"/>
          <w:sz w:val="20"/>
          <w:lang w:val="en-US" w:eastAsia="en-US" w:bidi="ar-SA"/>
        </w:rPr>
        <w:t>, in which Braidwood J. (as he then was) exercised his discretion to award the plaintiff 100% of costs even though the plaintiff was 15% contributorily negligent for failing to wear a seatbelt;</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Peters v. Davidson, supra,</w:t>
      </w:r>
      <w:r>
        <w:rPr>
          <w:rFonts w:ascii="arial" w:eastAsia="arial" w:hAnsi="arial" w:cs="arial"/>
          <w:color w:val="000000"/>
          <w:sz w:val="20"/>
          <w:lang w:val="en-US" w:eastAsia="en-US" w:bidi="ar-SA"/>
        </w:rPr>
        <w:t xml:space="preserve"> in which the Court of Appeal upheld the trial judge's decision to award the plaintiff 100% of costs even though the plaintiff was 25% responsible for the loss or damage;</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Forsyth v. Sikorsky Aircraft Corp., supra,</w:t>
      </w:r>
      <w:r>
        <w:rPr>
          <w:rFonts w:ascii="arial" w:eastAsia="arial" w:hAnsi="arial" w:cs="arial"/>
          <w:color w:val="000000"/>
          <w:sz w:val="20"/>
          <w:lang w:val="en-US" w:eastAsia="en-US" w:bidi="ar-SA"/>
        </w:rPr>
        <w:t xml:space="preserve"> in which the Court of Appeal upheld the trial judge's decision to award the plaintiffs 100% of costs, to be assessed as 50% of special costs, even though the defendants were only 50% liable for the plaintiffs' losses and three of the four plaintiffs were found to have been contributorily negligent;</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Logeman v. Rossa, supra,</w:t>
      </w:r>
      <w:r>
        <w:rPr>
          <w:rFonts w:ascii="arial" w:eastAsia="arial" w:hAnsi="arial" w:cs="arial"/>
          <w:color w:val="000000"/>
          <w:sz w:val="20"/>
          <w:lang w:val="en-US" w:eastAsia="en-US" w:bidi="ar-SA"/>
        </w:rPr>
        <w:t xml:space="preserve"> in which Sinclair Prowse J. awarded the plaintiff 100% of costs even though she was 35% liable for the general damages. In that case, the dishonesty of the defendants and their choice of a jury trial were factors influencing the court's exercise of discretion.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 considered several cases in which the court either applied the usual rule, or otherwise declined the request of a plaintiff who was partly responsible for the loss for 100% of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Rimmer (Guardian Ad Litem of) v. Langley (Township)</w:t>
      </w:r>
      <w:r>
        <w:rPr>
          <w:rFonts w:ascii="arial" w:eastAsia="arial" w:hAnsi="arial" w:cs="arial"/>
          <w:color w:val="000000"/>
          <w:sz w:val="20"/>
          <w:lang w:val="en-US" w:eastAsia="en-US" w:bidi="ar-SA"/>
        </w:rPr>
        <w:t xml:space="preserve">, </w:t>
      </w:r>
      <w:hyperlink r:id="rId802" w:history="1">
        <w:r>
          <w:rPr>
            <w:rFonts w:ascii="arial" w:eastAsia="arial" w:hAnsi="arial" w:cs="arial"/>
            <w:i/>
            <w:color w:val="0077CC"/>
            <w:sz w:val="20"/>
            <w:u w:val="single"/>
            <w:shd w:val="clear" w:color="auto" w:fill="FFFFFF"/>
            <w:lang w:val="en-US" w:eastAsia="en-US" w:bidi="ar-SA"/>
          </w:rPr>
          <w:t>[2007] B.C.J. No. 487</w:t>
        </w:r>
      </w:hyperlink>
      <w:r>
        <w:rPr>
          <w:rFonts w:ascii="arial" w:eastAsia="arial" w:hAnsi="arial" w:cs="arial"/>
          <w:color w:val="000000"/>
          <w:sz w:val="20"/>
          <w:lang w:val="en-US" w:eastAsia="en-US" w:bidi="ar-SA"/>
        </w:rPr>
        <w:t xml:space="preserve"> (QL), </w:t>
      </w:r>
      <w:hyperlink r:id="rId802" w:history="1">
        <w:r>
          <w:rPr>
            <w:rFonts w:ascii="arial" w:eastAsia="arial" w:hAnsi="arial" w:cs="arial"/>
            <w:i/>
            <w:color w:val="0077CC"/>
            <w:sz w:val="20"/>
            <w:u w:val="single"/>
            <w:shd w:val="clear" w:color="auto" w:fill="FFFFFF"/>
            <w:lang w:val="en-US" w:eastAsia="en-US" w:bidi="ar-SA"/>
          </w:rPr>
          <w:t>2007 BCSC 340</w:t>
        </w:r>
      </w:hyperlink>
      <w:r>
        <w:rPr>
          <w:rFonts w:ascii="arial" w:eastAsia="arial" w:hAnsi="arial" w:cs="arial"/>
          <w:color w:val="000000"/>
          <w:sz w:val="20"/>
          <w:lang w:val="en-US" w:eastAsia="en-US" w:bidi="ar-SA"/>
        </w:rPr>
        <w:t>, Scarth J. applied the usual rule and awarded the plaintiff 60% of his costs of the 14-day trial of the issue of liability. The court had not decided quantum of damages, but the plaintiff alleged that he sustained severe personal injuries. At para. 27, Scarth J. wrote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although the circumstances of this tragic accident touched the hearts of all those who are involved with the trial, the Court must "not penalize the defendant for exercising [its] legitimate right of requiring the plaintiff to prove [his] case and presenting a full and fair defence": </w:t>
      </w:r>
      <w:r>
        <w:rPr>
          <w:rFonts w:ascii="arial" w:eastAsia="arial" w:hAnsi="arial" w:cs="arial"/>
          <w:i/>
          <w:color w:val="000000"/>
          <w:sz w:val="20"/>
          <w:lang w:val="en-US" w:eastAsia="en-US" w:bidi="ar-SA"/>
        </w:rPr>
        <w:t>Wells (Guardian ad litem) v. McBrine</w:t>
      </w:r>
      <w:r>
        <w:rPr>
          <w:rFonts w:ascii="arial" w:eastAsia="arial" w:hAnsi="arial" w:cs="arial"/>
          <w:color w:val="000000"/>
          <w:sz w:val="20"/>
          <w:lang w:val="en-US" w:eastAsia="en-US" w:bidi="ar-SA"/>
        </w:rPr>
        <w:t xml:space="preserve">, </w:t>
      </w:r>
      <w:hyperlink r:id="rId803" w:history="1">
        <w:r>
          <w:rPr>
            <w:rFonts w:ascii="arial" w:eastAsia="arial" w:hAnsi="arial" w:cs="arial"/>
            <w:i/>
            <w:color w:val="0077CC"/>
            <w:sz w:val="20"/>
            <w:u w:val="single"/>
            <w:shd w:val="clear" w:color="auto" w:fill="FFFFFF"/>
            <w:lang w:val="en-US" w:eastAsia="en-US" w:bidi="ar-SA"/>
          </w:rPr>
          <w:t>[1986] B.C.J. No. 3082</w:t>
        </w:r>
      </w:hyperlink>
      <w:r>
        <w:rPr>
          <w:rFonts w:ascii="arial" w:eastAsia="arial" w:hAnsi="arial" w:cs="arial"/>
          <w:color w:val="000000"/>
          <w:sz w:val="20"/>
          <w:lang w:val="en-US" w:eastAsia="en-US" w:bidi="ar-SA"/>
        </w:rPr>
        <w:t xml:space="preserve">, </w:t>
      </w:r>
      <w:hyperlink r:id="rId803" w:history="1">
        <w:r>
          <w:rPr>
            <w:rFonts w:ascii="arial" w:eastAsia="arial" w:hAnsi="arial" w:cs="arial"/>
            <w:i/>
            <w:color w:val="0077CC"/>
            <w:sz w:val="20"/>
            <w:u w:val="single"/>
            <w:shd w:val="clear" w:color="auto" w:fill="FFFFFF"/>
            <w:lang w:val="en-US" w:eastAsia="en-US" w:bidi="ar-SA"/>
          </w:rPr>
          <w:t>70 B.C.L.R. 34</w:t>
        </w:r>
      </w:hyperlink>
      <w:r>
        <w:rPr>
          <w:rFonts w:ascii="arial" w:eastAsia="arial" w:hAnsi="arial" w:cs="arial"/>
          <w:color w:val="000000"/>
          <w:sz w:val="20"/>
          <w:lang w:val="en-US" w:eastAsia="en-US" w:bidi="ar-SA"/>
        </w:rPr>
        <w:t xml:space="preserve"> (S.C.)], at [paragraph] 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 considered the following cases which were not cited by counsel:</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Barnes v. Chow</w:t>
      </w:r>
      <w:r>
        <w:rPr>
          <w:rFonts w:ascii="arial" w:eastAsia="arial" w:hAnsi="arial" w:cs="arial"/>
          <w:color w:val="000000"/>
          <w:sz w:val="20"/>
          <w:lang w:val="en-US" w:eastAsia="en-US" w:bidi="ar-SA"/>
        </w:rPr>
        <w:t xml:space="preserve">, </w:t>
      </w:r>
      <w:hyperlink r:id="rId804" w:history="1">
        <w:r>
          <w:rPr>
            <w:rFonts w:ascii="arial" w:eastAsia="arial" w:hAnsi="arial" w:cs="arial"/>
            <w:i/>
            <w:color w:val="0077CC"/>
            <w:sz w:val="20"/>
            <w:u w:val="single"/>
            <w:shd w:val="clear" w:color="auto" w:fill="FFFFFF"/>
            <w:lang w:val="en-US" w:eastAsia="en-US" w:bidi="ar-SA"/>
          </w:rPr>
          <w:t>[1992] B.C.J. No. 2831</w:t>
        </w:r>
      </w:hyperlink>
      <w:r>
        <w:rPr>
          <w:rFonts w:ascii="arial" w:eastAsia="arial" w:hAnsi="arial" w:cs="arial"/>
          <w:color w:val="000000"/>
          <w:sz w:val="20"/>
          <w:lang w:val="en-US" w:eastAsia="en-US" w:bidi="ar-SA"/>
        </w:rPr>
        <w:t xml:space="preserve"> (QL) (S.C.). Ms. Barnes was held 75% responsible for the accident and the defendant 25%. Damages were assessed at about $48,000, so Ms. Barnes's net award was about $12,000. The court applied the usual rule and awarded the plaintiff 25% of her costs, writing that there were no unusual features to the action to warrant a departure.</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Armstrong v. Oliveira</w:t>
      </w:r>
      <w:r>
        <w:rPr>
          <w:rFonts w:ascii="arial" w:eastAsia="arial" w:hAnsi="arial" w:cs="arial"/>
          <w:color w:val="000000"/>
          <w:sz w:val="20"/>
          <w:lang w:val="en-US" w:eastAsia="en-US" w:bidi="ar-SA"/>
        </w:rPr>
        <w:t xml:space="preserve">, </w:t>
      </w:r>
      <w:hyperlink r:id="rId805" w:history="1">
        <w:r>
          <w:rPr>
            <w:rFonts w:ascii="arial" w:eastAsia="arial" w:hAnsi="arial" w:cs="arial"/>
            <w:i/>
            <w:color w:val="0077CC"/>
            <w:sz w:val="20"/>
            <w:u w:val="single"/>
            <w:shd w:val="clear" w:color="auto" w:fill="FFFFFF"/>
            <w:lang w:val="en-US" w:eastAsia="en-US" w:bidi="ar-SA"/>
          </w:rPr>
          <w:t>[1993] B.C.J. No. 116</w:t>
        </w:r>
      </w:hyperlink>
      <w:r>
        <w:rPr>
          <w:rFonts w:ascii="arial" w:eastAsia="arial" w:hAnsi="arial" w:cs="arial"/>
          <w:color w:val="000000"/>
          <w:sz w:val="20"/>
          <w:lang w:val="en-US" w:eastAsia="en-US" w:bidi="ar-SA"/>
        </w:rPr>
        <w:t xml:space="preserve"> (QL) (S.C.). The plaintiff was found 25% liable for the accident and the defendant 75% responsible. The damages were assessed at about $150,000, on the basis that the plaintiff was suffering from fibromyalgia as a consequence of the accident. Saunders J. (as she then was) applied the usual rule and awarded the plaintiff 75% of her costs, writing that she saw nothing in the case that was extraordinary so as to render an injustice to the plaintiff by applying the usual rule.</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Selles (Guardian ad litem of) v. Ling</w:t>
      </w:r>
      <w:r>
        <w:rPr>
          <w:rFonts w:ascii="arial" w:eastAsia="arial" w:hAnsi="arial" w:cs="arial"/>
          <w:color w:val="000000"/>
          <w:sz w:val="20"/>
          <w:lang w:val="en-US" w:eastAsia="en-US" w:bidi="ar-SA"/>
        </w:rPr>
        <w:t xml:space="preserve">, </w:t>
      </w:r>
      <w:hyperlink r:id="rId806" w:history="1">
        <w:r>
          <w:rPr>
            <w:rFonts w:ascii="arial" w:eastAsia="arial" w:hAnsi="arial" w:cs="arial"/>
            <w:i/>
            <w:color w:val="0077CC"/>
            <w:sz w:val="20"/>
            <w:u w:val="single"/>
            <w:shd w:val="clear" w:color="auto" w:fill="FFFFFF"/>
            <w:lang w:val="en-US" w:eastAsia="en-US" w:bidi="ar-SA"/>
          </w:rPr>
          <w:t>[2000] B.C.J. No. 25</w:t>
        </w:r>
      </w:hyperlink>
      <w:r>
        <w:rPr>
          <w:rFonts w:ascii="arial" w:eastAsia="arial" w:hAnsi="arial" w:cs="arial"/>
          <w:color w:val="000000"/>
          <w:sz w:val="20"/>
          <w:lang w:val="en-US" w:eastAsia="en-US" w:bidi="ar-SA"/>
        </w:rPr>
        <w:t xml:space="preserve"> (QL), </w:t>
      </w:r>
      <w:hyperlink r:id="rId806" w:history="1">
        <w:r>
          <w:rPr>
            <w:rFonts w:ascii="arial" w:eastAsia="arial" w:hAnsi="arial" w:cs="arial"/>
            <w:i/>
            <w:color w:val="0077CC"/>
            <w:sz w:val="20"/>
            <w:u w:val="single"/>
            <w:shd w:val="clear" w:color="auto" w:fill="FFFFFF"/>
            <w:lang w:val="en-US" w:eastAsia="en-US" w:bidi="ar-SA"/>
          </w:rPr>
          <w:t>2000 BCSC 51</w:t>
        </w:r>
      </w:hyperlink>
      <w:r>
        <w:rPr>
          <w:rFonts w:ascii="arial" w:eastAsia="arial" w:hAnsi="arial" w:cs="arial"/>
          <w:color w:val="000000"/>
          <w:sz w:val="20"/>
          <w:lang w:val="en-US" w:eastAsia="en-US" w:bidi="ar-SA"/>
        </w:rPr>
        <w:t>. The infant plaintiff was held 25% responsible for the accident. Drost J. wrote that although the plaintiff successfully recovered an award, he lost on the major issue of whether he suffered a mild traumatic brain injury. The usual rule was applied so that the plaintiffs recovered 75% of their costs with respect to both damages and liability.</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Murao v. Blackcomb Skiing Enterprises Ltd. Partnership</w:t>
      </w:r>
      <w:r>
        <w:rPr>
          <w:rFonts w:ascii="arial" w:eastAsia="arial" w:hAnsi="arial" w:cs="arial"/>
          <w:color w:val="000000"/>
          <w:sz w:val="20"/>
          <w:lang w:val="en-US" w:eastAsia="en-US" w:bidi="ar-SA"/>
        </w:rPr>
        <w:t xml:space="preserve">, </w:t>
      </w:r>
      <w:hyperlink r:id="rId807" w:history="1">
        <w:r>
          <w:rPr>
            <w:rFonts w:ascii="arial" w:eastAsia="arial" w:hAnsi="arial" w:cs="arial"/>
            <w:i/>
            <w:color w:val="0077CC"/>
            <w:sz w:val="20"/>
            <w:u w:val="single"/>
            <w:shd w:val="clear" w:color="auto" w:fill="FFFFFF"/>
            <w:lang w:val="en-US" w:eastAsia="en-US" w:bidi="ar-SA"/>
          </w:rPr>
          <w:t>[2003] B.C.J. No. 2951</w:t>
        </w:r>
      </w:hyperlink>
      <w:r>
        <w:rPr>
          <w:rFonts w:ascii="arial" w:eastAsia="arial" w:hAnsi="arial" w:cs="arial"/>
          <w:color w:val="000000"/>
          <w:sz w:val="20"/>
          <w:lang w:val="en-US" w:eastAsia="en-US" w:bidi="ar-SA"/>
        </w:rPr>
        <w:t xml:space="preserve"> (QL), </w:t>
      </w:r>
      <w:hyperlink r:id="rId807" w:history="1">
        <w:r>
          <w:rPr>
            <w:rFonts w:ascii="arial" w:eastAsia="arial" w:hAnsi="arial" w:cs="arial"/>
            <w:i/>
            <w:color w:val="0077CC"/>
            <w:sz w:val="20"/>
            <w:u w:val="single"/>
            <w:shd w:val="clear" w:color="auto" w:fill="FFFFFF"/>
            <w:lang w:val="en-US" w:eastAsia="en-US" w:bidi="ar-SA"/>
          </w:rPr>
          <w:t>2003 BCSC 1956</w:t>
        </w:r>
      </w:hyperlink>
      <w:r>
        <w:rPr>
          <w:rFonts w:ascii="arial" w:eastAsia="arial" w:hAnsi="arial" w:cs="arial"/>
          <w:color w:val="000000"/>
          <w:sz w:val="20"/>
          <w:lang w:val="en-US" w:eastAsia="en-US" w:bidi="ar-SA"/>
        </w:rPr>
        <w:t>. In that case, the plaintiff was held 15% responsible for the snowboarding accident and the defendant School Board 15%. The resort was held 70% responsible, but the plaintiff had settled with the resort prior to the trial. As a result, the defendant School Board was required to prove the claims against the resort. The plaintiff and the School Board had agreed on many of the items of damages. Sinclair Prowse J. concluded that application of the usual rule was not unjust, and the plaintiff was awarded 15% of his costs from the School Board.</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Graham v. Lee</w:t>
      </w:r>
      <w:r>
        <w:rPr>
          <w:rFonts w:ascii="arial" w:eastAsia="arial" w:hAnsi="arial" w:cs="arial"/>
          <w:color w:val="000000"/>
          <w:sz w:val="20"/>
          <w:lang w:val="en-US" w:eastAsia="en-US" w:bidi="ar-SA"/>
        </w:rPr>
        <w:t xml:space="preserve">, </w:t>
      </w:r>
      <w:hyperlink r:id="rId808" w:history="1">
        <w:r>
          <w:rPr>
            <w:rFonts w:ascii="arial" w:eastAsia="arial" w:hAnsi="arial" w:cs="arial"/>
            <w:i/>
            <w:color w:val="0077CC"/>
            <w:sz w:val="20"/>
            <w:u w:val="single"/>
            <w:shd w:val="clear" w:color="auto" w:fill="FFFFFF"/>
            <w:lang w:val="en-US" w:eastAsia="en-US" w:bidi="ar-SA"/>
          </w:rPr>
          <w:t>[2004] B.C.J. No. 2052</w:t>
        </w:r>
      </w:hyperlink>
      <w:r>
        <w:rPr>
          <w:rFonts w:ascii="arial" w:eastAsia="arial" w:hAnsi="arial" w:cs="arial"/>
          <w:color w:val="000000"/>
          <w:sz w:val="20"/>
          <w:lang w:val="en-US" w:eastAsia="en-US" w:bidi="ar-SA"/>
        </w:rPr>
        <w:t xml:space="preserve"> (QL), </w:t>
      </w:r>
      <w:hyperlink r:id="rId808" w:history="1">
        <w:r>
          <w:rPr>
            <w:rFonts w:ascii="arial" w:eastAsia="arial" w:hAnsi="arial" w:cs="arial"/>
            <w:i/>
            <w:color w:val="0077CC"/>
            <w:sz w:val="20"/>
            <w:u w:val="single"/>
            <w:shd w:val="clear" w:color="auto" w:fill="FFFFFF"/>
            <w:lang w:val="en-US" w:eastAsia="en-US" w:bidi="ar-SA"/>
          </w:rPr>
          <w:t>2004 BCSC 1287</w:t>
        </w:r>
      </w:hyperlink>
      <w:r>
        <w:rPr>
          <w:rFonts w:ascii="arial" w:eastAsia="arial" w:hAnsi="arial" w:cs="arial"/>
          <w:color w:val="000000"/>
          <w:sz w:val="20"/>
          <w:lang w:val="en-US" w:eastAsia="en-US" w:bidi="ar-SA"/>
        </w:rPr>
        <w:t xml:space="preserve"> is a case in which the usual rule was not applied, but neither did the plaintiff recover 100% of his costs. The plaintiff was held 80% liable for the accident. That finding resulted after a trial on the issue of liability, which proceeded about 3 1/2 years prior to the determination of damages. I was not able to find an indication of the length of that first trial, but the quantum issues proceeded to a 2-day trial. The reasons for judgment provide a method for determination of the amount of past lost wages, but do not state the amount. The non-pecuniary damages were assessed at $90,000 and the lost future earning capacity at $125,000, with the plaintiff to recover 20% of those amounts. Smith J. concluded that it would be unjust to apply the usual rule, and awarded the plaintiff 100% of his costs for the liability portion of the trial and 20% of the damages portion.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A case of particular interest is </w:t>
      </w:r>
      <w:r>
        <w:rPr>
          <w:rFonts w:ascii="arial" w:eastAsia="arial" w:hAnsi="arial" w:cs="arial"/>
          <w:b/>
          <w:i/>
          <w:color w:val="000000"/>
          <w:sz w:val="20"/>
          <w:lang w:val="en-US" w:eastAsia="en-US" w:bidi="ar-SA"/>
        </w:rPr>
        <w:t>Bourelle v. Andrychuk</w:t>
      </w:r>
      <w:r>
        <w:rPr>
          <w:rFonts w:ascii="arial" w:eastAsia="arial" w:hAnsi="arial" w:cs="arial"/>
          <w:color w:val="000000"/>
          <w:sz w:val="20"/>
          <w:lang w:val="en-US" w:eastAsia="en-US" w:bidi="ar-SA"/>
        </w:rPr>
        <w:t xml:space="preserve"> </w:t>
      </w:r>
      <w:hyperlink r:id="rId809" w:history="1">
        <w:r>
          <w:rPr>
            <w:rFonts w:ascii="arial" w:eastAsia="arial" w:hAnsi="arial" w:cs="arial"/>
            <w:i/>
            <w:color w:val="0077CC"/>
            <w:sz w:val="20"/>
            <w:u w:val="single"/>
            <w:shd w:val="clear" w:color="auto" w:fill="FFFFFF"/>
            <w:lang w:val="en-US" w:eastAsia="en-US" w:bidi="ar-SA"/>
          </w:rPr>
          <w:t>(1998), 61 B.C.L.R. (3d) 191</w:t>
        </w:r>
      </w:hyperlink>
      <w:r>
        <w:rPr>
          <w:rFonts w:ascii="arial" w:eastAsia="arial" w:hAnsi="arial" w:cs="arial"/>
          <w:color w:val="000000"/>
          <w:sz w:val="20"/>
          <w:lang w:val="en-US" w:eastAsia="en-US" w:bidi="ar-SA"/>
        </w:rPr>
        <w:t xml:space="preserve"> (C.A.). In that case, the verdict of the jury was that the plaintiff was 90% to blame for the accident and the defendant 10%, with damages assessed at around $100,000. The trial judge awarded the plaintiff 100% of costs. On appeal, McEachern C.J.B.C. said as follows at paras. 5 and 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 In my judgment, there are two reasons why we should exercise discretion in favour of the plaintiff, but not to the extent that the trial judge did.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 Firstly, it seems to be clear that the plaintiff has substantially succeeded on the trial in establishing his damages. We also understand from counsel that the time taken at trial for proof of damages was about two thirds of the trial time, and one third was for liability. Using that as a guide, and referring to Rule 57(15) which provides for the distribution of costs in accordance with issues in some circumstances, it is my judgment that it would be proper in this case to reduce the plaintiff's recovery for costs from 100% down to two thirds. No order will be made with respect to the appeal now substantially abandoned by the defendant for the recovery of her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 have taken into account the following facts, having regard to the nature and conduct of the litigation:</w:t>
      </w:r>
      <w:r>
        <w:rPr>
          <w:rFonts w:ascii="arial" w:eastAsia="arial" w:hAnsi="arial" w:cs="arial"/>
          <w:sz w:val="20"/>
          <w:lang w:val="en-US" w:eastAsia="en-US" w:bidi="ar-SA"/>
        </w:rPr>
        <w:cr/>
      </w:r>
    </w:p>
    <w:p>
      <w:pPr>
        <w:numPr>
          <w:numId w:val="5"/>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Mr. Moses suffered serious injuries, and as a result of the injuries is no longer competitively employable. His injuries were far more severe than the injuries in </w:t>
      </w:r>
      <w:r>
        <w:rPr>
          <w:rFonts w:ascii="arial" w:eastAsia="arial" w:hAnsi="arial" w:cs="arial"/>
          <w:b/>
          <w:i/>
          <w:color w:val="000000"/>
          <w:sz w:val="20"/>
          <w:lang w:val="en-US" w:eastAsia="en-US" w:bidi="ar-SA"/>
        </w:rPr>
        <w:t>Barnes</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Armstrong, supra</w:t>
      </w:r>
      <w:r>
        <w:rPr>
          <w:rFonts w:ascii="arial" w:eastAsia="arial" w:hAnsi="arial" w:cs="arial"/>
          <w:color w:val="000000"/>
          <w:sz w:val="20"/>
          <w:lang w:val="en-US" w:eastAsia="en-US" w:bidi="ar-SA"/>
        </w:rPr>
        <w:t xml:space="preserve">. Unlike the plaintiff in </w:t>
      </w:r>
      <w:r>
        <w:rPr>
          <w:rFonts w:ascii="arial" w:eastAsia="arial" w:hAnsi="arial" w:cs="arial"/>
          <w:b/>
          <w:i/>
          <w:color w:val="000000"/>
          <w:sz w:val="20"/>
          <w:lang w:val="en-US" w:eastAsia="en-US" w:bidi="ar-SA"/>
        </w:rPr>
        <w:t>Selles, supra,</w:t>
      </w:r>
      <w:r>
        <w:rPr>
          <w:rFonts w:ascii="arial" w:eastAsia="arial" w:hAnsi="arial" w:cs="arial"/>
          <w:color w:val="000000"/>
          <w:sz w:val="20"/>
          <w:lang w:val="en-US" w:eastAsia="en-US" w:bidi="ar-SA"/>
        </w:rPr>
        <w:t xml:space="preserve"> Mr. Moses did not allege and fail on a significant damages issue;</w:t>
      </w:r>
    </w:p>
    <w:p>
      <w:pPr>
        <w:numPr>
          <w:numId w:val="5"/>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liability was denied, and the defence argued that Mr. Moses was 100% responsible for the accident;</w:t>
      </w:r>
    </w:p>
    <w:p>
      <w:pPr>
        <w:numPr>
          <w:numId w:val="5"/>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trial lasted nine days, with about one day of evidence relating to liability, and about one-half day of argument relating to liability. The defence did not call any evidence at trial;</w:t>
      </w:r>
    </w:p>
    <w:p>
      <w:pPr>
        <w:numPr>
          <w:numId w:val="5"/>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award following trial was for about $215,000;</w:t>
      </w:r>
    </w:p>
    <w:p>
      <w:pPr>
        <w:numPr>
          <w:numId w:val="5"/>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Mr. Moses must pay legal fees pursuant to a contingency agreement amounting to about $67,000 in fees plus about $51,000 in disbursements, for a total payable by him for his legal expense of about $118,000;</w:t>
      </w:r>
    </w:p>
    <w:p>
      <w:pPr>
        <w:numPr>
          <w:numId w:val="5"/>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Mr. Moses's calculation of taxable costs is about $84,000, consisting of about $33,000 on unit items and about $51,000 for disbursements. Although the defendant has not agreed to this calculation and the taxable costs have not been settled by the court, Mr. Moses's calculation provides a rough guide to his likely recovery for costs; and</w:t>
      </w:r>
    </w:p>
    <w:p>
      <w:pPr>
        <w:numPr>
          <w:numId w:val="5"/>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Mr. Moses's award of about $215,000 less the amount payable by him for legal expense of about $118,000 provides that he will receive roughly $97,000 before costs. If Mr. Moses recovered 35% of his taxable costs, his total recovery would be about $127,000, using the rough guide of the plaintiff's draft bill of costs. On that same basis, if Mr. Moses recovered 100% of his costs, at $84,000, his total recovery would be in the range of $180,000.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Moses argued that Mr. Kim's failure to attend at examination for discovery and at trial made his proof of liability more difficult. It required Mr. Moses to call evidence from the defendant rental company regarding Mr. Kim's admission that he was the driver. It is not clear that establishing liability would have been easier overall if Mr. Kim had testified, because Mr. Kim may have given evidence about the events surrounding the collision which was different from Mr. Moses's evidence. On balance, I consider this to be a neutral factor.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Moses also argued that the amount the defence offered in settlement was substantially below the amount of the award. The defence made a formal offer to settle under Rule 37 for $85,000 plus costs, which was less than half the amount awarded. However, the entire settlement background is not available because of the privilege over the "without prejudice" correspondence. Looking only at the formal offer to settle would result in a distorted picture of the settlement negotiations. In these circumstances, the settlement negotiations are a neutral factor.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An injustice will result in this case in following the usual rule under s. 3(1) of the </w:t>
      </w:r>
      <w:r>
        <w:rPr>
          <w:rFonts w:ascii="arial" w:eastAsia="arial" w:hAnsi="arial" w:cs="arial"/>
          <w:b/>
          <w:i/>
          <w:color w:val="000000"/>
          <w:sz w:val="20"/>
          <w:u w:val="single"/>
          <w:lang w:val="en-US" w:eastAsia="en-US" w:bidi="ar-SA"/>
        </w:rPr>
        <w:t>Negligence</w:t>
      </w:r>
      <w:r>
        <w:rPr>
          <w:rFonts w:ascii="arial" w:eastAsia="arial" w:hAnsi="arial" w:cs="arial"/>
          <w:b/>
          <w:i/>
          <w:color w:val="000000"/>
          <w:sz w:val="20"/>
          <w:lang w:val="en-US" w:eastAsia="en-US" w:bidi="ar-SA"/>
        </w:rPr>
        <w:t xml:space="preserve"> Act</w:t>
      </w:r>
      <w:r>
        <w:rPr>
          <w:rFonts w:ascii="arial" w:eastAsia="arial" w:hAnsi="arial" w:cs="arial"/>
          <w:color w:val="000000"/>
          <w:sz w:val="20"/>
          <w:lang w:val="en-US" w:eastAsia="en-US" w:bidi="ar-SA"/>
        </w:rPr>
        <w:t xml:space="preserve">. The parties did not agree on calculation of Mr. Moses's damages, and as a result Mr. Moses was required to prove his damages in order to obtain any recovery for his very significant injuries. In my view, in this case it is appropriate to make an order for costs in the same general way as was ordered in </w:t>
      </w:r>
      <w:r>
        <w:rPr>
          <w:rFonts w:ascii="arial" w:eastAsia="arial" w:hAnsi="arial" w:cs="arial"/>
          <w:b/>
          <w:i/>
          <w:color w:val="000000"/>
          <w:sz w:val="20"/>
          <w:lang w:val="en-US" w:eastAsia="en-US" w:bidi="ar-SA"/>
        </w:rPr>
        <w:t>Bourelle</w:t>
      </w:r>
      <w:r>
        <w:rPr>
          <w:rFonts w:ascii="arial" w:eastAsia="arial" w:hAnsi="arial" w:cs="arial"/>
          <w:color w:val="000000"/>
          <w:sz w:val="20"/>
          <w:lang w:val="en-US" w:eastAsia="en-US" w:bidi="ar-SA"/>
        </w:rPr>
        <w:t>. Bearing in mind the day and a half spent at trial on liability, and the allocation of 65% of liability to Mr. Moses, Mr. Moses is entitled to 90% of his costs on Scale B.</w:t>
      </w:r>
      <w:r>
        <w:rPr>
          <w:rFonts w:ascii="arial" w:eastAsia="arial" w:hAnsi="arial" w:cs="arial"/>
          <w:sz w:val="20"/>
          <w:lang w:val="en-US" w:eastAsia="en-US" w:bidi="ar-SA"/>
        </w:rPr>
        <w:cr/>
      </w:r>
    </w:p>
    <w:p>
      <w:pPr>
        <w:numPr>
          <w:numId w:val="7"/>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GRAY J.</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49" style="position:absolute;z-index:25189683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10"/>
          <w:headerReference w:type="default" r:id="rId811"/>
          <w:footerReference w:type="even" r:id="rId812"/>
          <w:footerReference w:type="default" r:id="rId813"/>
          <w:headerReference w:type="first" r:id="rId814"/>
          <w:footerReference w:type="first" r:id="rId81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16" w:history="1">
        <w:r>
          <w:rPr>
            <w:rFonts w:ascii="arial" w:eastAsia="arial" w:hAnsi="arial" w:cs="arial"/>
            <w:b/>
            <w:bCs/>
            <w:i/>
            <w:color w:val="0077CC"/>
            <w:kern w:val="32"/>
            <w:sz w:val="28"/>
            <w:szCs w:val="32"/>
            <w:u w:val="single"/>
            <w:shd w:val="clear" w:color="auto" w:fill="FFFFFF"/>
            <w:lang w:val="en-US" w:eastAsia="en-US" w:bidi="ar-SA"/>
          </w:rPr>
          <w:t>Patterson v. Hawkes Mortgage Ltd., [2000] B.C.J. No. 1350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Melvin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23,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27,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Victoria Registry No. 2842/97</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[2000] B.C.J. No. 1350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2000 BCSC 997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97 A.C.W.S. (3d) 858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IN THE MATTER OF the Class Proceedings Act, R.S.B.C. 1996, chapter 50 AND IN THE MATTER OF the Trustee Act, R.S.B.C. 1996, chapter 464 AND IN THE MATTER OF the Real Estate Act, R.S.B.C. 1996, chapter 397 AND IN THE MATTER OF Hawkes Mortgage Ltd., British Columbia Incorporation #287628 Between Corry Patterson and Corry Patterson Holdings Ltd., on their own behalf and on behalf of the beneficiaries of declarations of trust in respect of mortgages held by Hawkes Mortgage Ltd., petitioners, and Hawkes Mortgage Ltd., Superintendent of Real Estate, Royal Bank of Canada and Pacific Coast Savings Credit Union, respondents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50" style="position:absolute;z-index:2517063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04" w:name="Keywords_44"/>
      <w:bookmarkEnd w:id="304"/>
      <w:r>
        <w:rPr>
          <w:rFonts w:ascii="arial" w:eastAsia="arial" w:hAnsi="arial" w:cs="arial"/>
          <w:b/>
          <w:color w:val="000000"/>
          <w:sz w:val="20"/>
          <w:lang w:val="en-US" w:eastAsia="en-US" w:bidi="ar-SA"/>
        </w:rPr>
        <w:t>Practice — Persons who can sue and be sued — Individuals and corporations, status or standing — Class or representative actions, validity of company or association acts — Interim proceedings — Preservation of property — Trusts — The trustee — Accounting.</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05" w:name="Case Summary_41"/>
            <w:bookmarkEnd w:id="30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Motion by the representative petitioners in a class action for certain orders relating to a fund maintained by the judicial trustee. The petitioners represented investors who placed money with Hawkes Mortgage. Hawkes issued declarations of trust to the investors and in turn placed the funds in various mortgages. The common issue for the class was the fitness of Hawkes to act as trustee. Allegations were made that the money was imprudently invested. A judicial trustee, United Homes Victoria, was appointed in substitution for Hawkes. United was directed to collect in a separate trust account five per cent of all sums received under the charges. That sum was to allow United a source of funds to do its duties and recover the fullest amount for individual investors. The class litigation was based on the validity of the mortgage investments. Individual investors had brought claims against Hawkes based on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and/or breach of fiduciary duty. The petitioners sought an order that United's accounts be audited, an order authorizing United to use any balance in the five per cent fund to pay lawyers their disbursements in the individual actions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an order that upon completion of the individual actions, the disbursements of those actions would be paid and be a first charge against any monies recoverable.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06" w:name="Holdings of Court_33"/>
            <w:bookmarkEnd w:id="306"/>
            <w:r>
              <w:rPr>
                <w:rFonts w:ascii="arial" w:eastAsia="arial" w:hAnsi="arial" w:cs="arial"/>
                <w:color w:val="000000"/>
                <w:sz w:val="20"/>
                <w:lang w:val="en-US" w:eastAsia="en-US" w:bidi="ar-SA"/>
              </w:rPr>
              <w:t>HELD: Motion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An accounting at this stage was appropriate and ordered. The individual actions based on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and/or breach of fiduciary duty were completely separate and distinct from the class action proceedings. Each action was fact driven. It was inappropriate for the court to order that the funds generated by the previous order be used to finance causes of action that may be unrelated to the essential validity of the mortgage investments. Accordingly, no order was made authorizing payment from the fund for those actions.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07" w:name="Legislation Cited_34"/>
      <w:bookmarkEnd w:id="30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51" style="position:absolute;z-index:2517575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Class Proceedings Act, </w:t>
      </w:r>
      <w:r>
        <w:rPr>
          <w:rFonts w:ascii="arial" w:eastAsia="arial" w:hAnsi="arial" w:cs="arial"/>
          <w:i/>
          <w:color w:val="000000"/>
          <w:sz w:val="20"/>
          <w:lang w:val="en-US" w:eastAsia="en-US" w:bidi="ar-SA"/>
        </w:rPr>
        <w:t>R.S.B.C. 1996, c. 50</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Real Estate Act, </w:t>
      </w:r>
      <w:hyperlink r:id="rId817" w:history="1">
        <w:r>
          <w:rPr>
            <w:rFonts w:ascii="arial" w:eastAsia="arial" w:hAnsi="arial" w:cs="arial"/>
            <w:i/>
            <w:color w:val="0077CC"/>
            <w:sz w:val="20"/>
            <w:u w:val="single"/>
            <w:shd w:val="clear" w:color="auto" w:fill="FFFFFF"/>
            <w:lang w:val="en-US" w:eastAsia="en-US" w:bidi="ar-SA"/>
          </w:rPr>
          <w:t>R.S.B.C. 1996, c. 397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Trustee Act, </w:t>
      </w:r>
      <w:r>
        <w:rPr>
          <w:rFonts w:ascii="arial" w:eastAsia="arial" w:hAnsi="arial" w:cs="arial"/>
          <w:i/>
          <w:color w:val="000000"/>
          <w:sz w:val="20"/>
          <w:lang w:val="en-US" w:eastAsia="en-US" w:bidi="ar-SA"/>
        </w:rPr>
        <w:t>R.S.B.C. 1996, c. 464</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08" w:name="Counsel_46"/>
      <w:bookmarkEnd w:id="308"/>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52" style="position:absolute;z-index:2518087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R.S. Gill, for the petitioners. R.T.C. Johnston, Q.C., for United Homes Victoria Ltd., Judicial Trustee. P.G. Guy, for Pamela Beecroft. G.C. Blanchard, for Hawkes Mortgage Ltd.</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09" w:name="Judgment_46"/>
      <w:bookmarkEnd w:id="309"/>
      <w:r>
        <w:pict>
          <v:line id="_x0000_s1253" style="position:absolute;z-index:25185792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7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10" w:name="MELVIN J._0"/>
            <w:bookmarkEnd w:id="310"/>
            <w:r>
              <w:rPr>
                <w:rFonts w:ascii="arial" w:eastAsia="arial" w:hAnsi="arial" w:cs="arial"/>
                <w:b/>
                <w:color w:val="000000"/>
                <w:sz w:val="30"/>
                <w:lang w:val="en-US" w:eastAsia="en-US" w:bidi="ar-SA"/>
              </w:rPr>
              <w:t>MELVIN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By their notice of motion issued June 2, 2000, the petitioners seek three orders:</w:t>
      </w:r>
      <w:r>
        <w:rPr>
          <w:rFonts w:ascii="arial" w:eastAsia="arial" w:hAnsi="arial" w:cs="arial"/>
          <w:sz w:val="20"/>
          <w:lang w:val="en-US" w:eastAsia="en-US" w:bidi="ar-SA"/>
        </w:rPr>
        <w:cr/>
      </w:r>
    </w:p>
    <w:p>
      <w:pPr>
        <w:numPr>
          <w:numId w:val="1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that the accounts of the judicial trustee (United Homes Victoria Ltd.) be audited, taken and passed before the Registrar of this court in Victoria;</w:t>
      </w:r>
    </w:p>
    <w:p>
      <w:pPr>
        <w:numPr>
          <w:numId w:val="1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that paragraph 39 of an order of this court dated October 27, 1997 be varied by providing that the trustee be authorized and directed to utilize any balance in the fund created thereby to pay to certain barristers and solicitors their reasonable and necessary disbursements in the course of pursuing actions for damages on behalf of any member of the class in this proceedings against Hawkes Mortgage Ltd., Douglas Hawkes or Pamela June Beecroft; and</w:t>
      </w:r>
    </w:p>
    <w:p>
      <w:pPr>
        <w:numPr>
          <w:numId w:val="1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that upon completion of any action for damages as mentioned above, the disbursements of that action would be paid pursuant to this order and be a first charge against any costs or damages recoverable.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Some brief background is required to consider the nature and extent of the notice of motion of the petitioners.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Hawkes Mortgage Ltd. was an investment company who received investments from various individuals, issued trust declarations to these individuals, and then in turn, placed the individuals' funds in separate mortgages throughout the Province of British Columbia. Hawkes Mortgage Ltd., suffered financial reverses in 1997 and as a result certain orders of this court were made. In particular, on October 27, 1997, this court ordered that the proceeding be certified as a class proceeding within the meaning of the Class Proceedings Act, and that the petitioners be appointed representative petitioners on behalf of the beneficiaries of declarations of trust in respect of mortgages and other charges held by Hawkes Mortgage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common issue for the class is the fitness of Hawkes Mortgage Ltd. to act as trustee and the selection and appointment of a suitable trustee to accept the court's appointment as judicial trustee in the event Hawkes Mortgage Ltd. is removed. In accordance with other terms of that order, United Homes Victoria Ltd. was appointed trustee as substitution for Hawkes Mortgage Ltd. of a number of mortgages, assignments of rents, and other charges which are set forth in annexure to that order. The order further authorized the now trustee to investigate and review the affairs of Hawkes Mortgage Ltd. and report to the court. The order further contemplated a variety of subject matters which are of some necessity in terms of a class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order then, in paragraph 39, specifically ordered that the trustee was authorized and directed to collect and maintain in a separate account the sum of 5% of all sums received on account of interest, principal, penalties, costs or any and all other payments owing or accruing due under the charges, to be held in trust for payment of a number of identified charges.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This clause was inserted in the order under consideration due to the nature of the investments made by Hawkes Mortgage Ltd. and the status of each of the investments. It would appear that a number of investments in mortgages by Hawkes on behalf of individual investors were appropriate and the investors will receive their funds. It would appear that other investments by Hawkes Mortgage Ltd. in mortgages will result in a questionable return to the investors of their investments and some investors will not recover the full amount of their investment. One example referred to by counsel on behalf of the petitioners during the course of the proceedings demonstrated a mortgage granted by Hawkes in the amount of approximately $800,000.00 with an appraised value of the property of approximately $80,000.00.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Because it is necessary to investigate each mortgage transaction; to obtain appraisals on mortgage transactions to determine whether or not there should be foreclosure proceedings; to determine whether or not there should be litigation on covenants; and to overall investigate the accounts of Hawkes Mortgage Ltd., it was necessary for the trustee to have a source of funds. In some instances, expenditures made on behalf of the trustee to obtain appraisals resulted in appraisals being obtained which demonstrated that the amount of the investment is considerably greater than the appraised value of the property. Under these circumstances, in the event an individual mortgage is isolated and the investors associated therewith also isolated, the trustee would not be able to recover the amount of the disbursement for the appraisal ordered in order to investigate the status of the mortgage under consideration. Due to that difficulty, it became clear that the trustee needed a source of funds in order to pursue its duties and do the best it could in order to recover the fullest amount for the individual investors. Consequently, paragraph 39 of the order authorized 5% of all sums received as previously stated.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Paragraph 39 ordered that the payments of 5% be held in trust for payment of the petitioners' costs, costs of the trustee under any charges imposed by the Director of Waste Management, cost of certain respondents in relation to steps taken by them under a prior order of the court, the necessary and reasonable disbursements of the petitioners, at the discretion of the chairman of the committee of investors, remuneration not to exceed $200.00 per diem, and finally, "any balance remaining in the fund shall be distributed by the Trustee to the members of the class in proportion to their interest, calculated according to the amount recovered in respect of each Charge".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At this stage, pursuant to the notice of motion above referred to, the petitioners seek the accounting as sought which, in my view, is appropriate and the order will go in the terms sought in the notice of motion as an interim passing of accounts. Secondly, they seek to expand upon paragraph 39 to authorize the fund which is obtained on behalf of all the investors to be utilized to cover disbursements in separate lawsuits against Hawkes Mortgage Ltd. and its principals based upon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and/or breach of fiduciary duty to the individual investors.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 litigation against Hawkes Mortgage Ltd. based on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fiduciary duty is unrelated to the charges themselves. It is a separate cause of action which may accrue in relation to any particular investment by any particular investor with Hawkes.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furtherance of the desire of the petitioners, notice was sent out to the investors who were asked to answer, by indicating yes or no to questions, whether or not they were in favour of participating in separate legal actions against Hawkes Mortgage Ltd. in relation to their investment. Without going into the detail of the questions asked and the answers obtained and their tabulation, it would appear that approximately 48.5% of the investors wished to proceed or at least were interested in proceeding in action against Hawkes Mortgage and its principals based on this new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my opinion, that process is completely separate and distinct from the class action proceedings which have been undertaken to date. Each plaintiff must assess his or her chances of success based on negligent representation and/or breach of fiduciary duty. It may very well be that a number of questions are common to the proposed 39 Supreme Court actions; for example, what is the duty of care of a mortgage broker. That may simply be a question of law; the answer to which applies to all 39 actions. Whether or not there has been a breach of that duty or whether or not there has been a negligent misstatement, or negligent misrepresentation of fact which would give a cause of action, will be dependent upon the evidence as it relates to each investment by each investor with Hawkes. In that respect, in my view, each action is, in many respects, fact-driven. Each investor has the right to decide whether he or she, or a combination of those in relation to each individual investment, may decide to commence proceedings. Other investors may not wish to participate in that process. By becoming involved in the process, as plaintiffs in an action against Hawkes Mortgage Ltd. and its principals, they may be exposed to legal costs which, bearing in mind their initial investment, and their likely return in relation to the actions of the trustee in recovering mortgage proceeds, may not justify the litigation costs or the risk associated therewith.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my opinion, it would be inappropriate for this court to order that the funds generated by the order of October 27, 1997 to pay the costs identified in paragraph 39 be used to finance causes of action which may be unrelated to the essential validity of the mortgage investments. This would be an unwarranted extension of the powers of the trustee. Consequently, the application for relief in terms of items 2 and 3 of the notice of motion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MELVIN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54" style="position:absolute;z-index:25189785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18"/>
          <w:headerReference w:type="default" r:id="rId819"/>
          <w:footerReference w:type="even" r:id="rId820"/>
          <w:footerReference w:type="default" r:id="rId821"/>
          <w:headerReference w:type="first" r:id="rId822"/>
          <w:footerReference w:type="first" r:id="rId82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24" w:history="1">
        <w:r>
          <w:rPr>
            <w:rFonts w:ascii="arial" w:eastAsia="arial" w:hAnsi="arial" w:cs="arial"/>
            <w:b/>
            <w:bCs/>
            <w:i/>
            <w:color w:val="0077CC"/>
            <w:kern w:val="32"/>
            <w:sz w:val="28"/>
            <w:szCs w:val="32"/>
            <w:u w:val="single"/>
            <w:shd w:val="clear" w:color="auto" w:fill="FFFFFF"/>
            <w:lang w:val="en-US" w:eastAsia="en-US" w:bidi="ar-SA"/>
          </w:rPr>
          <w:t>Pohl v. Greater Vancouver Transportation Authority, [2007] B.C.J. No. 1778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Frankel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12 - 13 and May 22,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10,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S066138</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[2007] B.C.J. No. 1778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2007 BCSC 1201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49 C.C.L.T. (3d) 278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160 A.C.W.S. (3d) 915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2007 CarswellBC 1835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Hedda Pohl, Plaintiff, and Greater Vancouver Transportation Authority, doing business as Translink, Behrooz Fazlali, and Coast Mountain Bus Company Ltd.,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55" style="position:absolute;z-index:2517073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11" w:name="Keywords_45"/>
      <w:bookmarkEnd w:id="311"/>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vehicles — Liability of driver — Action by bus passenger against driver and owner/operator dismissed — Driver acted reasonably in checking rearview mirror to ensure all passengers seated before starting bus in motion — Driver started off in normal fashion — Elderly passenger who fell when bus took off as she was changing seats failed to realize bus was leaving because she was talking to friend — Evidence from passenger and her friends on bus overstated evidence regarding bus taking off with jerk.</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12" w:name="Case Summary_42"/>
            <w:bookmarkEnd w:id="31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Pohl, seeking damages for personal injuries from bus driver and owner/operator of bus, for personal injuries sustained as passenger -- Pohl, 69 year old, boarded bus -- Was in process of changing seats when bus pulled away -- Pohl testified she did not hear engine running or front door of bus closing -- Pohl fell to floor, on top of her friend, and was helped up by other passenger -- Pohl's companion on bus trip provided same evidence -- Friend testified she was unhurt but Pohl clearly was hurt -- Another friend also testified bus took off suddenly with jerk -- Bus driver testified he started engine when he saw in rearview mirror that all passengers seated -- Put bus in gear and started to drive -- When he saw Pohl and her friend on floor, driver stopped bus and assisted them to seats -- Driver claimed both said they were fine and did not need ambulance -- Driver testified he knew Pohl was elderly and would not have driven away had she not had a seat -- Pohl conceded no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if driver checked rearview mirror before setting bus in motion -- HELD: Action dismissed -- Although some of what driver recollected may have been his usual practice rather than what actually happened on date Pohl was riding bus, this did not mean he did not actually check rearview mirror -- Pohl and her friends overstated what happened when bus started to move -- Court satisfied driver took off in normal fashion after checking mirror to ensure passengers were seated -- Because Pohl was talking to friend, she was unaware bus was about to move -- Driver acted as reasonably prudent driver would be expected to act in circumstances -- No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proven.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13" w:name="Counsel_47"/>
      <w:bookmarkEnd w:id="31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56" style="position:absolute;z-index:2517585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Michael A. McGregor.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Kerri D. Duncan.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14" w:name="Judgment_47"/>
      <w:bookmarkEnd w:id="314"/>
      <w:r>
        <w:pict>
          <v:line id="_x0000_s1257" style="position:absolute;z-index:251809792"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0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15" w:name="FRANKEL J._0"/>
            <w:bookmarkEnd w:id="315"/>
            <w:r>
              <w:rPr>
                <w:rFonts w:ascii="arial" w:eastAsia="arial" w:hAnsi="arial" w:cs="arial"/>
                <w:b/>
                <w:color w:val="000000"/>
                <w:sz w:val="30"/>
                <w:lang w:val="en-US" w:eastAsia="en-US" w:bidi="ar-SA"/>
              </w:rPr>
              <w:t>FRANKEL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October 1, 2004, Hedda Pohl, who was then nearly 70 years of age, spent a pleasant day with friends having lunch and enjoying some of the other amenities offered on Grouse Mountain in North Vancouver. At the end of their outing they took the gondola down, and boarded a waiting bus to begin the trip back to their respective homes. As the bus pulled away Mrs. Pohl was in the process of changing seats. She fell to the floor, sustaining a number of injuries, particularly ones affecting her mobility.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Mrs. Pohl seeks damages from the driver of the bus, Behrooz Fazlali, and its owner/operator, Translink and Coast Mountain Bus Company Ltd. She claims Mr. Fazlali was negligent in putting the bus into motion without first checking to ensure that everyone was seated.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At the conclusion of the evidence I requested counsel to address the issue of liability first. For the reasons that follow I have concluded that the defendants were not negligent and that this action should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Mrs. Pohl testified and called the friends who had been with her that day, Jeannette Steiner and Ursula White. The defendants called Mr. William Koen, a long-time Coast Mountain employee. Mr. Koen is involved in training bus drivers, and is familiar with company policies and operating procedures. Mr. Fazlali also gave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 will state now that I am disregarding the evidence tendered by the defendants regarding two purported reconstructions of the accident, one in March of 2007, and the other in April. On the first occasion, Mr. Koen and Mr. Fazlali, accompanied by Ms. Duncan, counsel for the defendants, and a representative from the bus company's claims department, went to Grouse Mountain to conduct acceleration tests with a bus of the same model as the one used on October 1st. In essence, Mr. Koen asked Mr. Fazlali to repeat what he recalled doing that day. The second test was more limited, and involved accelerating with the wheels turned at various angles. It took place at a bus terminal in North Vancouver using yet another bus. This was after Mr. Koen and Mr. Fazlali had been examined for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 do not find this evidence at all helpful. It is clearly not independent. The actual bus involved was not used. There is no way of telling whether those used were in the same mechanical condition as the one involved in the accident. Further, Mr. Koen acknowledged this was the first time he had been asked to conduct such tests. In effect, what was done amounts to nothing more that an effort to build support for Mr. Fazlali's anticipated testimony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 do not, however, attribute any improper motive to the defendants, or to Mr. Koen. There is nothing indicating that these re-enactments were conducted for the purpose of misleading the Court. Accordingly, that they took place has had no impact on my evaluation of the other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Plaintiff's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Mrs. Pohl testified that prior to the accident she regularly used buses. She knows bus rides can be rocky, and for this reason is always careful. On October 1st she boarded by showing her bus pass to the driver. The bus was not full, and seats were available. She did not take the first available seat because she likes to sit close to the rear exit. She sat in the window seat in the fourth row on the left-hand side. Mrs. Steiner sat immediately to her right in the aisle seat. Mrs. White sat one or two rows in front of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Mrs. Pohl and Mrs. Steiner engaged in conversation for perhaps one or two minutes. Due to a pre-existing neck problem Mrs. Pohl has trouble turning her head to the right. In order to be able to converse more easily on the 25 minute ride that was to come she asked Mrs. Steiner to change places with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Mrs. Steiner got up and stepped into the aisle facing forward. Mrs. Pohl got out facing her. Mrs. Pohl does not recall hearing the bus's engine running, or the front door closing.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Mrs. Pohl says that just as she stepped into the aisle the bus took off abruptly, "like a Concorde" or "rocket", causing her and Mrs. Steiner to fall heavily to the floor, with Mrs. Pohl on top. She said it was as if someone had pulled a rug out from under them at high speed.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Mrs. Pohl felt as if she was paralyzed. She was helped up, possibly by a passenger. Mr. Fazlali suggested that a supervisor be called when the bus reached its termination point at Lonsdale Quay. Two supervisors came. An ambulance was called and Mrs. Pohl was taken to Lions Gate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Mrs. Steiner's testimony is to the same effect. She stated they had been on the bus, which was not full, for perhaps one or two minutes before changing seats. She did not hear the bus start or the front door close. As Mrs. Pohl was stepping into the aisle the bus "took off all of a sudden" and both of them fell to the floor. Mrs. Steiner landed on her back with Mrs. Pohl on top of her. She could tell immediately Mrs. Pohl had been injured. Mrs. Steiner was not hurt.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Mrs. White testified that the bus was not full, and that everyone had a seat. She did not see her friends fall and was not aware they were changing seats. She said the bus started to move with a "jerk", and that had she been standing she too would have fallen.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Defendants'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Koen has been employed by Coast Mountain or its predecessor since 1990. He is currently a full-time driving instructor, with authority to issue licences. He described the training program taken by all Coast Mountain bus drivers. Safety is a priority, and drivers are instructed to be sensitive to the needs of passengers.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Koen explained the difference between a "terminus" and an "in service" situation. Grouse Mountain is a terminus, meaning that it is either the beginning or the end of a run. Buses are shut off at a terminus, and there is normally a delay of 10 to 15 minutes, providing drivers with an opportunity for a break. In service refers to when a bus is travelling along its route. Passengers entering or leaving a bus at a terminus have more time to do so than at in service stops.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Mr. Koen's attention was directed to Chapter 2.13 of Coast Mountain's </w:t>
      </w:r>
      <w:r>
        <w:rPr>
          <w:rFonts w:ascii="arial" w:eastAsia="arial" w:hAnsi="arial" w:cs="arial"/>
          <w:i/>
          <w:color w:val="000000"/>
          <w:sz w:val="20"/>
          <w:lang w:val="en-US" w:eastAsia="en-US" w:bidi="ar-SA"/>
        </w:rPr>
        <w:t>Operators Policy &amp; Procedures Handbook</w:t>
      </w:r>
      <w:r>
        <w:rPr>
          <w:rFonts w:ascii="arial" w:eastAsia="arial" w:hAnsi="arial" w:cs="arial"/>
          <w:color w:val="000000"/>
          <w:sz w:val="20"/>
          <w:lang w:val="en-US" w:eastAsia="en-US" w:bidi="ar-SA"/>
        </w:rPr>
        <w:t xml:space="preserve"> (May 2000), which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Mobility Impaired Customers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Normally, buses in service are not required to wait for customers to be seated before proceeding, as sufficient handholds, straps, and stanchions have been provided to allow secure standing. However, upon boarding, customers who are obviously in the following categories </w:t>
      </w:r>
      <w:r>
        <w:rPr>
          <w:rFonts w:ascii="arial" w:eastAsia="arial" w:hAnsi="arial" w:cs="arial"/>
          <w:i/>
          <w:color w:val="000000"/>
          <w:sz w:val="20"/>
          <w:lang w:val="en-US" w:eastAsia="en-US" w:bidi="ar-SA"/>
        </w:rPr>
        <w:t>should be allowed an opportunity to find seating</w:t>
      </w:r>
      <w:r>
        <w:rPr>
          <w:rFonts w:ascii="arial" w:eastAsia="arial" w:hAnsi="arial" w:cs="arial"/>
          <w:color w:val="000000"/>
          <w:sz w:val="20"/>
          <w:lang w:val="en-US" w:eastAsia="en-US" w:bidi="ar-SA"/>
        </w:rPr>
        <w:t>:</w:t>
      </w:r>
    </w:p>
    <w:p>
      <w:pPr>
        <w:numPr>
          <w:numId w:val="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mobility impaired either by age or disability</w:t>
      </w:r>
    </w:p>
    <w:p>
      <w:pPr>
        <w:numPr>
          <w:numId w:val="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carrying a child or otherwise restricted from holding on</w:t>
      </w:r>
    </w:p>
    <w:p>
      <w:pPr>
        <w:numPr>
          <w:numId w:val="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obviously impaired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Advise persons in these categories to hold on as they proceed through the vehicle and take, and remain, in the first available seating until the vehicle stops at their intended destination.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7946"/>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778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in original]</w:t>
            </w:r>
          </w:p>
        </w:tc>
        <w:tc>
          <w:tcPr>
            <w:tcW w:w="245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He stated that this provision only relates to in service situations. As there is more time for passengers to find a seat at a terminus there is no need to tell them to take the first available one. They can sit where they choose. There is no policy to tell people where to sit. Rather, they are to be given an opportunity to find a seat and can change seats if they wish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As shown in several photographs tendered in evidence, buses are fitted with interior mirrors providing drivers with a view of the passenger area - in this case where Mrs. Pohl and Mrs. Steiner were sitting. Drivers are trained to check this mirror before changing momentum, e.g., accelerating or stopping.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Fazlali testified that he has been driving for Coast Mountain since November, 2000, and has driven the Grouse Mountain route many times. He has been involved in a few minor accidents. On October 1st he had been working for approximately one-half hour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At Grouse Mountain the bus is shut down, and he is able to leave it for up to ten minutes, with the door closed. Approximately two to three minutes before the scheduled departure time the bus is pulled up to the bus pole (or pin), the engine shut off, and the front door opened to allow passengers to board. During the boarding process Mr. Fazlali sits facing the door.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Fazlali said that after all passengers had boarded he saw that everyone was seated. The bus was not full. He put his seat belt on and started the engine. With his foot on the brake pedal he put the bus into gear before releasing the handbrake. In accordance with his usual practice he then glanced up at the interior mirror. Seeing that all passengers were seated he took his foot off the brake which allowed the bus to begin moving forward.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After travelling a short distance he heard a noise and stopped. He saw Mrs. Pohl and Mrs. Steiner on the floor. He assisted them to their seats. They told him they had been changing seats, were fine, and did not need an ambulance. Mr. Fazlali then drove away, reporting the incident to Coast Mountain by radio.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Fazlali said he recognized Mrs. Pohl as an elderly person when she boarded. He is aware such persons need more time to find a seat, and sometimes may need assistance. It is not his practice to tell an elderly person to take the first available seat. If they do not sit down, then he will ask them to do so. If it is necessary, then he will ask another passenger to make a courtesy seat available.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As in several of the cases to which I was referred, the parties here are agreed as to the legal principles. These were conveniently summarized by Barrow J. in </w:t>
      </w:r>
      <w:r>
        <w:rPr>
          <w:rFonts w:ascii="arial" w:eastAsia="arial" w:hAnsi="arial" w:cs="arial"/>
          <w:b/>
          <w:i/>
          <w:color w:val="000000"/>
          <w:sz w:val="20"/>
          <w:lang w:val="en-US" w:eastAsia="en-US" w:bidi="ar-SA"/>
        </w:rPr>
        <w:t>McNaught v. Alblas</w:t>
      </w:r>
      <w:r>
        <w:rPr>
          <w:rFonts w:ascii="arial" w:eastAsia="arial" w:hAnsi="arial" w:cs="arial"/>
          <w:color w:val="000000"/>
          <w:sz w:val="20"/>
          <w:lang w:val="en-US" w:eastAsia="en-US" w:bidi="ar-SA"/>
        </w:rPr>
        <w:t xml:space="preserve">, </w:t>
      </w:r>
      <w:hyperlink r:id="rId825" w:history="1">
        <w:r>
          <w:rPr>
            <w:rFonts w:ascii="arial" w:eastAsia="arial" w:hAnsi="arial" w:cs="arial"/>
            <w:i/>
            <w:color w:val="0077CC"/>
            <w:sz w:val="20"/>
            <w:u w:val="single"/>
            <w:shd w:val="clear" w:color="auto" w:fill="FFFFFF"/>
            <w:lang w:val="en-US" w:eastAsia="en-US" w:bidi="ar-SA"/>
          </w:rPr>
          <w:t>[2006] B.C.J. No. 764</w:t>
        </w:r>
      </w:hyperlink>
      <w:r>
        <w:rPr>
          <w:rFonts w:ascii="arial" w:eastAsia="arial" w:hAnsi="arial" w:cs="arial"/>
          <w:color w:val="000000"/>
          <w:sz w:val="20"/>
          <w:lang w:val="en-US" w:eastAsia="en-US" w:bidi="ar-SA"/>
        </w:rPr>
        <w:t xml:space="preserve">, </w:t>
      </w:r>
      <w:hyperlink r:id="rId825" w:history="1">
        <w:r>
          <w:rPr>
            <w:rFonts w:ascii="arial" w:eastAsia="arial" w:hAnsi="arial" w:cs="arial"/>
            <w:i/>
            <w:color w:val="0077CC"/>
            <w:sz w:val="20"/>
            <w:u w:val="single"/>
            <w:shd w:val="clear" w:color="auto" w:fill="FFFFFF"/>
            <w:lang w:val="en-US" w:eastAsia="en-US" w:bidi="ar-SA"/>
          </w:rPr>
          <w:t>2006 BCSC 535</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 The parties do not disagree as to the applicable law. It is appropriate to first note the comments of Hudson J. in </w:t>
      </w:r>
      <w:r>
        <w:rPr>
          <w:rFonts w:ascii="arial" w:eastAsia="arial" w:hAnsi="arial" w:cs="arial"/>
          <w:b/>
          <w:i/>
          <w:color w:val="000000"/>
          <w:sz w:val="20"/>
          <w:lang w:val="en-US" w:eastAsia="en-US" w:bidi="ar-SA"/>
        </w:rPr>
        <w:t>Day v. Toronto Transportation Commission</w:t>
      </w:r>
      <w:r>
        <w:rPr>
          <w:rFonts w:ascii="arial" w:eastAsia="arial" w:hAnsi="arial" w:cs="arial"/>
          <w:color w:val="000000"/>
          <w:sz w:val="20"/>
          <w:lang w:val="en-US" w:eastAsia="en-US" w:bidi="ar-SA"/>
        </w:rPr>
        <w:t xml:space="preserve">, </w:t>
      </w:r>
      <w:hyperlink r:id="rId826" w:history="1">
        <w:r>
          <w:rPr>
            <w:rFonts w:ascii="arial" w:eastAsia="arial" w:hAnsi="arial" w:cs="arial"/>
            <w:i/>
            <w:color w:val="0077CC"/>
            <w:sz w:val="20"/>
            <w:u w:val="single"/>
            <w:shd w:val="clear" w:color="auto" w:fill="FFFFFF"/>
            <w:lang w:val="en-US" w:eastAsia="en-US" w:bidi="ar-SA"/>
          </w:rPr>
          <w:t>[1940] 4 D.L.R. 484</w:t>
        </w:r>
      </w:hyperlink>
      <w:r>
        <w:rPr>
          <w:rFonts w:ascii="arial" w:eastAsia="arial" w:hAnsi="arial" w:cs="arial"/>
          <w:color w:val="000000"/>
          <w:sz w:val="20"/>
          <w:lang w:val="en-US" w:eastAsia="en-US" w:bidi="ar-SA"/>
        </w:rPr>
        <w:t xml:space="preserve"> (S.C.C.) where he wrote: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Although the carrier of passengers is not an insurer, yet if an accident occurs and the passenger is injured, there is a heavy burden on the defendant carrier to establish that he had used all due, proper and reasonable care and skill to avoid or prevent injury to the passenger. The care required is of a very high degree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 The most recent statement of the law from the Court of Appeal in this province is found in </w:t>
      </w:r>
      <w:r>
        <w:rPr>
          <w:rFonts w:ascii="arial" w:eastAsia="arial" w:hAnsi="arial" w:cs="arial"/>
          <w:b/>
          <w:i/>
          <w:color w:val="000000"/>
          <w:sz w:val="20"/>
          <w:lang w:val="en-US" w:eastAsia="en-US" w:bidi="ar-SA"/>
        </w:rPr>
        <w:t>Wang v. Harrod</w:t>
      </w:r>
      <w:r>
        <w:rPr>
          <w:rFonts w:ascii="arial" w:eastAsia="arial" w:hAnsi="arial" w:cs="arial"/>
          <w:color w:val="000000"/>
          <w:sz w:val="20"/>
          <w:lang w:val="en-US" w:eastAsia="en-US" w:bidi="ar-SA"/>
        </w:rPr>
        <w:t xml:space="preserve"> </w:t>
      </w:r>
      <w:hyperlink r:id="rId827" w:history="1">
        <w:r>
          <w:rPr>
            <w:rFonts w:ascii="arial" w:eastAsia="arial" w:hAnsi="arial" w:cs="arial"/>
            <w:i/>
            <w:color w:val="0077CC"/>
            <w:sz w:val="20"/>
            <w:u w:val="single"/>
            <w:shd w:val="clear" w:color="auto" w:fill="FFFFFF"/>
            <w:lang w:val="en-US" w:eastAsia="en-US" w:bidi="ar-SA"/>
          </w:rPr>
          <w:t>(1998), 48 B.C.L.R. (3d) 199</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Wang</w:t>
      </w:r>
      <w:r>
        <w:rPr>
          <w:rFonts w:ascii="arial" w:eastAsia="arial" w:hAnsi="arial" w:cs="arial"/>
          <w:color w:val="000000"/>
          <w:sz w:val="20"/>
          <w:lang w:val="en-US" w:eastAsia="en-US" w:bidi="ar-SA"/>
        </w:rPr>
        <w:t xml:space="preserve">]. The law as there explained was conveniently summarized by Humphries J. in </w:t>
      </w:r>
      <w:r>
        <w:rPr>
          <w:rFonts w:ascii="arial" w:eastAsia="arial" w:hAnsi="arial" w:cs="arial"/>
          <w:b/>
          <w:i/>
          <w:color w:val="000000"/>
          <w:sz w:val="20"/>
          <w:lang w:val="en-US" w:eastAsia="en-US" w:bidi="ar-SA"/>
        </w:rPr>
        <w:t>Lawson v. British Columbia Transit Authority</w:t>
      </w:r>
      <w:r>
        <w:rPr>
          <w:rFonts w:ascii="arial" w:eastAsia="arial" w:hAnsi="arial" w:cs="arial"/>
          <w:color w:val="000000"/>
          <w:sz w:val="20"/>
          <w:lang w:val="en-US" w:eastAsia="en-US" w:bidi="ar-SA"/>
        </w:rPr>
        <w:t xml:space="preserve">, </w:t>
      </w:r>
      <w:hyperlink r:id="rId828" w:history="1">
        <w:r>
          <w:rPr>
            <w:rFonts w:ascii="arial" w:eastAsia="arial" w:hAnsi="arial" w:cs="arial"/>
            <w:i/>
            <w:color w:val="0077CC"/>
            <w:sz w:val="20"/>
            <w:u w:val="single"/>
            <w:shd w:val="clear" w:color="auto" w:fill="FFFFFF"/>
            <w:lang w:val="en-US" w:eastAsia="en-US" w:bidi="ar-SA"/>
          </w:rPr>
          <w:t>[2002] B.C.J. No. 2297</w:t>
        </w:r>
      </w:hyperlink>
      <w:r>
        <w:rPr>
          <w:rFonts w:ascii="arial" w:eastAsia="arial" w:hAnsi="arial" w:cs="arial"/>
          <w:color w:val="000000"/>
          <w:sz w:val="20"/>
          <w:lang w:val="en-US" w:eastAsia="en-US" w:bidi="ar-SA"/>
        </w:rPr>
        <w:t xml:space="preserve">, </w:t>
      </w:r>
      <w:hyperlink r:id="rId828" w:history="1">
        <w:r>
          <w:rPr>
            <w:rFonts w:ascii="arial" w:eastAsia="arial" w:hAnsi="arial" w:cs="arial"/>
            <w:i/>
            <w:color w:val="0077CC"/>
            <w:sz w:val="20"/>
            <w:u w:val="single"/>
            <w:shd w:val="clear" w:color="auto" w:fill="FFFFFF"/>
            <w:lang w:val="en-US" w:eastAsia="en-US" w:bidi="ar-SA"/>
          </w:rPr>
          <w:t>2002 BCSC 1438</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Lawson</w:t>
      </w:r>
      <w:r>
        <w:rPr>
          <w:rFonts w:ascii="arial" w:eastAsia="arial" w:hAnsi="arial" w:cs="arial"/>
          <w:color w:val="000000"/>
          <w:sz w:val="20"/>
          <w:lang w:val="en-US" w:eastAsia="en-US" w:bidi="ar-SA"/>
        </w:rPr>
        <w:t>]. There at para. 18 she said this: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once an accident has occurred, the defendant must meet the heavy burden of establishing that he used all proper and reasonable care and skill to avoid or prevent injury to the passenger. The standard of care imposed is the conduct expected of a reasonably prudent bus driver in the circumstances. The court must consider the experience of an average bus driver, as well as anything that the particular driver knew or should have known about the passenger. The standard of care required is higher when the driver knew or ought to have known that the passenger was handicapped or elderly.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Analysis/Findings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The basis of Mrs. Pohl's claim was succinctly put by her counsel, Mr. McGregor, during his closing argument. He accepts there was no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if Mr. Fazlali checked the interior mirror before putting the bus into motion. If this was done, then there was no need for a verbal warning to be given to the passengers. Mr. McGregor urges me to find the mirror was not checked, and to reject Mr. Fazlali's testimony on the basis that it does not fit with the whole of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 have considered the fact that it is unclear what aspects of Mr. Fazlali's testimony are based on his actual recollection of the events as opposed to his standard practice. For example, the following exchange is found in the transcript of his examination for discovery read in by Mrs. Pohl:</w:t>
      </w:r>
      <w:r>
        <w:rPr>
          <w:rFonts w:ascii="arial" w:eastAsia="arial" w:hAnsi="arial" w:cs="arial"/>
          <w:sz w:val="20"/>
          <w:lang w:val="en-US" w:eastAsia="en-US" w:bidi="ar-SA"/>
        </w:rPr>
        <w:cr/>
      </w:r>
    </w:p>
    <w:p>
      <w:pPr>
        <w:numPr>
          <w:numId w:val="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We have a picture of that here and I think you took it. It was a picture that was taken at the time you went to the scene. Do you have a specific recollection, do you actually specifically recall looking in the rear-view mirror - here's a picture that was taken by your group when you went to the scene. Do you specifically recall looking in the mirror just before you left the stop at the terminus and seeing my client or her friend or her friends? Do you have a specific recollection of that?</w:t>
      </w:r>
    </w:p>
    <w:p>
      <w:pPr>
        <w:numPr>
          <w:numId w:val="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Yes, because this is my habit, is I don't remember any time without looking the back [sic] before I look I start to go.</w:t>
      </w:r>
    </w:p>
    <w:p>
      <w:pPr>
        <w:numPr>
          <w:numId w:val="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So your habit is - and you correct me if I'm wrong - your personal habit is just before you're going to go have a change of momentum, you check back to see to make sure everything's okay?</w:t>
      </w:r>
    </w:p>
    <w:p>
      <w:pPr>
        <w:numPr>
          <w:numId w:val="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Yes.</w:t>
      </w:r>
    </w:p>
    <w:p>
      <w:pPr>
        <w:numPr>
          <w:numId w:val="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All right. And you do that, I take it, right before you're going to have a change of momentum?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All right. And it's your recollection then - sorry, so it's - because that's your practice, you believe that that's what you did in this instance?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All right. But you don't specifically recall?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can't answer you, you know, the way you asking me because I - yeah, I write it down that I looked at it. I specifically, you know, I - because this route is [sic] lots of tourists, so we want to make sure that everybody is seated.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At trial he testified in-chief that he checked the mirror before starting in motion, but during cross-examination he indicated that it is his "standard practice" or "habit"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It is not surprising that Mr. Fazlali has difficulty distinguishing between his present recollection of what he did, and his standard practice. Checking a mirror is something he undoubtedly does countless times each day. However, testimony regarding standard or habitual practice, even standing alone, can serve as the basis for finding that something was done in a certain way: </w:t>
      </w:r>
      <w:r>
        <w:rPr>
          <w:rFonts w:ascii="arial" w:eastAsia="arial" w:hAnsi="arial" w:cs="arial"/>
          <w:b/>
          <w:i/>
          <w:color w:val="000000"/>
          <w:sz w:val="20"/>
          <w:lang w:val="en-US" w:eastAsia="en-US" w:bidi="ar-SA"/>
        </w:rPr>
        <w:t>Belknap v. Meakes</w:t>
      </w:r>
      <w:r>
        <w:rPr>
          <w:rFonts w:ascii="arial" w:eastAsia="arial" w:hAnsi="arial" w:cs="arial"/>
          <w:color w:val="000000"/>
          <w:sz w:val="20"/>
          <w:lang w:val="en-US" w:eastAsia="en-US" w:bidi="ar-SA"/>
        </w:rPr>
        <w:t xml:space="preserve"> </w:t>
      </w:r>
      <w:hyperlink r:id="rId97" w:history="1">
        <w:r>
          <w:rPr>
            <w:rFonts w:ascii="arial" w:eastAsia="arial" w:hAnsi="arial" w:cs="arial"/>
            <w:i/>
            <w:color w:val="0077CC"/>
            <w:sz w:val="20"/>
            <w:u w:val="single"/>
            <w:shd w:val="clear" w:color="auto" w:fill="FFFFFF"/>
            <w:lang w:val="en-US" w:eastAsia="en-US" w:bidi="ar-SA"/>
          </w:rPr>
          <w:t>(1989), 64 D.L.R. (4th) 452</w:t>
        </w:r>
      </w:hyperlink>
      <w:r>
        <w:rPr>
          <w:rFonts w:ascii="arial" w:eastAsia="arial" w:hAnsi="arial" w:cs="arial"/>
          <w:color w:val="000000"/>
          <w:sz w:val="20"/>
          <w:lang w:val="en-US" w:eastAsia="en-US" w:bidi="ar-SA"/>
        </w:rPr>
        <w:t xml:space="preserve"> (B.C.C.A.) at 465, 466; </w:t>
      </w:r>
      <w:r>
        <w:rPr>
          <w:rFonts w:ascii="arial" w:eastAsia="arial" w:hAnsi="arial" w:cs="arial"/>
          <w:b/>
          <w:i/>
          <w:color w:val="000000"/>
          <w:sz w:val="20"/>
          <w:lang w:val="en-US" w:eastAsia="en-US" w:bidi="ar-SA"/>
        </w:rPr>
        <w:t>R. v. Thompson</w:t>
      </w:r>
      <w:r>
        <w:rPr>
          <w:rFonts w:ascii="arial" w:eastAsia="arial" w:hAnsi="arial" w:cs="arial"/>
          <w:color w:val="000000"/>
          <w:sz w:val="20"/>
          <w:lang w:val="en-US" w:eastAsia="en-US" w:bidi="ar-SA"/>
        </w:rPr>
        <w:t xml:space="preserve"> </w:t>
      </w:r>
      <w:hyperlink r:id="rId829" w:history="1">
        <w:r>
          <w:rPr>
            <w:rFonts w:ascii="arial" w:eastAsia="arial" w:hAnsi="arial" w:cs="arial"/>
            <w:i/>
            <w:color w:val="0077CC"/>
            <w:sz w:val="20"/>
            <w:u w:val="single"/>
            <w:shd w:val="clear" w:color="auto" w:fill="FFFFFF"/>
            <w:lang w:val="en-US" w:eastAsia="en-US" w:bidi="ar-SA"/>
          </w:rPr>
          <w:t>(2001), 151 C.C.C. (3d) 339</w:t>
        </w:r>
      </w:hyperlink>
      <w:r>
        <w:rPr>
          <w:rFonts w:ascii="arial" w:eastAsia="arial" w:hAnsi="arial" w:cs="arial"/>
          <w:color w:val="000000"/>
          <w:sz w:val="20"/>
          <w:lang w:val="en-US" w:eastAsia="en-US" w:bidi="ar-SA"/>
        </w:rPr>
        <w:t xml:space="preserve"> (Ont. C.A.) at paras. 7-9; and </w:t>
      </w:r>
      <w:r>
        <w:rPr>
          <w:rFonts w:ascii="arial" w:eastAsia="arial" w:hAnsi="arial" w:cs="arial"/>
          <w:b/>
          <w:i/>
          <w:color w:val="000000"/>
          <w:sz w:val="20"/>
          <w:lang w:val="en-US" w:eastAsia="en-US" w:bidi="ar-SA"/>
        </w:rPr>
        <w:t>R. v. Cunningham</w:t>
      </w:r>
      <w:r>
        <w:rPr>
          <w:rFonts w:ascii="arial" w:eastAsia="arial" w:hAnsi="arial" w:cs="arial"/>
          <w:color w:val="000000"/>
          <w:sz w:val="20"/>
          <w:lang w:val="en-US" w:eastAsia="en-US" w:bidi="ar-SA"/>
        </w:rPr>
        <w:t xml:space="preserve"> </w:t>
      </w:r>
      <w:hyperlink r:id="rId830" w:history="1">
        <w:r>
          <w:rPr>
            <w:rFonts w:ascii="arial" w:eastAsia="arial" w:hAnsi="arial" w:cs="arial"/>
            <w:i/>
            <w:color w:val="0077CC"/>
            <w:sz w:val="20"/>
            <w:u w:val="single"/>
            <w:shd w:val="clear" w:color="auto" w:fill="FFFFFF"/>
            <w:lang w:val="en-US" w:eastAsia="en-US" w:bidi="ar-SA"/>
          </w:rPr>
          <w:t>(2006), 401 A.R. 35</w:t>
        </w:r>
      </w:hyperlink>
      <w:r>
        <w:rPr>
          <w:rFonts w:ascii="arial" w:eastAsia="arial" w:hAnsi="arial" w:cs="arial"/>
          <w:color w:val="000000"/>
          <w:sz w:val="20"/>
          <w:lang w:val="en-US" w:eastAsia="en-US" w:bidi="ar-SA"/>
        </w:rPr>
        <w:t xml:space="preserve">, </w:t>
      </w:r>
      <w:hyperlink r:id="rId830" w:history="1">
        <w:r>
          <w:rPr>
            <w:rFonts w:ascii="arial" w:eastAsia="arial" w:hAnsi="arial" w:cs="arial"/>
            <w:i/>
            <w:color w:val="0077CC"/>
            <w:sz w:val="20"/>
            <w:u w:val="single"/>
            <w:shd w:val="clear" w:color="auto" w:fill="FFFFFF"/>
            <w:lang w:val="en-US" w:eastAsia="en-US" w:bidi="ar-SA"/>
          </w:rPr>
          <w:t>2006 ABCA 345</w:t>
        </w:r>
      </w:hyperlink>
      <w:r>
        <w:rPr>
          <w:rFonts w:ascii="arial" w:eastAsia="arial" w:hAnsi="arial" w:cs="arial"/>
          <w:color w:val="000000"/>
          <w:sz w:val="20"/>
          <w:lang w:val="en-US" w:eastAsia="en-US" w:bidi="ar-SA"/>
        </w:rPr>
        <w:t xml:space="preserve"> at paras. 4, 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 find that events unfolded as described by Mr. Fazlali. He gave his evidence in a straightforward manner. He impressed me as a careful person concerned, as he is trained to be, with the safety of his passengers. There is no evidence that the bus was running late and no reason for him to be in a hurry to leave Grouse Mountain.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Although supported to some extent by the evidence of Mrs. Steiner and Mrs. White, I do not accept Mrs. Pohl's testimony that the bus took off "like a Concorde." Given Mrs. Pohl's injuries, and the fact that she and Mrs. Steiner were caught off guard and fell when the bus moved, all three no doubt believe this is what happened. However, I find this to be an overstated description of what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On the whole of the evidence I am satisfied on a balance of probabilities that before pulling away in a normal manner Mr. Fazlali checked the interior mirror and observed all passengers to be seated. Because Mrs. Pohl and Mrs. Steiner were engaged in conversation they did not concern themselves with whether the bus was about to leave. It was an unfortunate coincidence that they stood up just as it began to move.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Mr. Fazlali acted as is expected of a reasonably prudent driver in these circumstances. The defendants have, accordingly, discharged the burden of showing that the accident happened without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their part. While I have some sympathy for Mrs. Pohl, sympathy is not a basis on which to found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This action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defendants are entitled to costs in accordance with Rule 66. If the parties are unable to agree as to costs, then they are at liberty to make submissions in this regard. Arrangements to do so can be made through the registry.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FRANKEL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58" style="position:absolute;z-index:25185894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31"/>
          <w:headerReference w:type="default" r:id="rId832"/>
          <w:footerReference w:type="even" r:id="rId833"/>
          <w:footerReference w:type="default" r:id="rId834"/>
          <w:headerReference w:type="first" r:id="rId835"/>
          <w:footerReference w:type="first" r:id="rId83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37" w:history="1">
        <w:r>
          <w:rPr>
            <w:rFonts w:ascii="arial" w:eastAsia="arial" w:hAnsi="arial" w:cs="arial"/>
            <w:b/>
            <w:bCs/>
            <w:i/>
            <w:color w:val="0077CC"/>
            <w:kern w:val="32"/>
            <w:sz w:val="28"/>
            <w:szCs w:val="32"/>
            <w:u w:val="single"/>
            <w:shd w:val="clear" w:color="auto" w:fill="FFFFFF"/>
            <w:lang w:val="en-US" w:eastAsia="en-US" w:bidi="ar-SA"/>
          </w:rPr>
          <w:t>Sam v. Wilson, [2004] B.C.J. No. 2315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Nanaimo,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Lander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29 and 30, and July 2 and 5 - 9,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November 2,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Nanaimo Registry No. 16535</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[2004] B.C.J. No. 2315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2004 BCSC 1419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136 A.C.W.S. (3d) 158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Hugh Gordon Sam, plaintiff, and Dr. John Crighton Norwell Wilson, Her Majesty the Queen in Right of The Province of British Columbia, defendants, and Her Majesty the Queen in Right of The Province of British Columbia, third party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(105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59" style="position:absolute;z-index:2517084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16" w:name="Keywords_46"/>
      <w:bookmarkEnd w:id="316"/>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Health law — Health care professionals — Liability (malpractice)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Administration and prescription of drug — Failure to follow up — Standard of care — Causation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Public Health — Health units — Duties — Damages — Organ injuries — Liver.</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17" w:name="Case Summary_43"/>
            <w:bookmarkEnd w:id="31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Sam, against the defendants, Wilson and the Province of British Columbia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Sam alleged that Wilson and the Province of British Columbia negligently failed to test him for liver toxicity while he was being treated with the medication Isoniaid for tuberculosis. Sam was exposed to tuberculosis while being treated for alcoholism. The BC Centre for Disease Control recommended that Sam be treated with the Isoniaid for a year. The medication was initially provided by Wilson's office and subsequently through the Central Vancouver Island Health Unit. The health unit sent tuberculosis medication re-order forms to the BC Ministry of Health's Tuberculosis Control Unit for review before renewals of the prescription were made. No liver toxicity test results were recorded on the forms. Sam developed fulminant hepatic necrosis and required a liver transplant. Sam admitted that he was advised about the use of alcohol while taking the medication. There was evidence that Sam had several bouts of consuming alcohol while on the medication. Sam had a slow recovery from the transplant operation and was unable to work during the year and a half after the transplant. He suffered a hernia. Sam would be on anti-rejection drugs for the rest of his life and it was possible that failure of the transplanted liver could occur at any time. Sam did not return to his previous occupation as a firefighter. He was 41 years old.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18" w:name="Holdings of Court_34"/>
            <w:bookmarkEnd w:id="318"/>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Sam was awarded $150,000 in general damages relative to the organ transplants. Neither Wilson, the health unit nor the TB Control Unit met the standard of care. Liver toxicity was a well-known complication of the medication. A patient was required to be informed of the need to have blood tests done periodically to rule out liver toxicity. The TB Control Unit protocol required that patients be tested every month for three months and then every two months. The protocol was not followed. Wilson and the health unit failed to arrange for liver testing for Sam, failed to communicate with each other to ensure the tests were being ordered by someone, and failed to counsel Sam to avoid alcohol while on the medication. As a result of these failures, the liver toxicity was not discovered until Sam was well along the way towards developing fulminant hepatic necrosis. If liver tests had been done periodically, it was likely that the liver toxicity would have been discovered and the medication stopped in time to prevent severe liver damage. This would have reduced or eliminated the likelihood of Sam requiring a liver transplant. It was not reasonable for Wilson to assume that monitoring would have been taken over by the health unit once Sam started to pick up his medication there. Staff at the TB Control Unit did not properly scrutinize the medication re-order forms. If they had done so, they would have noted that the liver function tests were not being done. The medication, not alcohol consumption, was the triggering cause of the destruction of Sam's liver. Sam was not contributorily negligent. Sam was affected physically and psychologically by the transplant.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19" w:name="Legislation Cited_35"/>
      <w:bookmarkEnd w:id="31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60" style="position:absolute;z-index:2517596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20" w:name="Counsel_48"/>
      <w:bookmarkEnd w:id="320"/>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61" style="position:absolute;z-index:2518108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D.J. Holubitsky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Dr. Wilson: M.G. Thomas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Her Majesty the Queen in Right of the Province of British Columbia: K.L. Johnston and Tara Callan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21" w:name="Judgment_48"/>
      <w:bookmarkEnd w:id="321"/>
      <w:r>
        <w:pict>
          <v:line id="_x0000_s1262" style="position:absolute;z-index:25185996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8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22" w:name="LANDER J._0"/>
            <w:bookmarkEnd w:id="322"/>
            <w:r>
              <w:rPr>
                <w:rFonts w:ascii="arial" w:eastAsia="arial" w:hAnsi="arial" w:cs="arial"/>
                <w:b/>
                <w:color w:val="000000"/>
                <w:sz w:val="30"/>
                <w:lang w:val="en-US" w:eastAsia="en-US" w:bidi="ar-SA"/>
              </w:rPr>
              <w:t>LANDER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action involves in part the prescribing of a medicine known as Isoniaid (INH) which is used to prevent or help the body to overcome tuberculosis. It is known as a chemoprophylaxis. Clinically it has been determined that patients receiving this medicine may suffer severe or fatal side effects. It is necessary, therefore, when the health care providers are dispensing this medicine they should adhere to the protocol or guidelines which are set by the defendant, the Ministry of Health, Tuberculosis Control Unit.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This is an action whereby omission is the basis upon which the plaintiff alleges that the defendants committed tortious conduct that caused him harm. As a result of the alleged failure of the defendants Mr. Sam suffered liver failure and required a liver transplant.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 Sam is presently aged 41. However, the difficulties which he encountered and the genesis of this action commenced when he was 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Prior to Mr. Sam's medical crisis he testified that he had been forest-fire fighting.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Sam related that in 1993 he received alcohol counselling. In April, 1995, he went to the Comox Valley Recovery Centre. The reason he did so was: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had to be committed to fire fighting. I know I needed help and I would have relapses with alcohol.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Dr. John Crichton Norwell Wilson was his family physician at Port Alberni during this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It was during his stay at the Comox Valley Recovery Centre that he came in contact with an active TB case and after testing he proved to have a positive reaction to TB.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As the result of the positive tuberculin test, which was done on May 8, 1995, the Ministry of Health of British Columbia Division of Tuberculosis Control became involved. June 6, 1995, Dr. Farley of Tuberculosis Control wrote to Dr. Wilson concerning the steps to be taken relative to treatment to prevent the possible development of tuberculosis. Dr. Farley, in his letter to Dr. Wilson, stated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does have a significantly large tuberculin reaction and is of the age group for whom we would recommend chemoprophylaxis in the form of INH 300mg and Vitamin B6 25mg daily for a period of 12 months, if this is agreeable to the patient and family physician.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Liver function tests should be done prior to initiation of therapy and </w:t>
      </w:r>
      <w:r>
        <w:rPr>
          <w:rFonts w:ascii="arial" w:eastAsia="arial" w:hAnsi="arial" w:cs="arial"/>
          <w:color w:val="000000"/>
          <w:sz w:val="20"/>
          <w:u w:val="single"/>
          <w:lang w:val="en-US" w:eastAsia="en-US" w:bidi="ar-SA"/>
        </w:rPr>
        <w:t>periodically thereafter</w:t>
      </w:r>
      <w:r>
        <w:rPr>
          <w:rFonts w:ascii="arial" w:eastAsia="arial" w:hAnsi="arial" w:cs="arial"/>
          <w:color w:val="000000"/>
          <w:sz w:val="20"/>
          <w:lang w:val="en-US" w:eastAsia="en-US" w:bidi="ar-SA"/>
        </w:rPr>
        <w:t>. If the patient's personal physician is in agreement, he should make known to us whether he will be responsible for his ongoing monitoring or whether he would prefer this to be done at the Health Unit.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[Underlining mine]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Sam, in his direct testimony, said that he was told that he had a positive TB reaction.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nurse told me that we had to make arrangements."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didn't have any conception of what it was and I was referred to my family doctor, Dr. Wilson.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said he started his fire fighting job in the beginning of May. In the course of his work he was sent to Quebec to fight fires. He said he went to Dr. Wilson's office and told him that he was going to be away fire fighting.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Dr. Wilson at this appointment told him about the medication IHN and that he had to take it for a full year because of the "TB reaction." Mr. Sam said of the meeting: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That is as much as I can remember.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Sam did say, however, he remembered that when Dr Wilson told him of the possible reaction that might occur from the medication 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he told me about the side affects, I said that I would like another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However, it transpired that Mr. Sam agreed that he should be treated by Dr. Wilson and that "he knew what was best."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It is important to note that the clinical charts of Dr. Wilson do not indicate any discussion with Mr. Sam that he should have liver function tests done periodically while on INH. Dr. Wilson did not record he discussed with Mr. Sam the possible increase of liver toxicity due to the coincidental consumption of alcohol while on INH. There are no notes by Dr. Wilson that he discussed the consequences of alcohol consumption while on INH.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Sam's evidence is somewhat vague about when he took the medicine as he said in his direct examination "I can't recall if I took the medicine while I was fire fighting or after I got back." He did agree that Dr. Wilson told him the effects of it and in particular "it could damage my liver and stay away from alcohol."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As to the periodic liver-function tests, Mr. Sam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don't remember taking any blood tests. The only time I remember blood tests was when I became jaundiced. He may have asked me if I was drinking and I said yes I was on two or three occasions.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had to pick up my pills at the health unit and the nurse there didn't ask me about blood tests or drinking.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At the end of April 1996 Mr. Sam was working in construction on the Island Highway. He testified: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felt like I was getting a cold or the flu. I was getting jaundice. I had an appointment with Dr. Wilson. I got jaundice and I went to the Emergency and saw a doctor there and he sent me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Sam's was not very good historically as to dates. I find that from the evidence Mr. Sam was seen by Sharon Anderson, a nurse employed by the Port Alberni Health Unit in December, 1995, January, February, March, and April, 1996, with his last visit being April 16, 1996. Also, Mr. Sam was seen in Dr. Wilson's office on December 7, 1995, March 18, 1996, and March 20, 1996. I find, as a fact, no liver-function testing was ordered on any of these occasions nor was it noted that testing had been performed on the clinical records kept in Dr. Wilson's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On the emergency ward attendance by Mr. Sam on April 27, 1996, the records reveal that he was jaundiced and his urine was dark. Liver-function testing was ordered and was conducted on April 29, 1996, and the results were communicated to Dr. Wilson's office. It is apparent that Dr. Wilson's wife who is also a physician saw Mr. Sam that day and a recommendation was made to stop the medicine.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Dr. Wilson saw Mr. Sam on May 3, 1996, at which time Mr. Sam was jaundiced but relatively well. A repeat liver function test was performed on May 26, 1996, and the results indicated worsening hepatitis. He saw Dr. Wilson on May 7, 1996. However, Mr. Sam was allowed to return home, but on May 11, 1996, Mr. Sam was taken to the West Coast General Hospital. Mr. Sam was taken to the Emergency Department at the Hospital On May 13, 1996, and was seen by Dr. O'Dwyer, an internist, and he diagnosed fulminant liver failure. It became apparent that the only chance of Mr. Sam's survival was a liver transplant.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What transpired was that Mr. Sam went into a coma. He was very fortunate in that he was transferred from Port Alberni Hospital to Vancouver where he had a liver transplant. The liver having been flown to Vancouver General Hospital from Montreal. Miraculously he survived and still survives to this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evidence of Mr. Sam is that after the operation he had lost nearly 40 pounds. It was only when he became conscious that he learned that he had had a liver transplant. After the operation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didn't feel healthy. It took a long time to get better. It changed a lot of things for me. It was the worst thing I ever experienced.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He stated that when he left the Vancouver General Hospital after a month, he still had a collapsed left lung and he had a drain for bile for five months. He went on to say,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didn't like it. My body had to adjust to the new organ. It took a year or longer to get back to normal.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As to his future, his evidence was that he will have to remain on anti-rejection drugs for the rest of his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Sam thought at first that he would get back to fire fighting, but he has become concerned with his aboriginal culture and is now a carver and assists his father as a tribal historian for two Chiefs on the West Coast of Vancouver Island.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Sam underwent surgery in May, 2004, for a hernia on his right side, which I find to be a direct result of the transplant operation. He was nine days in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As to his present circumstances Mr. Sam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 a better life traditionally. I don't do a lot of things I used to do. I think about the future, what could happen. In my heart I try to be positive.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On cross examination by Mr. Thomas for Dr. Wilson, Mr. Sam said in response to blood work requested by Dr. Farley,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don't recall Dr. Wilson requiring blood work. I don't recall him asking me to do period blood testing.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He further emphasized those responses by saying,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know I didn't go for blood tests. I was doing what I was told.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His response to the use of alcohol when questioned by Mr. Thomas, he said, that between February and March his alcohol use was minimal. On other occasions, one or two cases of beer. The end of March, he wasn't sure, but he had been at a birthday celebration at the end of March. He went on to state he had used alcohol two more times after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When cross examined by Mr. Johnson, Mr. Sam agreed Dr. Wilson told him to abstain from alcohol. He said that alcohol was forbidden while fire fighting, that there were "a couple of occasions in the Spring of 1996 when I drank quite heavily."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reference to the use of alcohol and the medicine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stopped taking medication when I went drinking two or three times.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As to what kind of alcohol he consumed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was just drinking beer.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On April 16, 1996, he said he went to the Health Unit and received the last batch of medication and he received a vitamin shot. He did agree that the nurse asked him if he had any symptoms.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didn't tell the nurse I had been drinking in the days before.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As can be expected in trials of this nature, the expert opinions on both sides of the issue become crucial. The two issues that must be determined in this action are first: is there liability on the part of Dr. Wilson in failing to order liver function tests? Secondly; was this failure the cause of Mr. Sam having to undergo the liver transplant operation? The defence submits the cause of the plaintiff's liver failure was his consumption of alcohol in conjunction with taking INH and he is contributorily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plaintiff's first expert called was Dr. Urs Peter Steinbrecher.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Holubitsky questioned Dr. Steinbrecher with reference to his qualifications with reference to his cross examination and clarification of his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Dr. Steinbrecher, could you please tell the court what your experience is in liver disease?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was trained in liver disease specifically as part of my training in gastroenterology at McGill, and I've been practicing gastroenterology with a particular interest in liver disease. That means I do more than 50 percent liver disease since 1984.</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I'm a member of the B.C. Liver Transplant Program, which includes three liver specialists, I being one of them, and I've been a member of that program since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Have you had experience in cases of INH</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hepatotoxicity?</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It's a rare entity, and I've in my training probably seen a couple of dozen patients with liver disease related to antituberculous medication. Most of those were on INH. It wasn't possible to implicate INH in every single case, and I've seen two severe cases of INH liver toxicity.</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were you involved in Mr. Sam's treatment in this case?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was tangentially involved in his care after the transplant, but not prior to the transplant.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All 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 Holubitsky questioned Dr. Steinbrecher as to clarification of the contents of his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If you can turn to your December 17, 2001 report, the first report. On the first page you set out your factual assumptions as to regards to what happened in this case. And then on page 2, the top of page 2 you note that there's a notation of jaundice with elevated bilirubin and AST, and that INH was discontinued. Can you tell His Lordship of the significance of jaundice and bilirubin and AST?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Jaundice is the yellow colour of the skin and eyes, and it is a reflection of increased levels of bilirubin in the skin and in the eyes. It's a yellow-coloured pigment that's generated from the breakdown of haemoglobin. Bilirubin is metabolized and cleared through the liver, and so when the levels of bilirubin in blood go up that's often a sign of liver dysfunction.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the AST?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AST? AST is an enzyme called -- it's aspartate aminotransferase. It's an enzyme that's present in the liver as well as a number of other cell types, and it's basically an enzyme that's involved in interconversion of amino acids in part of their breakdown. What happens when liver cells are damaged is the enzyme leaks from the inside of the liver cell into the bloodstream where it can be measured. So that blood test and a related blood test called the ALT are measures of the leakiness of liver cell membranes. In other words it tells you how many liver cells are sick at a particular moment in time.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you note that the INH was discontinued?</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Correct.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What's the significance of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it's -- the recognition there, I think, was that INH was a possible or probable cause of the liver dysfunction, and so it was stopped.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was that appropriate?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 you go on in that paragraph to quote the numbers in the liver test done on April 29th. Can you explain the significance of the testing that you haven't explained already, and the significance of the numbers?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So a normal level for bilirubin would be up to 20, and the bilirubin level here was 255, so it's more than 10 times the upper limit of normal. That indicates a substantial degree of liver dysfunction.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ALT and AST were in the 15 to 1,800 range. Normal values for those enzymes would be in the 35 to 50 range, depending on the laboratory. So those are also very high in a range that is consistent with what we call acute liver cell damage. In other words, a lot of liver cells are being damaged over a relatively short period of time, and so many of the liver cells are leaky enough to have their enzyme content appear in the blood.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All 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 do you want me to talk about gamma GT as well?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Certainly, 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the gamma GT and the alkaline phosphatase are also liver tests, but they tend to measure what's called cholestasis, or bile flow, obstruction to bile flow, and they're mild to moderately elevated, indicating that the predominant injury to the liver here is due to damage to the liver cells themselves.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All right. And the significance of the masics [phonetic] numbers?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They're worse, and the AST is even higher than it was on April the 29th, which indicates even though the INH had been stopped, something was causing ongoing, if not accelerating damage to the liver.</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All right. Now, you comment that after his liver transplant he made an excellent recovery. Is Mr. Sam out of the woods?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He's done very well, and I think he is substantially out of the woods, but a liver transplant is not like getting a new carburetor for your car. We sometimes tell patients it's like trading one chronic illness for another, and it requires that the patient be monitored for life, has got to be on immunosuppressive medications for life, and although most of the complications directly related to the transplant usually occur in the first few years, there are some late complications, including what's called post-transplant lymphoproliferative disorder, which is a type of a tumour of the lymph system that can occur even after many years as a complication of immunosuppression. So I think he's substantially out of the woods. He's had a good outcome from his liver transplant, but there are still some factors related to long-term immunosuppression that might become an issue.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All right. Now, you also comment in the paragraph above that the risk of INH liver toxicity is increased in persons who consume alcohol daily?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Why is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what is indicated in all of the guideline documents, and to be honest I don't know how solidly that's been corroborated for alcohol, but it's something that is believed to be true for a variety of drugs that are metabolized by oxidizing -- by oxidizing pathways, because alcohol induces the levels of those enzymes. So somebody who is a daily drinker will have higher levels of oxidizing enzymes and possibly reduced defence mechanisms -- defence mechanisms in the liver. So there's a higher chance that more of these reactive intermediates will be formed, and because there's less defence mechanisms like we'll find that there's a higher -- there's a higher chance that liver cell molecules will be damaged. So I think that's the thinking where alcohol will increase the number of toxic intermediates and reduce defence mechanisms.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 Holubitsky questioned the Dr. concerning the report of Dr. James Wright, an expert who filed a report on behalf of Dr. Wilson.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On page 2 of Dr. Wright's opinion he says that it was appropriate to start Mr. Sam on INH prophylaxis; you don't disagree with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agree with that, 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 he goes on to say in paragraph (b) - - My Lord, this is 5(b) on page 2.</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5(B), Yes.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HOLUBITSKY: 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that basically all you need to do is clinical monitoring. Is that something you agree with?</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know, I don't have Dr. Wright's letter. I think I moved it, but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have a copy.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think what he's saying here is that monitoring for -- clinical monitoring requires asking the patient if they have symptoms; in suspected liver damage if they have symptoms such as fatigue, fever, loss of appetite, et cetera. So I certainly agree with that, where he's defining what you do to do clinical monitoring. And he also talks about AST in that paragraph, so he seems to be implying that it's appropriate to do both clinical monitoring and liver enzyme monitoring.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All right.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I would agree with that.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 you don't -- here's a copy of his report.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Thank you.</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Dr. Wright is of the opinion that once the Health Unit began to dispense the medications, which we know is in the beginning of December, that that became their responsibility to do the monitoring?</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Yeah, and I -- I wasn't able to find anything in the record that would allow me to agree with that statement, because the initial agreement, as I understand it, between Dr. Wright and the Health Unit, was that he was going to be doing the dispensing and the monitoring.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Dr. Wilson, you mean?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Sorry, Dr. Wilson. Sorry.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what then seems to have transpired is that at some point a few months down the road Mr. Sam started to pick up the prescriptions at the Health Unit because it was more convenient. But I didn't see anything that suggested the transfer -- the responsibility for monitoring had been transferred to a Health Unit physician, and that's what would have been required, I think, to change the original arrangement, which was between Dr. Farley, the Health Unit physician, and Dr. Wilson, that Dr. Wilson was doing the monitoring. So I guess what it had to do is just tell the Health Unit physician that, "I'm not doing the monitoring any more, you guys take over."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HOLUBITSKY: Mm-hmm.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as far as I can tell that didn't happen. The people that were interacting with Mr. Sam in the Health Unit appeared to be the clinic nurses.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Two nurses.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they were just dispensing the medication. They're not allowed to order liver tests.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HOLUBITSKY: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 Dr. Wright's opinion -- this is paragraph (c), he says that serious INH hepatotoxicity develops over a time period of one to four weeks. Is that something that you agree with?</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I'm not sure I'd cut it off at four weeks. I would say that it's possible that the evolution could be longer than that, perhaps even twice as long.</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All right. You don't disagree, I take it, that the best opportunity to detect liver changes was April 16th?</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agree with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 what Dr. Wright says though is that the earliest Mr. Sam would have begun to develop INH hepatotoxicity was in late March?</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I don't think we can -- I can't say with certainty when the liver enzymes would have become abnormal. I -- I looked through all the published cases of severe INH hepatotoxicity, and for none of them was there clinical data documenting what their liver enzymes had been in the preceding -- in the months preceding their developing severe toxicity. So I think -- it's difficult for me to say on the basis of a lot of published experience with patients with severe INH toxicity what proportion of them have normal or abnormal liver enzymes at a given point in time before that. But I think it's probable that the liver enzymes would have been abnormal a month before he presented on April the 27th.</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All right. Now, in your rebuttal report on the second page you talk about a prodrome with mild elevations of liver enzymes. Can you explain what you mean by that?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that's what I'm sort of getting at, there's -- there would be -- I think it's possible that there's a period prior to when a patient actually develops symptoms at which -- at the point at which a patient develops symptoms he's got to -- he or she would have to have severe liver damage, and minor degrees of liver enzyme elevations would not be expected to produce any symptoms. And I think this is what Dr. Wright was referring to when he says there's the one to four-week period over which it develops. And, you know, I just don't know on what basis one could cut it off at four weeks. There are certainly other circumstances where with other drugs that act by a similar mechanism where the prodomes can be longer than that.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All right. Now, Dr. Wright in his rebuttal rebuttal -- the one-page document June 22nd, My Lord.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What was that date?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HOLUBITSKY: June 22nd, 2004. It's the one page.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I have it here, yes.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HOLUBITSKY: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disagrees that Mr. Sam would have a prodrome where there were asymptomatic elevations of liver enzymes. Can you comment on that?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that was part of my previous answer. I don't -- I don't know of data that allows anyone to say with a high degree of confidence that liver enzymes are generally normal in patients who are going to get INH liver toxicity, until they get it. I mean, I don't think we know.</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 in the last sentence in the second paragraph, My Lord -- what Dr. Wright says is that the elevation of liver enzymes and severe liver damage only started after the occurrence of an additional insult to the liver. Is that something that you agree with?</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it is true that alcohol is a potential risk factor for developing INH liver toxicity. I explained that in an earlier answer. If your question is would -- I gather there were three episodes --</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evidence is two and possibly three episodes of heavy drinking.</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I think if we're talking about enzyme induction in the liver, that generally requires sustained exposure, daily alcohol use for a period of weeks to months to induce the liver enzymes. And I'm not convinced that two or maybe three episodes of heavy drinking for a period of 12 hours would have produced a sufficiently significant elevation in liver enzymes or reduction in defence factors to be a plausible and necessary trigger. Certainly there are cases of severe INH hepatotoxicity where there were no independent triggers.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All right. So when Dr. Wright says that there must have been an intervening event that basically changed the course of his liver disease, that's not something you agree with?</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don't think I can agree with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On cross-examination Dr. Steinbrecher was asked the following questions: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you would need the laboratory monitorings to interpret some of your clinical findings?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If you were going to rely on clinical symptoms as your marker or your only monitor for toxicity, that's correct.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then if you were to rely on both, naturally you would need to interpret those in conjunction with each other?</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Correct. And if you were to do laboratory monitoring you might pick up toxicity earlier in that prodromal period before symptoms appear but when liver enzymes are already abnormal. And that's why some programs say we should do laboratory monitoring too; clinical monitoring is not good enough because we won't accept point one incidence of severe hepatotoxicity as they found in this study.</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true, but is it not also true that elevated liver enzymes do not necessarily lead to a hepatotoxic event, or, in fact, require discontinuations of INH?</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 was my evidence.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is it not the case that liver enzyme levels of five times greater than normal without clinical signs, the American Thoracic Society recommends that INH is continued?</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 would be unusual. Most TB physicians that I've worked with would be reluctant to continue INH if there was a five-hold elevation in transaminases.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you're aware that it's in conjunction with clinical science, three-fold elevation of liver enzymes that they would then discontinue?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believe that's what it stated in this document, 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 is it not true that adverse reactions to INH usually occur during the first few months of treatment?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By few do you mean two months, or do you mean three or four months? I would agree with three or four months.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fine. Now, given the timing of Mr. Sam's onset of symptology with respect to the two or possibly three alcohol incidences, don't you think that that is suspicious? That maybe the alcohol could have been a factor?</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know, I don't have details as to the timing of those episodes of alcohol ingestion.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Sure. But let me put some hypoth -- let me just put some assumptions to you. Let's assume that a drinking binge occurred in late March, and then that there were one and possibly two more after that, and that the first clinical symptoms appeared on the day or the day before April 27th. On April 16th there were no clinical signs of any prodrome, but we don't know about laboratory. Would you not think there that the timing is quite suspicious for alcohol to have some role?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I've already explained how I think the role of alcohol in causing or in contributing, making an individual more susceptible to INH hepatotoxicity is believed to occur, and I've also explained why I think that two or three isolated incidents of excess alcohol use in my mind really wouldn't be sufficient to produce a big time induction of liver enzymes that are going to be metabolizing the alcohol, or would they have a marked effect on glutathione levels that might be anti-oxidant defences. So, no, you know, it wouldn't have come to me when I was -- if I was seeing him on April the 27th when he presented sick with jaundice to say, "Ah-ha, it was the alcohol." That probably wouldn't have occurred to me.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the reason for that is that it's your view that there needs to be -- what sort of alcohol would you think -- alcohol consumption level, what level and for what period of time in your opinion would be necessary to induce a reaction?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if I answer that by referring to an enzyme like GGT, which is so sensitive to alcohol that it's actually used by some alcohol rehab units as a way of monitoring alcohol consumption. If you drink enough alcohol your GGT goes up, so it's sensitive enough it's used as a monitoring test.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It's not great, but it's used as that. For that to show up you have to drink like daily alcohol, six or more units of alcohol minimum for a period of, you know, a couple of weeks, and then you'll start to see the GGT going up.</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You call -- what is a unit, Doctor?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It's the equivalent one standard drink, which is 30 mills of ethanol.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again you've done no independent research into the action and mechanism of INH induced hepatotoxicity?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true.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 again going back to your December 17th report, on page 3, now the second paragraph in is a paragraph beginning, "Based on my review of the records."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Mm-hmm.</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the last sentence [as read in]: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If INH had been discontinued as a result of liver enzyme testing done on or before April 16th, the subsequent liver failure and need for a liver transplant likely would have been averted.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Now, in this case on March 20th there were no clinical signs of prodrome. On April 16th I'd like you to assume there were no clinical signs of prodrome, and then on April 27th we had Mr. Sam carrying with dark urine and likely had jaundice on the day, or a day or two before. Now, if LFT tests were done on April 16th, and they were moderately elevated, but there were no clinical signs, there would be at least some experts in the field that would say INH would not have to be discontinued at that time; is that correct?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suppose if you're using the three to five X rule that might be the case. I don't think it's possible for me to sort of speculate as to how high the liver enzymes were on April the 16th. I'm sure that they -- I'm highly confident they would have been abnormal, but I don't know whether they would have been three times -- three times elevated, or ten times elevated.</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I think that goes back, actually, further up in the paragraph, your reasoning for that, and it's the sentence beginning -- and maybe I should just read it out so we're all together [as read in]: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It is important to note that in most reported cases of liver transplants done for INH hepatotoxicity, treatment for INH was continued for at least a week after symptoms appeared. [And then you have your footnote there is 6] The records do not indicate that Mr. Sam reported any symptoms of hepatitis on April 16th, however, I think it's virtually certain that liver enzymes would have been abnormal had these been performed on that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cross-examination by Mr. Thomas of Dr. Steinbrecher dealt with studies that had been done primarily in the United States which I do not intend to produce in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dealing with the issue of responsibility for the liver functioning testing Mr. Thomas asked Dr. Steinbrecher the following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 if you delegate a task to a health professional and they have the appropriate qualifications, training, experience and abilities, is it appropriate to rely on that health professional to perform the task without direct supervision?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a very general question. I guess as you've put it I would agree with it.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 Johnston then cross-examined Dr. Steinbrecher and asked the following questions: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Just on that last point of delegation, Dr. Steinbrecher, I just want to clarify. Your evidence was that you understood that -- your assumption was that there was an agreement between Dr. Wilson and TB Control that he would do -- that is, that Dr. Wilson would do both the dispensing and the monitoring; is that 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that was my assumption.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And I believe you indicated that you were not aware that there was any alteration of that arrangement at the behest of Dr. Wilson. Is that your assumption as well?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 is.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On the issue of the requirements for liver functioning testing Mr. Johnston asked the following questions: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And as I understand it, if that condition is going to arise it is more likely to arise within the first three months of therapy; is that 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believe that's correct, 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again my friend has referred to the current standard which we know to be requiring lab testing for the first three months? Yes?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Monthly for three months, then every two afterwards is my understanding.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And I think that you indicated that you believed -- you believed that based on the timing that we know here, where Mr. Sam attended at the hospital on April the 27th, I think it was your evidence and I'll ask you to just clarify it for me, that the derangement would have commenced four weeks prior to that, or so; is that fair?</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think it's probable that it had occurred as long as a month ago, yeah, and certainly by the middle of -- April 16th was the date, I'm sure it would have -- the liver tests would have been abnormal by then.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Dr. Bradley Fritz a general practitioner in Vancouver was called for cross-examination by the defence. His report in part stated: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Liver toxicity is a well-known complication of I.N.H. therapy. When prescribing this medication, it is important that the patient be informed of the need to have blood tests done periodically to rule out liver toxicity. Ideally, these tests should be done prior to initiation of therapy and periodically thereafter. The minimum frequency for checking liver function tests would be at least every three months. In addition, anybody on I.N.H. should be warned of the increased possibility of liver toxicity if he or she drinks alcohol, especially to excess.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It was incumbent on Dr. Wilson to counsel Mr. Sam about the need for periodic liver function tests. Dr. Wilson did not order follow-up liver functioning tests. In addition as Mr. Sam had a well-documented history of alcohol abuse, it was incumbent on Dr. Wilson to make sure that Mr. Sam was informed about the necessity that he limit or eliminate his alcohol intake whilst on the isoniazid. There is no evidence in the chart that Dr. Wilson discussed this with Mr. Sam on the patient's initial visit or during his subsequent visits noted above. Furthermore, when Mr. Sam started to pick up his anti-tuberculosis medicine from the health unit and not from Dr. Wilson's office, there was a failure on the part of both Dr. Wilson and the Physician(s) and the rest of the staff at the health unit supervising the distribution of medication to ensure that appropriate follow-up of the patient was taking place. In particular, there appears to have been no communication between the medical personnel involved to ensure that someone was monitoring Mr. Sam's liver function tests. As a result of this failure on both the part of Dr. Wilson and the physician(s) supervising the dispensing the medication from the health unit, the liver toxicity was not discovered until lat April of 1996 and, by that time, Mr. Sam was well along the way towards developing fulminant hepatic necrosis. If liver tests had been done periodically between the summer of 1995 and April of 1996, it is likely that the liver toxicity would have been found earlier and the isoniazid could have been stopped in time to prevent the severe hepatic damage and therefore reduced or eliminated the likelihood of Mr. Sam requiring a liver transplant.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Hugh Sam was an alcoholic and was exposed to tuberculosis whilst an inpatient at residential treatment centre for alcohol abuse in the spring of 1995. He had a positive tuberculosis skin test and, based on this, it was recommended by the tuberculosis experts at the B.C. Centre for Disease Control that he receive one year's treatment with isoniazid and vitamin B6. The medication was initially provided through the office of Dr. J.C.N. Wilson and subsequently through the Central Vancouver Island health Unit. Neither Dr. Wilson nor the medical staff at the health unit arranged for Mr. Sam to have periodic liver function testing to check for early evidence of isoniazid liver toxicity. There was not communication between Dr. Wilson and the health unit's physician(s) to make sure that someone was monitoring Mr. Sam's liver function. Furthermore, neither Dr. Wilson nor the medial staff counselled Mr. Sam about the need for avoidance of alcohol to minimize the possibility of isoniazid liver toxicity. As a result of these failures, Mr. Sam developed fulminant hepatic necrosis due to a combination of isoniazid and alcoholic liver damage and required a liver transplant.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summary, then, neither Dr. Wilson nor the physician(s) at the Central Vancouver Island Health Unit met the standard I would have expected for physicians practicing in British Columbia in 1995 and 1996 due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failure to arrange liver testing for Mr. Sam whilst he was taking isoniazid,</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failure to communicate to ensure the tests were being ordered by someone,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failure to counsel Mr. Sam to avoid alcohol whilst on isoniazid.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Dr. Fritz in his brief direct examination by Mr. Holubitsky was asked the following questions and gave the following answers: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 Dr. Mack indicated that in his opinion it was reasonable for Dr. Wilson to have assumed that monitoring would have been taken over by the Health Unit in the circumstances of this case. Do you agree with that?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I think in Dr. Mack's report at one point he comments that Dr. Wilson was a good member -- to paraphrase it, a good member of the health care team. Members of the team do have to communicate with each other and cannot make assumptions that somebody else is doing something. You always have to make sure that what needs to be done is being done, if not by yourself then by someone else. And the only way to do that is to have periodic conversation amongst the members of the team to make sure that adequate -- as should have been done in this case -- adequate monitoring is being done. You cannot just simply assume that it's the case.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On cross-examination, Mr. Thomas asked these questions of Dr. Fritz:</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Sure, I understand the distinction you're making, and that's fine.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On page 3 of your report, under discussion you talk about liver toxicity, and you note [as read in]: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Ideally liver function therapy should be conducted at least every three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that would be a minimum testing that you would expect from a competent GP in this case?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or from whoever was supervising the laboratory testing.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Sure.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 could be that it was being done by someone other than Dr. Wilson. It could have been being done by the TB Control people or the public health officer, but it should have been clear that someone was doing it and all members -- all physicians involved in the care should have been clear that it was being done by someone.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And if it was being tested every -- I guess there's an initial baseline test, but after that for three months you would then expect if you started the therapy in early October, for that test to occur towards the end of December?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if there was not a copy of a liver functioning test in Dr. Wilson's file in December, that really wouldn't be alarm bells if one would suspect that minimum testing would be the end of December?</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True. However, if Dr. Wilson saw the patient around that time, in my opinion he should have reminded Mr. Sam to go get the test done, and say, "Look, you're due for your test again."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Or he could have clarified that he was seeing the Health Unit for that?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If he -- he could have clarified that the Health Unit was ordering the tests, not just dispensing the medication.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Right. And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Dispensing and testing are two totally separate, related but totally separate obligations on the part of the professional --</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Sure. So you would have expected there might have been some discussion, a confirmation that the Health Unit was not only dispensing but testing, if that was the case?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I would have asked, "By the way, are you getting your liver tests done? If so, who's ordering it because I haven't seen any copies."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So you would expect some sort of discussion?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the specifics of that discussion would obviously depend on the situation?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 would depend on what the patient told me at that point.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Now, I would like you to take a look at Exhibit Number 6, tab 4. Now, my understanding is, and I would like you to assume that these are TB medication re-order forms that are sent by the Health Unit to TB Control, and that then they're reviewed by the physician at TB Control before a renewal of the prescription of INH is made.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 before that renewal of prescription is made, would you have expected a physician prescribing INH to have ensured that the test results had been done, or monitoring had been done?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would -- you mean in this case the prescribing physician, that is, Dr. Wilson?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no, they're actually prescribed by Dr. Elwood.</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if this form goes to Dr. Elwood --</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assume bi-monthly --</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and would you expect that he would ensure in reading this form that proper testing would have been done?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it would have been incumbent upon Dr. Elwood to satisfy himself that appropriate, not only prescribing was being done, but that appropriate prescribing that was being done, that would include making sure that appropriate testing and counselling was being done at the same time.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Dr. Elwood, if he was prescribing it without having assured himself about the other two points would have been, in my opinion, prescribing in error.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Dr. Fritz was cross-examined by Mr. Johnston on behalf of the third party and the questions and answers follow: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Just on that last point, Dr. Fritz, at tab 4, I take it you don't know whether each and every medication re-order form would be reviewed by a doctor at TB Control; is that fair to say?</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I don't know if they would review them individually. However, the -- my understanding would be that the professional responsibility would lie with them whether they have delegated this to someone else. Ultimately when a physician delegates something to someone else to do the professional responsibility remains with me. If we had a nurse in my office who was taking blood pressures it would be my duty to make sure that elevated blood pressure identified by that nurse was followed up by me.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whether he -- whether Dr. Elwood looked at them individually, they should have had some sort of monitoring system that anything that was -- appeared not to be going according to the protocol as is understood by the person who was doing the delegated function, that should have been brought to Dr. Elwood's attention. That's a long answer to a short question.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Well, that's helpful clarification. On that point of delegation, you are aware, are you not, that Dr. Wilson agreed initially in the summer of 1995 to both dispense and monitor Mr. Sam during the course of his therapy?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Are you aware of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and I understood that he did that until approximately the end of 1995 when Mr. Sam then decided to, I think for reasons of convenience, obtain the medication directly from the Health Unit.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just in terms of your, again, getting back to what you were talking about in terms of delegating functions, would it be your evidence that Dr. Wilson in that situation ought to at least have clarified with someone, presumably the Health Unit, if not TB Control, that he was no longer going to be doing the monitoring function?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 the -- you indicated -- my friend asked about your expectations, or the expectations of TB Control regarding monitoring, and whether there was -- as I understood it, whether there was a reasonable expectation that that monitoring function would also include lab tests. Do you remember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I think your evidence was that you were aware that that expectation was placed on nurses?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 some circumstances, 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when you talked about that expectation, I'd just like you to clarify what you meant by that expectation placed on nurses. What --</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for instance, when Mr. Sam was no longer getting the medicine from Dr. Wilson but was getting it from the Health Unit, and Dr. Wilson was effectively out of the loop, so to speak, then I would have expected that for the nurses to have dispensed the medication prescribed by Dr. Elwood, that they would have done at least two things; number one, inquired as to whether he was drinking, since the nurse was now the face-to-face contact and the only person who could ask questions in that case.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that they would make sure that appropriate laboratory testing was being done, and I think there is a -- because I remember there was a form that had a space to note whether that laboratory testing was being done. So it would have been incumbent upon the nurse to do those two things in the process of giving the medications to Mr. Sam.</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Now, in this situation you're aware that Mr. Sam was a patient of Dr. Wilson's, and continued to be a patient of Dr. Wilson's even after he began to pick up the medication from the Health Unit?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would you agree that it's not unreasonable to assume that in those circumstances there's a reasonable -- it would be a reasonable expectation that the lab testing would continue to be done by Dr. Wilson?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There may have been a reasonable expectation, but however, especially since there was a place on the form where it had to actually be checked off whether it was being done or not, the nurses who were dispensing, and Dr. Elwood, who was prescribing, should have made sure that that was being done. I think, as I pointed out in my report, that I think in this case everybody thought someone else was doing it and nobody bothered to check to see whether that was the case, and that failure of communication was where the system broke down. And working in a medial nursing team you can't just assume that something's happened. You know, you have to actually ask the question at some point.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Right. You've talked about -- well, let me just pursue that one further piece. Assuming, as we know, that Dr. Wilson agreed to do the monitoring, the clinical testing, in the summer of 1995, you'd agree that he would have a continuing obligation to do that, notwithstanding, if I can put it this way, the failures of other parties involved, that there would be a continuing obligation on him through that process as well?</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There would be a continuing obligation on him to do it until such time as he arranged for someone else to take over that responsibility.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And if you were -- again with your patients, when you've got them on the therapy, you commence the therapy with them, would you tell them at that time that you're going to be on this medication for the next nine months and you're going to have blood tests scheduled at X, Y and Z, along that, or how would you work that out at the commencement?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What I would tell them is that unless you hear otherwise from me you should have these tests done at these intervals, in this case three months. The reason -- and I would give them a form that has -- they would give to the lab, and they could then go back to the lab every three months and the lab would complete the tests automatically.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When -- I would get notification from the TB Control about the drugs being given to the patient, and I would then pull out the chart and look and say, "Mmm, got his tests done. Oops, didn't get his tests done." I would also tell the patient that about what I would be concerned about. The reason for more frequent testing would be any of the above symptoms, and that you should be careful about anything that can damage your liver, and primarily we're talking about alcohol in the circumstance, and warn them that they should not be drinking at all, and certainly should not be drinking to excess.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then every encounter I would see with that patient, the way my chart is set up I have a face sheet that has ongoing problems that need to be monitored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and I would look at that and say, "By the way, any side effects from the medicine?" Even if they were in about something else.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"Any problems with the medicine? Are you having any side effects, any things like this? And by the way, are you drinking?" And I would usually in this -- my usual practice in this case would be when I see the test results I would make sure that I had contacted the patient, either have my staff bring them in if I was concerned about reliability, or phone them -- or at least phone them up and say, "Your tests are normal, any problems?"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Have you in the course of your medical career taken a leave of absence and had a locum come in to look after your practice?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has it ever occurred that that has coincided with a period of time when you had a patient on INH therapy?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Probably, 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what kind of precautions would you take in that situation given the fact that someone might be coming in, or would be on the course of therapy during your absence?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the way I have my chart organized, if I have a patient, a problem patient that I'm particularly concerned about I will either discuss with the locum ahead of time if I can, or leave written notes about people that I would be concerned about. In terms of ongoing monitoring for this or any other problem I have my chart organized in such a way that there is a problem list at the beginning, and the problem list is on the inside of the charts. When you open the chart up it's always the first thing you see on the left of the chart, and any issues that need ongoing regular supervision are listed in the bottom part of that. And I would expect, and all I can do at this point is expect that the physician who is replacing me is going to, when they're presented with lab tests they're not sure about, get the chart out and review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Now, this is having done some locums back before I started my own practice, this was always a problem. You get things, and you get normal results on someone and you think, what does this mean. And when you -- what you need to do, and this is a problem with being a locum, it's actually harder working sometimes because you don't know the patients. You have to get the chart out and review things to find out what's going on. So there's a professional expectation that the locum will do those things that need to be done to make sure that the lab tests are being interpreted in context.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It's also incumbent upon the primary -- or the physician who's primarily responsible to make sure the chart is organized in such a way that someone who picks up the chart can fairly easily figure out what these ongoing problems might be.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In the testimony of Dr. Fritz, in particular, there was reference made to Exhibit 6, Tab 4. This is a document issued by the Province of British Columbia, Ministry of Health, it is headed "Tuberculosis Medication Re-Order." It has date ordered for the medication which is INH for the patient Hugh Sam. The orders are dated 95.09.30, 95.12.05, 96.02.12, 96.04.16 and there is a final order which is not dated where at the bottom Nurse Anderson dated 96.05.14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Meds being returned. Client D/C for INH B6 due to hepatoxisity Thank you S. Anderson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importance of these documents is that the record of prescriptions of INH are recorded and the B6 provided and to the right side there is a space "test done and results." I find that this portion of the re-order form is necessary to complete the form setting out the results of the liver function tests that were required by the protocol to be done. None of these re-order forms has any results recorded thereon. In fact, another requirement of the protocol was broken in that the prescription was to be filled for one month only and in three of them the note in the space provided for the tests to be reported it states: "given two months supply." It is apparent that the TB Control was not properly scrutinizing the re-order forms and had they done so they would have noted that liver function tests were not being done. The protocol I find required that at the time Mr. Sam was being monitored it required liver functioning blood tests to be done every month for the first three months and every second month thereafter.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defence on behalf of Dr. Wilson called Linda Mageau. Ms. Mageau was called as an expert in nursing and in particular the role of a Health Unit in monitoring and the distribution of INH. She was declared to have such expertise. Ms. Mageau in her filed report at page 7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Central Vancouver Island Health Unit did in fact assume responsibility for monitoring Mr. Sam when they began dispensing the medication to him directly.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When being questioned by Mr. Thomas about her report he put the following questions and received the following answers: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 at page 7 there's question 2 [as read in]: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Did the conduct of the health nurse who provided Mr. Sam with INH fall below the accepted standard of care?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Now, at page 10 you have a statement of opinion that summarizes and I believe you've got six different areas where the public health nurse at the Port Alberni clinic fell below what you would expect of a public health nurse practicing in Port Alberni or a rural community, is that correct?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based on the RNABC standards.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On page 10, standard number 1, it says [as read in]: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Specialized body of knowledge, standard 1.1, Nurse Anderson was expected to know how and where to find information, yet states she did not know the new policy on liver function tests. Nurse Anderson seemed to be unclear as to the protocol for INH for chemoprophylaxis versus active TB.</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Is that correct?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you would have expected a public health nurse to know the standard of which she was -- up to monitoring the patient she was dispensing medication to?</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you would expect someone to find it out. What we said every day is no one can know everything, and public health covers a wide variety of issues and subjects that all of us are expected to know where to get the information. We need to practice safely.</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Now, on standard number 2, "Competent Application of Knowledge," at point 2.8 [as read in]: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Writes timely and accurate reports of relevant observations, including conclusions drawn from them.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 at tab 4, we'll see some other sets of documents which I believe are the medication re-order forms that Mr. Holubitsky referred to this morning.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 what is the role of these TB re-order forms from the nurse's perspective?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From the nurse's perspective it is the way that we get the medication for the next month re-ordered, so it is the way that we work with TB Control and their pharmacy in monitoring a client's medication. We give out a month and then you order the next month, and because it requires a physician's signature, like all medication orders, we know that he would expect any information to help him make that decision to continue the medication.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 under the -- there's some columns on this one and under the "Test Done and Results" what would you expect a public health nurse to have written there while managing a person on INH? And by managing I mean dispensing the medication?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Any tests that were done and the results of those, as well as quite often you would put in if there were any concerns. A common concern for INH because people didn't always take the six [phonetic] with it was a tingling of fingers and things like that. We often put in there would peripherally get numbness in their fingers that was annoying.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Under cross-examination by Mr. Holubitsky Ms. Mageau was asked the following questions: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All right. A decision would be made at the outset whether -- with the patient's input or with communication between yourself and the family doctor a decision would be made at the outset who would be giving out the medications and who would be doing the monitoring? Is that fair?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correct. That's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 once that decision was made, I suggest that it would be your assumption as a public health nurse that that status quo continue unless there was some information to the contrary?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 you talked about the situation where you as a public health nurse did blood testing. That's a delegated function, a delegated nursing function, isn't it?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 other words, in the absence of a specific direction saying you can do this, that's not something that you would take on as a responsibility? Is that fair?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mean, you need some authorization --</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Right.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to be able to take on that sort of function?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Right. Correct. If I understand what you're meaning, I think I do. 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Nurses can't order blood work, 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Right. They can if there is a specific direction or delegation made saying that you, Linda Mageau, can do this?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that's something that should in the best of possible worlds be done explicitly, you'll agree?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Correct.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it should be done unequivocally, correct?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that's not something that simply should be left to chance?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If you're going to take on that function as a nurse you are going to have that delegation made to you specifically? Is that fair?</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By being hired by the health unit you would accept that responsibility. If the delegation was part of your position, that's why public health nurses have a higher education and, et cetera, is because it was an expected part of your -- of your nursing practice within the confines of that particular position.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part of your position is to ensure the safety of the general public and specific patients under your care?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Correct. Now, one of the assumptions that you've made for the purposes of your opinion is that Sharon Anderson did telephone Dr. Wilson to let him know that she was going to dispense medications from that point forward?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Excuse me.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Yes, Mr. Thomas?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THOMAS: I believe that that's not the exact assumption of the report. I believe it's phoned Dr. Wilson's office in the report.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HOLUBITSKY: All right. All right. I'm content to correct that.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THOMAS: Sorry, I don't mean to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HOLUBITSKY: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Assuming that one of your assumptions is that there was a communication with Dr. Wilson's office to indicate, whether it was Dr. Wilson or it was somebody in his staff, to indicate that Ms. Anderson would be assuming the responsibility for dispensing the medications. Is that fair?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Correct, the health unit, 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All right. If there was no such communication that creates a situation where there was considerable ambiguity, you'll agree, between the health unit and Dr. Wilson's office as to what the heck was happening?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If there hadn't been a phone call,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Now, dealing with your -- I don't know if you have the same pagination or tabs in your report but you have the RNABC Guidelines on page 6 at the bottom of the page. Do you have that, Ms. Mageau?</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I would also -- that would also pertain to the situation of where the medication requires monitoring who would be doing that monitoring. Is that fair?</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delegation of the health unit comes from the doctors who hire and hold responsibility for the nurses. It has to be the medical health officers and the TB doctors because we don't take -- you don't -- are not taking delegation from a doctor in private practice. You're hired to -- solely to follow out the medical health officer's requests so that -- he is the part of the delegation that he has accepted that his -- that the nurses in public health would be safe to do this and I agree.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would expect also that if there was a public health officer that was involved that his permission and opinion would be sought in this case before Sharon Anderson took over that responsibility?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Correct. You would also expect that Dr. Wilson would be consulted and there would be a clear division of responsibilities as to who would be doing what, if anything, in Mr. Sam's care?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that would be expected.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that the second to last sentence in that top paragraph on page 7 says [as read in]: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Delegation is not appropriate where the same standard of care cannot be achieved.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Is that fair?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fair.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mean, as a public health nurse if you're going to take on certain responsibilities you've got to ensure that the patient isn't left abandoned?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Ms. Mageau was then cross-examined by Mr. Johnston. He put the following questions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And the standards or the guidelines from TB Control that were in place in the time period 1995 to 1996, were you familiar with those guidelines?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those were the ones we worked under.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what did those guidelines require in terms of monitoring patients?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 the guidelines that we were familiar with or that we followed was liver function tests or the SGOT white blood count. Specifically SGOT for the first three months, following that it was about every two months, but for sure we just did the first three months.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And how is it that you became familiar with those guidelines? How did you -- how did you know of those guidelines?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 were in contact with TB Control a lot. We had policy and if there were changes it was -- we had a very -- a lot of contact with TB Control. We were encouraged to phone them, and we had policy there that occasionally need clarified so you would phone them and that was the standard that we followed from -- oh, for sure from -- I think it was from '93 for sure onwards was the first three months, except if the person was under fifteen.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On the issue of delegation for responsibility to comply with the protocol of liver functioning tests, Mr. Johnston put the following questions to Ms. Mageau: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then the next page over, your assumption is that on November the 14th of 1995 [as read in]: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Ms. Anderson agreed to an appropriate change in the care plan in order to accommodate Mr. Sam. In addition, Dr. Wilson will no longer be responsible for dispensing of medication and the accompanying monitoring of side effects.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Now, Ms. Mageau, you didn't know, I take it, whether in fact Dr. Wilson or who had agreed to do the accompanying monitoring of Mr. Sam after November 14th, 1995, did you?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know that whenever you take on the responsibility for the medication you then take on the responsibility for the monitoring being done, no matter who would order the blood work. If it wasn't ordered it was the health unit's responsibility to find out if it had been ordered or not.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As well as the person monitoring is the only person</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who is actually visually seeing Mr. Sam when he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comes in for his medication, so they would have had</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 do the clinical monitoring because we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have -- they are picking up the medication and</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they're responsible when they're giving it to feel</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that it's safe to do.</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But if -- it's possible that Mr. Sam might have wanted his family physician to continue to do the monitoring or the blood tests, is that correct?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That's correct. The only issue is that when no blood work was apparent anywhere, that nothing was done to find out if it was being done to attach it and send it to the TB</w:t>
            </w:r>
            <w:r>
              <w:rPr>
                <w:rFonts w:ascii="arial" w:eastAsia="arial" w:hAnsi="arial" w:cs="arial"/>
                <w:color w:val="000000"/>
                <w:sz w:val="18"/>
                <w:lang w:val="en-US" w:eastAsia="en-US" w:bidi="ar-SA"/>
              </w:rPr>
              <w: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(underlining mine)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It is important to note that Mr. Johnston asked Ms. Mageau about her written report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I'm just looking at page 9 of your report. You've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made mention of the medical health officer</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which -- who would have responsibility for the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health unit, is that right?</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In a situation like this, is there a</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distinction -- from your experience and</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recollections is there a distinction between the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medical health unit -- the medical health officer</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generally, versus a specific case of tuberculosis</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and the involvement of TB Control? Is there a</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distinction to be made there?</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I would say because it was a TB program that for clinical expertise you would defer to TB Control and the medical health officer. Say you couldn't get through to TB Control and you did phone him, he would again clarify that this is what I think, but I would also go back because you would want TB Control, who are supposedly the experts, to give the best direction clinically.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Continuing on the issue of the physician's responsibility the defence for Dr. Wilson called evidence by way of a video recording of Dr. Robert C. Mack, a respected General Practitioner at Summerland, B.C. It is interesting to note that contained in Dr. Mack's expert report which is undated and marked Exhibit 3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unfortunate that Dr. Wilson did not note the absence of liver function test results in his chart. It appears that Dr. Wilson files his laboratory results separately from his handwritten notes, likely at the back of his chart. This is the preferred charting method of most of the doctors in our community. It makes it easier to follow the office visits but it also makes it easier to overlook the absence of a test result. A few doctors in our community file their results along with the doctors' office notes. A missed lab results would be more apparent in this situation ... but it makes it more awkward to follow the patient's clinical course.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Monitoring patient compliance with recommended lab testing is a problem in General Practitioner offices. Medications like Accutane (usually used by teenagers for acne control), cholesterol-lowering medications, ACE inhibitors (utilized widely for blood pressure control, early renal damage and reduction of arterial plaques) and warfarin (a blood thinner) require laboratory monitoring. In our office we have no mechanism to ensure that patients are compliant with the recommended laboratory monitoring. I am not aware of any office that has such a mechanism. We believe that the patient has some responsibility in their management and this includes having appropriate follow-up. If we have a patient who does not appear to be intellectually capable of following advice, we will either contact a competent individual to ensure their compliance or we will take that responsibility on ourselves. Mr. Sam was certainly capable based on his return to, and completion of, Grade 12 and on the fact that, five years later, he still understood the significance of utilizing alcohol while taking INH.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While it is unfortunate that Dr. Wilson did not ask Mr. Sam if he was going for routine liver function testing, it was certainly understandable that he felt this was being done. I cannot think of a situation where the person prescribing a medication is not responsible for reviewing the safety and efficacy of the medication prior to its prescription. Examples of stand-alone clinics similar to the local Health Unit our community would be the Arthritis Clinic, Dialysis Unit and Diabetic Clinic (run by a nurse). They all order lab work and are responsible for follow-up of abnormal results. They routinely prescribe medications for our patients. We General Practitioners often prescribe treatments initiated by others. We routinely review the safety and efficacy of the treatment prior to prescribing it continuation.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question may arise as to whether a non-physician would be held to the same standard of care. I believe they would. As a nurse has less training, it is not uncommon for them to follow written protocols for management of specific conditions. I would include the "TB Management Flowsheet" as a written protocol and would have expected a nurse to follow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Dr. Wilson testified on his own behalf that he is a family practitioner and certified by the B.C. College of Family Physicians and Surgeons as a general practitioner. He told the court that the Sam family had been patients of the practice he bought in 1978.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Dr. Wilson acknowledged receiving the letter from T.B. Control signed by Dr. Farley and that he did telephone Dr. Farley to discuss the care of Mr. Sam. He said that they discussed periodic blood work every two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Dr. Wilson said he saw Mr. Sam on June 23, 1995, and he said that he discussed with Mr. Sam the risk of INH and that liver damage could occur. Dr. Wilson said he explained to Mr. Sam that he was to see him every month and have blood work every two months and refrain from alcohol. He did order a liver function test at that time and that Mr. Sam's liver function in June of 1995 was normal. Dr. Wilson said he requisitioned the INH and gave Mr. Sam his first month when it was received.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Dr. Wilson next saw Mr. Sam on November 2, 1995 and was referred to his clinical notes. He said that "I would make sure that he was remaining well. I would have looked at his colour and questioned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He said that he had been phoned by the Health Unit in November to tell him that Mr. Sam was going to pick up the INH from the Health Unit. Dr. Wilson did not talk to the Health Unit himself. His receptionist took the message and put it on Mr. Sam's chart.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Dr. Wilson went on to say that based on this exact communication "I assumed they would monitor but I didn't verify it with the Health Unit." He did go on to say however, "If the Health Unit was monitoring, I would have expected to receive blood work results." Dr. Wilson next saw Mr. Sam on December 7, 1995 and Mr. Sam complained of a rash. Dr. Wilson went on to say that Mr. Sam said "I had a hepatitis shot." Dr. Wilson doesn't remember discussing liver monitoring and he went on to say "I didn't notice a lack of blood results."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clinical notes according to Dr. Wilson on March 18th and 20th, 1996 indicate that a locum, Dr. Webster saw Mr. Sam. On the 29th of April 1996, Dr. Wilson's wife, a physician, also saw Mr. Sam. On May 3rd, 1996, Dr. Wilson saw Mr. Sam, the INH was stopped and he phoned TB Control and talked to a Dr. Turner. It was decided to monitor Mr. Sam as an outpatient hoping his liver would improve said Dr. Wilson. Dr. Wilson went on to say Mr. Sam was suffering liver failure and that he was dying.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On cross-examination by Mr. Johnston for the Provincial Crown he said when discussing the use of alcohol, he said, "It was reasonable to assume that I would have said stay away from alcohol but I don't recall it." He did agree with Mr. Johnston that he would take on the task of monitoring Mr. Sam. Dr. Wilson said that in the months of October and November of 1995, he was responsible for monitoring but when Mr. Sam picked up the medicine at the Health Unit, it became responsible. He was asked about his discovery in questions 192, 193 and 194:.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at that point, the beginning of December, 1995, you would have realized that the Health Unit was dispensing the medications?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might have realized.</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are not certain at this point?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penny did not drop.</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this is the period of time in which you would expect to have initiated the first monitoring?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line 195 he was asked and answered: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Is there any reason why you didn't do so at this point?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 was an oversight.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When being cross-examined on this issue Dr. Wilson said: "My memory was befuddled."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He agreed with Mr. Johnston that Sharon Anderson of the Health Unit did not tell him that they were going to be responsible for the blood tests. He also agreed that he did not tell her that he would not be responsible. Dr. Wilson went on to say with reference to Mr. Sam himself and the advice as to obtaining the blood tests, Dr. Wilson said: "I can't recall if I told him to have blood tests."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He went on further to agree that he did not get copies of blood tests on his file. It was Dr. Wilson's opinion that "he had lost control of Mr. Sam."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Dr. Wilson stated that when he returned to his clinic after being away he had no discussions with Dr. Webster, the locum concerning Mr. Sam.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Mr. Holubitsky cross-examined Dr. Wilson and when questioned about his discovery evidence he replied: "The discovery was five years after the event." He did agree there were no new documents since the discovery and that he had no other patient such as the plaintiff who was on INH." He did say in response to a question by Mr. Holubitsky "I remember talking to Mr. Sam about monitoring." He went on to reply "I don't actually remember saying to Mr. Sam about two months monitoring." He agreed with Mr. Holubitsky that there is no mention of INH on the charts that it is a potentially lethal medication. He agreed with Mr. Holubitsky's suggestion that the "team" didn't treat Mr. Sam fairly. He also stated "I didn't ask about the lack of lab results in the file when Mr. Sam came in on December 7th, 1995."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When questioned about the Health Unit and nurses being able to requisition blood tests he said he had never had any experience with nurses obtaining blood requisitions. He said he didn't know if Nanaimo under the direction of Dr. Rockwell, the public health physician, would give his assent to obtaining blood requisitions. He said "No one talked to me nor did I talk to anybody about monitoring."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 find that had Dr. Wilson properly carried out his obligation as required by TB Control he would have ordered the liver functioning tests and made reference to these orders in his clinical charts. This is important in that when Mr. Sam attended Dr. Wilson's office and Dr. Wilson was not present and he was treated by a locum, the locum would have been aware that Mr. Sam was taking an INH. I find there was a complete breakdown in Dr. Wilson's approach to recording Mr. Sam's treatment with reference to the prophylaxis INH.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On this issue of Dr. Wilson's omission to order the liver functioning tests, I find that he fell below the standard expected from a family physician in the Province of British Columbia. Also, I find that the nurses and physicians of the TB Control as well as the Port Alberni Health Unit which operates under the direction of the defendant Her Majesty the Queen in the Right of the Province of British Columbia, also failed to follow the protocol required in the case of Mr. Sam. I refer in particular to the failure to note and take steps to determine if Mr. Sam was undergoing the required liver functioning tests. That is revealed by the document I have referred to earlier in these reasons the Tuberculosis Medication Re-Order Form. The portion of that form in each and every occasion in which the Port Alberni Health Unit requested the INH (the portion of that form for reporting tests done and results were not done). This should have alerted the TB Control nurses and physicians that their protocol was not being carried out. I find this failure falls below the reasonable expected standard of the Port Alberni Health Unit and TB Control.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intended policies of TB Control were formulated to insure safety of patients and I find that the protocol was not followed.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Had Dr. Wilson, the Port Alberni Health Unit and TB Control all carried out the required policy then the near tragedy that Mr. Sam experienced would have been avoided. I find that the progressive liver failure of Mr. Sam would have been prevented. Had the liver functioning test results revealed that Mr. Sam's liver was subjected to damage the INH could have been immediately discontinued in time and the liver would have recovered.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There remains one issue that is advanced by the defendants: causation. Was it the INH or the consumption of alcohol or a combination of both by Mr. Sam that brought on this liver failure. The defendants, Dr. Wilson and Her Majesty in the Right of the Province of British Columbia plead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 xml:space="preserve">. Dr. Wilson's defence in this regard cites the particulars of the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follows:</w:t>
      </w:r>
      <w:r>
        <w:rPr>
          <w:rFonts w:ascii="arial" w:eastAsia="arial" w:hAnsi="arial" w:cs="arial"/>
          <w:sz w:val="20"/>
          <w:lang w:val="en-US" w:eastAsia="en-US" w:bidi="ar-SA"/>
        </w:rPr>
        <w:cr/>
      </w:r>
    </w:p>
    <w:p>
      <w:pPr>
        <w:numPr>
          <w:numId w:val="1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follow advice and/or instructions of the defendants at the Central Vancouver Island Health Unit, Port Alberni Clinic or the Clinic's agents and/or employees; and</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take care of his own health and safety.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 have referred earlier to Dr. James Wright MD, Ph.D. He testified on this issue. Dr. Wright is an internist and has a Ph.D. in Pharmacology &amp; Therapeutics and Medicine. Dr. Wright is also the managing director for British Columbia of the Therapeutics Initiative. It is an organization that is set up to look at evidence based on drug therapy and to assess the evidence around prescription drugs and other therapies and disseminate that information to practising physicians and pharmacists in the Province of British Columbia. Dr. Wright has also written chapters in medical texts dealing with drug interactions. His Curriculum Vitae is extensive and impressive.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During Dr. Wright's direct examination there was discussion as to whether a health unit nurse could order liver functioning tests or not. I find that this is not relevant to the issue that I have decided as to the responsibility of assuring that the liver functioning tests were done. I have determined that both, Dr. Wilson, the Health Unit and TB Control failed to insure that the protocol as set by TB Control was followed.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main thrust of Dr. Wright's testimony is as to causation of the liver failure of Mr. Sam. Dr. Steinbrecher in his evidence was of the opinion that the consumption of alcohol by Mr. Sam was not the cause of the elevation of the enzymes in Mr. Sam's liver which led to its destruction and therefore it was INH.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Dr. Wright, however, took issue with that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He testified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 Dr. Steinbrecher was asked to assume that Mr. Sam had two to three bouts of drinking in late March and the dates of the second and if there was a third one are a little unclear, but they would have been perhaps in early to mid-April, consuming for example ten beer on each outing, and that Mr. Sam would have discontinued the INH on the day that he went drinking, but then re-continued it thereafter. Now, in his view that would not be sufficient to trigger a hepatotoxic reaction -- I have got a little a bit of a -- hepatotoxic reaction because in his view one would require the consumption of at least six units of alcohol per day for a period of two weeks, ten days to two weeks to trigger the event and the rationale for that was that in his view the triggering of the hepatotoxic reaction would be similar to the amount of alcohol necessary to elevate GGT enzymes. Now, what are your views on that hypothesis?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 my opinion the more -- that it is more likely to be damaging by taking alcohol intermittently in large amounts than by taking it on a daily basis, but clearly if you take enough on a daily basis you can also -- you could also significantly increase the chance of liver damage, but --</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Specifically what do you say to his testimony that two to three bouts of drinking would not be sufficient?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disagree with that. I think that the amount and the bouts are exactly the kind of insult that one could anticipate would lead to the interaction between alcohol and isoniazid and what we are saying here is that the isoniazid alone is not sufficient and the alcohol alone is not sufficient, but the combination of the two is sufficient to induce the severe hepatotoxic injury.</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Is there any significance to the temporal connection between those drinking bouts and the hepatotoxic trigger or reaction?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You would -- you would be looking at a temporal</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relationship in the range of one to four</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months -- one to four weeks before the severe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hepatotoxicity, so the temporal relationship is</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quite -- is quite good in terms of that scenario.</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So, in your view what role would those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thinking -- drinking bouts have played in the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hepatotoxic trigger or event?</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 my opinion, given those facts and the -- and the timing of the severe hepatotoxicity in this case that the most likely culprit is the -- is the alcohol in combination with the isoniazid.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Dr. Wright was further asked about Dr. Steinbrecher's report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 in Dr. Steinbrecher's report, and this is his first report, at page 3, he notes that [as read in]: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If INH hepatotoxicity had been discontinued as a result of liver enzyme testing done or before April 16th the subsequent liver failure and need for a liver transplant would have been avoided.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Dr. Steinbrecher also testified in cross-examination that he could not predict how abnormal or the level of liver enzyme abnormality that would be present on April 16th. What are your views on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From what we know of the time course of the disease most likely the enzymes would have been normal on April 16th. The magnitude of the abnormality is very -- would be very hard to determine, but most likely they would have been elevated and therefore I agree with him that if testing had been done at that point and they were elevated as that -- and the drug was stopped at that time that most likely the consequences would have been averted.</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and can you speculate as to what the levels of elevation would have been?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think it is -- it is impossible to be precise, but I would -- I would expect that they would be over two and maybe up to twenty times normal at that time, over two times normal and up to twenty times normal, but in a -- but in quite a wide range.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and would your estimate change if you were to assume that one or two of the drinking bouts occurred after April 16th?</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Um, the -- the severe hepatotoxicity can develop over a fairly short period of time, so it is possible to envisage a situation where -- where the -- it could -- it could develop over seven to ten days and in that instance it is possible that the enzymes could have been normal on April 16th and then the drinking and hepatotoxicity occurred after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In cross-examination Mr. Holubitsky asked the following questions: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Dr. Wright, in your file there were a number</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of -- there were four papers I believe and I assume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that you culled these from your research library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right.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because they were authoritative?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 in your opinion you have said that the time frame that isoniazid induced hepatotoxicity that leads to liver failure develops over is one to four weeks?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 is not an absolute set of numbers, is it, I mean that is an average?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a range.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All right, and there are always outliners in any range?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it is certainly possible that the liver failure developed over six weeks, for example?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It's possible.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mean, you can't exclude that?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it could have been as little as a week?</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But it is more likely that it probably occurred or started to occur prior to April 16th?</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your opinion is that it is likely that the onset of this process was probably about the end of March?</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um, well, the median would be, um, would be two and a half weeks, and so, the -- so it would be the end of, um, sorry, I am just trying to -- I am just counting back. So, the median if you say -- if we are looking at say about sixteen days, and so, sixteen days minus is -- oh, minus twenty-six is around the -- around the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Tenth or so?</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Tenth, yeah, sorry.</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 your --</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Yeah, tenth or eleventh, yes.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 your opinion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Yeah, that's -- but that's -- that's a median and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Right.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we are talking about a range here.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Yeah, and the range certainly encompasses a month?</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Yeah.</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you don't disagree with Dr. Steinbrecher on that point?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Dr. Wright's evidence on the propriety of liver functioning tests was to the effect that it was not necessary in all cases. He was asked by Mr. Holubitsky the following questions: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if you found a patient such as Mr. Sam and I'll ask -- I'll ask you to assume that this is the case, where the assessment was that he was a high risk patient it would not be inappropriate to do biochemical monitoring?</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Yeah, if -- if you, um, if you made that judgment based on your clinical assessment of him.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Are you aware of any clinical data in support of that, that there has to be a trigger after a certain time window?</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There -- there are anecdotal -- there are case reports where a trigger is -- can be identified and there are case reports where triggers are not identified. In my opinion in the cases where triggers are not identified it just shows our ignorance and we don't know all of the triggers that -- that can -- that can occur.</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there might be something but you can't identify it or point to it?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Yeah, or we are getting insufficient information in the particular case and we don't know about how much alcohol was -- was ingested, etcetera, so I am aware that cases occur where you can't identify a trigger, but I believe that that doesn't mean that there wasn't a trigger.</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but it doesn't prove that there needs to be a trigger either.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Correct?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true.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part of your present occupation and career and the Therapeutics Initiative is based on evidence based medicine?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that requires that in order to make clinical or therapeutic decisions there has to be reliable evidence upon which you can base those decisions. Is that fair?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Yeah, and you -- it is very hard to get that kind</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of -- the kind of evidence we usually require in</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terms of effectiveness of drugs on a toxic</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drug -- on a toxic effect of a drug that is</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occurring in one to two percent of patients.</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Right, (a) the rarity, and the fact that you can't experiment on that patient population.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right.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Is that fair?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Is it also fair that the anecdotal case reports that you have referred to as part of the basis for opinions that there had to be a trigger are not generally believed to satisfy the standard of proof of causation in a scientific sense?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agree.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at this time there was nothing that you could point to that unequivocally said this is the trigger, there is just a panoply of things that might be responsible?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At the time that I wrote that report I was not aware of the -- of the fact that Mr. Sam had -- had ingested large amounts of alcohol on more than one occasion around that time.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you had reviewed his examination for discovery evidence. Is that fair?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Um, at that time I --</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It's on the first page of the report, My Lord --</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Yeah -- yeah.</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for Dr. Wright.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So, you had read Mr. Sam's evidence about his alcohol intake contained in the discovery. That's fair?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Mm-hmm.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had also reviewed the clinical records of the West Coast General Hospital which contained references to his drinking prior to his becoming symptomatic?</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in essence nothing really intervened to change the fact base between the issuance of this opinion and your subsequent letter of June 22nd, 2004?</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my memory of -- I don't think there was much in that information that I had at that time that gave the timing of the -- of the alcohol intake. I mean, there was enough information for me to include alcohol as one of the insults, but I don't think that the timing information was there and I may be -- I may be wrong about that, but that is my recollection and with the information of the timing of that drinking I think that of those four insults that I have mentioned there that the alcohol is the most likely scenario.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Each of those is possible?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 is merely the -- a coincidence in time that allows you to rate the alcohol as a higher factor or higher probability?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amount and the timing.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 doesn't diminish the fact that the other insults or another unknown insult, as you have said, a trigger that you don't know about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Is possible.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was at play?</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Yeah, it's possible.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 because of that is it fair to say that assuming that you were doing biochemical testing that you would expect to be able to pick up at least some changes in liver enzymes before a patient begins to express symptoms of hepatitis?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that is part of the rationale of doing biochemical testing in conjunction with clinical monitoring in higher risk cases?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It should be recalled that at the commencement of the prescription the base line blood test was taken and at that time Mr. Sam's liver was normal.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Mr. Johnston on behalf of the Province of British Columbia called Nancy Breton who was employed as the nurse consultant at TB Control in Vancouver in 1995 and 1996. She has now retired from this position in February 2004. In direct examination she was asked the following questions and gave the following answers: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Thank you. Can you describe generally for the court how TB Control was set up, how it was structured in 1995, 1996, in terms of your role and in terms of how you interacted with health units around the province?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TB Control was set up because of tuberculosis being a disease that was rampant in British Columbia back in the forties and fifties and has maintained that role as -- functioning as to control tuberculosis. There are doctors and nurses that work at Tuberculosis Control. We have two standing clinics where we see patients and both doctors and nurses see patients and that's for people who live in the Lower Mainland, those two standing clinics. For the remainder of the province the health unit is like our arm in the field. They are the ones that see the patients and carry out the treatment as recommended by TB Control.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my job as nursing consultant was to be the consultant for the nurses, the public health nurses in the health units, and by doing that I would go out and do in-service educations, provide them with information about the disease, the treatment, all that pertained around the disease of tuberculosis.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When the issue of ordering blood tests she was asked these questions and gave the following answers: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On the second page there's a box saying "Role of PHN in the TB Program," does that refer to the public health nurses?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can you just look at the six matters that are listed there.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do you understand that that accurately describes their role in the TB program?</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It's sort of a short form. It doesn't really go in detail but it's sort of . . .</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 box does not say anything about ordering blood tests. Can you tell the court what your understanding is of the role, what it was in 1995, 1996, the role of public health nurses in terms of ordering blood work?</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actually, it does. When it says "monitor for compliant side effects"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that implies that blood tests -- the monitoring part of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Well, let's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But during '95/96 their role was to ensure that base role -- baseline testing was done before the patient started treatment and then regular monitoring. When I did my in-services I would say to them that they should do the monitoring for the first three months that the patient is on medications and then if everything was normal every two months thereafter.</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And are you fairly confident that that was your advice in 1995?</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I'm fairly confident.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Holubitsky asked the following questions and received the following answers: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system failed Mr. Sam? I don't mean to apportion responsibility between who necessarily could have headed things off but the system didn't serve Mr. Sam well?</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we didn't carry out the monitoring that was necessary, whether that -- you know, was a failure on his part -- or failure on our part I'm not sure.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policies of TB Control weren't followed?</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it would appear so.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They weren't followed by the health unit, by Sharon Anderson? Is that fair?</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not having seen any blood work you could assume that it wasn't followed.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All right. If the health unit, or any of the public health nurses involved, or yourself or Dr. Elwood had at any point noted the absence of any laboratory testing on Mr. Sam, there would have been an immediate response to order that testing? Is that fair?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correct. That's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 you've indicated I think in your evidence that both the public health unit and the general practitioner should have been receiving laboratory results if they were ordered?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if the public health unit was -- did receive laboratory results then they were either to write the results on the medication re-order form or to append the photocopy of the lab results?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Right. That's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 was your expectation that in most cases that a general practitioner would be involved in ongoing monitoring of a patient? Is that fair?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 in this case, there was -- you said that I think it was unusual or not the common place situation for a general practitioner to undertake dispensing and monitoring of chemoprophylaxis cases? In most cases it was the public health unit?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Wherein this case you had a recommendation from Dr. Farley that there should be monitoring and where Dr. Wilson had undertaken that responsibility it would have been the assumption of TB Control that that status quo would continue until the end of the medication course?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you would have expected in the absence of any specific direction that a nurse falling back on the policies of TB Control would have performed monthly testing?</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Monthly testing, but if she had any queries as to what the written policy was and wanted to discuss it then she could have phoned and we could have discussed it further.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Province of British Columbia also called as one of its witnesses Sharon Anderson who is a public health nurse employed with the Central Vancouver Island Health Region stationed at Port Alberni. Ms. Anderson was employed in that position in the years 1995 and 1996 and still maintains that position as at the trial date. She was the nurse who dealt with TB patients and she commenced taking on that responsibility in the Spring of 1995. She testified that in the course of her employment when a TB patient was under the care of the Unit they worked with TB Control in Vancouver to distribute the medication and dispense these medications to the patient. She stated that it was the general practitioner who was the one who "ultimately ordered the lab results and the blood work that needed to be ordered."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Ms. Anderson when questioned in direct examination about her authority, if any, toward a blood test dated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 Afterwards I found out that I could in fact use the medical health officer's billing number to do such a thing, but that was after 1996. Before that we always worked in conjunction with the GP and I really don't think that I had the authority to order blood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 find that Ms. Anderson was aware at the time that Mr. Sam was obtaining his INH prescription from the Health Unit that he was required to have monthly blood tests or monitoring done for the first three months and every two months thereafter.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With reference to the providing of the medication itself in direct examination she was asked the following questions and gave the following answers: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He -- I -- I think if I looked back at the documents</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he actually came in for a second hepatitis B vaccine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perhaps at that point, I can't recall, but</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he -- also he had wanted to change the plans from</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Dr. Wilson dispensing the medications to being able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 pick them up through the health unit. It was</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easier for him not having to make an appointment and</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he also worked out of town and had -- had found that</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having a two month supply at once would work better</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for him so that was his request.</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 and that is what -- that is what you ultimately did. Is that 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 is.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gave him a two month supply?</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did.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and that would appear on the face to be contrary to number 3 here on -- in the appendix. Is that right?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that is true. I didn't actually -- in thinking back now I hadn't consulted with TB Control. What I did do was indicate on the medication re-order forms, which was a mechanism of communication, that I had given two month's supply so each of the re-order forms I had made a note that the patient was given two month's supply versus the one month.</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those re-order forms -- you say a form of communication. That is a form of communication I take it with the health unit and TB Control?</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My understanding was that form was used for lab test results and for any comments regarding that patient. It would be reviewed by somebody at TB Control, whether it was the nurse or the physician, before it was sent to the pharmacy to have the medications re-ordered again for the next two months.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What occurred on more than one occasion was the two months supply of the medication was given to Mr. Sam which was in breach of the protocol.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She was questioned about her meetings with Mr. Sam upon him appearing to obtain his medicine and she stated: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you had a meeting of sorts with him in November of 1995 and I just want you to be clear on to the best of your recollection what it is you discussed?</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 would have discussed the common side effects, things to watch for, when to return for medication pick up, and when to get hold of his doctor or myself if he was having any concerns.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am sure I would have checked into some common lifestyle things such as nutrition to make sure he was eating fairly decently and the one thing I am not clear about which I guess I can volunteer is in terms of alcohol use.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Whether for sure we discussed the avoidance of alcohol on the sheet.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 I don't remember for sure. Normally I would have.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In cross examination Mr. Holubitsky asked about the requirement of blood tests or monitoring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that disease protocol provided and we've referred to, that's Tab 6, and we referred you to Appendix G which is towards the back of the page, provided, at least in your mind, for active treatment for blood testing, AST monthly or as directed?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that was your understanding?</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 your mind you were uncertain about whether that applied to TB chemoprophylaxis?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Historically there was some reasoning perhaps the lower levels of INH that somebody on preventative treatment would get may not have the same strict criteria attached to them.</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 the extent that somebody from TB Control, Nancy Breton provides evidence to this court as to how that standard was to be applied, you wouldn't have any reason to challenge that, is that fair?</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wouldn't have. I will suggest though that TB Control being in Vancouver may not have been totally aware as to the discrepancies in policies throughout the more -- small more rural areas.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This document goes to everybody in the province?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 does, this does.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this is the common ground?</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There might have been a difference in how local health units dealt with that policy,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Mh-hmm.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But to the extent that TB Control and we'll hear Nancy Breton's evidence and you've heard it previous read in, My Lord, that the policy was to apply to both active TB and chemoprophylaxis, you wouldn't have any reason to challenge that?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would -- I would disagree. There is the one section in here that really differentiated between active versus chemoprophylaxis.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Would you defer to Nancy Breton's interpretation of this policy?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Would I defer?</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Yeah.</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My interpretation and my understanding of the policy may have been different from what she intended.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All right. You may have got it wrong in other words?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may have read this differently than what she expected.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All 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might say that Nancy Breton felt as though the monitoring requirements were more stringent than what I understood them to be.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if in fact this document had made it to your public health unit, then that should have modified how you approach liver function testing in patients on chemoprophylaxis?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true. Yeah, but the difficulty in this case is the assumption of responsibility at the beginning versus what normally happens.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get to that.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But just from your perspective as a public health nurse, assuming that you had received that document, then that should have eliminated in your mind the ambiguity about persons under age 35 receiving biochemical monitoring?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it should have.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you are not sure whether or not you read it?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 be honest, I'm not sure.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All right. Now, dealing with the assumption of responsibility, as you say, the sort of the kicker in this case is that from the outset there was a recommendation from Dr. Farley which you got a copy of?</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Which was made to Dr. Wilson that Mr. Sam be placed on biochemical monitoring?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it was stated baseline and then periodic thereafter?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When you read that letter, did you have an idea of what that meant in terms of the frequency?</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I probably would not have thought that it was as frequent as what somebody on active TB particularly with the periodic monitoring phrase. But I didn't have to deliberate too much because I spoke to Dr. Wilson and he agreed that he would take over the dispensing and the monitoring.</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is that normally the G.P. would defer to the Public Health Unit and we in turn would get direction, more clear direction from TB Control as to what they wanted.</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Right. I think -- I think the G.P. did defer, at least to TB Control, the problem is that no biochemical monitoring was ordered by the G.P. and then there was a transfer of responsibility, at least for dispensing, back to yourself?</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If you had assumed at that time that Mr. Sam would come to you, and this is November 14th, that you were going to pick up the monitoring function, then that's something that you would have ensured occurred whether you had to get a requisition from somebody within the Health Unit or TB Control or whether you went to Dr. Wilson and said, "Please do the monitoring and give me the results"?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that was an assumption that I made that Dr. Wilson would continue the monitoring which was -- the reason why we are here.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Turned out to be wrong?</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Between the two of you, Dr. Wilson and yourself, the monitoring should have been done?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 should have, it would have.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it wasn't done?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we haven't done this.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But if he hadn't been monitored for six months, the fact that his next monitoring may have been in month seven, you wouldn't have waited? You would have ensured that monitoring occurred?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in this case, there was a failure to both provide TB control with the results of laboratory testing and a failure on the part of TB control to pick up on the fact that there was no information being conveyed.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true.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If any of these failures had not occurred then this tragedy might have been averted. Is that fair?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true.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If you had, at any point, noticed that you weren't getting the results, from what you assumed Dr. Wilson was doing, you would have phoned him to get that result?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think because I hadn't assumed the responsibility for the monitoring I was negligent in that respect because I did not feel the need to pursue it with Dr. Wilson.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 didn't occur to you?</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 didn't occur to me.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It is accepted in law that the patient has duties to, in this case, the doctor and to the TB Clinic and to the Health Unit. Mr. Sam was required to meet the standard of a reasonable patient. If he has breached that standard and that breach contributes to his injury that is to say the destruction of his liver he must bear his portion of the blame.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In order to meet that standard of the reasonable patient, the patient is required to act with a reasonable communicative care and not take fool-hearty risks. The patient is not expected to possess special knowledge of specific risks which might come about due to his conduct. He is simply required to use common sense. However, in this case Mr. Sam has admitted that he was advised about the use of alcohol while taking INH.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There is no doubt that Mr. Sam consumed alcohol during the period in which he was taking the prescription INH. His evidence I find was vague and the quantity is undetermined. We have of course Dr. Steinbrecher's view and Dr. Wright's contrary view as to whether alcohol contributed or caused the increase of enzymes in Mr. Sam's liver thereby causing its destruction.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I am required to weigh the evidence of the experts and I may accept or reject portions of any of the doctors' evidence or the reports themselves. However, such steps must be based on consideration of each of the reports and the viva voce evidence and the respective expertise of the physicians.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In this instance, on all the evidence, I am unable to conclude that the alcohol consumption was the triggering factor that resulted in the rise of enzymes in Mr. Sam's liver and caused its total destruction. I do so because the quantity of alcohol consumed and the times of consumption are so vague. I prefer the opinion of Dr. Steinbrecher on this issue over that of Dr. Wright. I find therefore that he was not contributorily negligent. I also find that alcohol was not the triggering cause of the destruction of his liver and that it was the INH medicine. I have found earlier in these reasons that Dr. Wilson, the Provincial Crown as the "umbrella" of the Health Unit and the TB Control were negligent in failing to insure that Mr. Sam had liver function tests done according to the TB Control protocol.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I find that the defendants, Dr. John Crighton Norwell Wilson, Her Majesty the Queen in the Right of the Province of British Columbia are jointly and severally liable to Mr. Sam for their respective omissions or failure to provide a reasonable standard of care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As to damages, Mr. Sam was fortunate that the "transplant team" at the Vancouver General Hospital were able to perform an emergency liver transplant operation. The evidence from Mr. Sam was that he has had a slow recovery and it was only after a year to eighteen months that he regained his health. I find that he was not able to work during that year. He also underwent the hernia operation. More importantly, he must be on anti-rejection drugs for the rest of his life. That indicates the possibility of failure could occur at any time of the transplanted liver.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According to Dr. Steinbrecher, the plaintiff had a "generally good result and recovery from his transplant but he is no means out of the woods." According to Dr. Steinbrecher he has traded one chronic illness for another and faces an uncertain future with the potential of early death or development of disease.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Because of these events there has been a profound psychological impact on Mr. Sam. He has not returned to his previous occupation as a firefighter and has now begun work as a native carver. I have considered the evidence of Mr. Sam's father and his sister, Mrs. Duncan on the effects that this matter has had upon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I have also considered the evidence of Mr. Sam's partner, Ms. McGee, as to his limited physical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I was not presented with authorities as to damages awarded relative to organ transplants. I am of the view that the general damages that must be awarded in this instance is the sum of $150,000.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The plaintiff also seeks past wage losses for one year to eighteen months because of his convalescence after the surgery. The evidence is that when he was employed in a full-time capacity during the fire fighting season he earned approximately $27,000 in 1996. As mentioned earlier he worked also on a highway contracting crew at the rate of $2,600 per month. The plaintiff submits that he was debilitated for a period of one to one and one half years. I so find and I set the amount of lost income at $70,000.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The plaintiff also seeks the sum of $10,000 to cover past and future expenses. That sum is allowed.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There will be costs to the plaintiff on Scale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LANDER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pPr>
      <w:r>
        <w:rPr>
          <w:rFonts w:ascii="arial" w:eastAsia="arial" w:hAnsi="arial" w:cs="arial"/>
          <w:sz w:val="20"/>
          <w:lang w:val="en-US" w:eastAsia="en-US" w:bidi="ar-SA"/>
        </w:rPr>
        <w:br/>
      </w:r>
      <w:r>
        <w:pict>
          <v:line id="_x0000_s1263" style="position:absolute;z-index:251898880"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Fillion (Guardian ad litem of) v. Balko, [2003] B.C.J. No. 621</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Hixon (Guardian ad litem of) v. Roberts, [2003] B.C.J. No. 1328</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Prasad v. Wepruk, [2004] B.C.J. No. 868</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Royal Bank of Canada v. Westech Appraisal Services Ltd., [2018] B.C.J. No. 535</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Spraggs &amp; Co. Law Corp. v. Lopushinsky, [2002] B.C.J. No. 1753</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Strachan (Guardian ad litem of) v. Reynolds, [2004] B.C.J. No. 1418</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Van Gaalen v. Janif, [2000] B.C.J. No. 201</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X v. R.D.M., [2004] B.C.J. No. 2044</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Zacharias v. Leys, [2003] B.C.J. No. 1811</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0715257 B.C. Ltd. v. Longiaru, [2008] B.C.J. No. 1808</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Atlantic Waste Systems Ltd. v. Canada (Attorney General), [2014] B.C.J. No. 510</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Campbell River Common Shopping Centre Ltd. v. Nuszdorfer, [2013] B.C.J. No. 156</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Clifford v. Slater, [2007] B.C.J. No. 249</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Gulkison v. Vancouver Police Board, [2014] B.C.J. No. 716</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Harris v. Sweet, [2006] B.C.J. No. 1123</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Jackson v. Rooney, [2007] B.C.J. No. 1199</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Middleton v. Morcke, [2007] B.C.J. No. 1237</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Millichamp v. Manhas, [2006] B.C.J. No. 208</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Moses v. Kim, [2007] B.C.J. No. 2045</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Peters v. Co-operators Life Insurance Co., [2007] B.C.J. No. 1642</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Singh v. Nielsen, [2016] B.C.J. No. 2729</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Stene v. Sun Life Assurance Co. of Canada, [2018] B.C.J. No. 3704</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Westfair Foods Ltd. v. Carter, [2001] B.C.J. No. 860</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Haczewski v. British Columbia, [2012] B.C.J. No. 528</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347671 B.C. Ltd. v. Heenan Blaikie, [2000] B.C.J. No. 2378</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929505 Alberta Ltd. (c.o.b. Clint Bayless) v. Mullen Trucking Inc., [2005] B.C.J. No. 306</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Alexis v. Drury, [2013] B.C.J. No. 2596</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Buchy v. Villars, [2008] B.C.J. No. 551</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Canadian Western Trust Co. v. Balakshin, [2008] B.C.J. No. 1157</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Dechev v. Judas, [2004] B.C.J. No. 2465</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Forde v. Interior Health Authority (c.o.b. Royal Inland Hospital), [2007] B.C.J. No. 2526</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Fraser v. Vancouver (City), [2016] B.C.J. No. 1217</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Gladney v. Capital (Regional District), [2015] B.C.J. No. 3017</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Henderson v. Porter, [2001] B.C.J. No. 2588</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Hertz Canada Ltd. v. Suburban Motors Ltd., [2000] B.C.J. No. 830</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Heuser v. Carnovale, [2016] B.C.J. No. 2937</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Insurance Corp. of British Columbia v. Hilbar Enterprises, [2005] B.C.J. No. 1464</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Isadore v. MacIntosh, [2000] B.C.J. No. 2247</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Johnny v. Palmantier, [2004] B.C.J. No. 1793</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K.F. Evans Ltd. v. Canada (Attorney General), [2002] B.C.J. No. 2764</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Lamoureux v. Lightburn, [2016] B.C.J. No. 394</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Law (Guardian ad litem of) v. Fraser, [2002] B.C.J. No. 1598</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Makowsky (Guardian ad litem of) v. Jaron, [2004] B.C.J. No. 15</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Mann v. Kendall, [2012] B.C.J. No. 2660</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M.D. (Guardian ad litem of) v. British Columbia, [2000] B.C.J. No. 915</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Mills v. Merrill Lynch Canada Inc., [2005] B.C.J. No. 210</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Moses v. Kim, [2007] B.C.J. No. 2693</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Patterson v. Hawkes Mortgage Ltd., [2000] B.C.J. No. 1350</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Pohl v. Greater Vancouver Transportation Authority, [2007] B.C.J. No. 1778</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Sam v. Wilson, [2004] B.C.J. No. 2315</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decimal"/>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iii)"/>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2"/>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3"/>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4"/>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000001C"/>
    <w:multiLevelType w:val="multilevel"/>
    <w:tmpl w:val="0000001C"/>
    <w:lvl w:ilvl="0">
      <w:start w:val="2"/>
      <w:numFmt w:val="lowerLetter"/>
      <w:lvlText w:val=" %1)"/>
      <w:lvlJc w:val="left"/>
      <w:pPr>
        <w:tabs>
          <w:tab w:val="num" w:pos="1480"/>
        </w:tabs>
        <w:ind w:left="1480" w:hanging="400"/>
      </w:pPr>
      <w:rPr>
        <w:b/>
        <w:i/>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0000001D"/>
    <w:multiLevelType w:val="multilevel"/>
    <w:tmpl w:val="0000001D"/>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0000001E"/>
    <w:multiLevelType w:val="multilevel"/>
    <w:tmpl w:val="0000001E"/>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0000001F"/>
    <w:multiLevelType w:val="multilevel"/>
    <w:tmpl w:val="0000001F"/>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00000020"/>
    <w:multiLevelType w:val="multilevel"/>
    <w:tmpl w:val="00000020"/>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00000021"/>
    <w:multiLevelType w:val="multilevel"/>
    <w:tmpl w:val="0000002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00000022"/>
    <w:multiLevelType w:val="multilevel"/>
    <w:tmpl w:val="00000022"/>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00000023"/>
    <w:multiLevelType w:val="multilevel"/>
    <w:tmpl w:val="00000023"/>
    <w:lvl w:ilvl="0">
      <w:start w:val="2"/>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00000024"/>
    <w:multiLevelType w:val="multilevel"/>
    <w:tmpl w:val="00000024"/>
    <w:lvl w:ilvl="0">
      <w:start w:val="3"/>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nsid w:val="00000025"/>
    <w:multiLevelType w:val="multilevel"/>
    <w:tmpl w:val="00000025"/>
    <w:lvl w:ilvl="0">
      <w:start w:val="4"/>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nsid w:val="00000026"/>
    <w:multiLevelType w:val="multilevel"/>
    <w:tmpl w:val="00000026"/>
    <w:lvl w:ilvl="0">
      <w:start w:val="5"/>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nsid w:val="00000027"/>
    <w:multiLevelType w:val="multilevel"/>
    <w:tmpl w:val="00000027"/>
    <w:lvl w:ilvl="0">
      <w:start w:val="6"/>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nsid w:val="00000028"/>
    <w:multiLevelType w:val="multilevel"/>
    <w:tmpl w:val="00000028"/>
    <w:lvl w:ilvl="0">
      <w:start w:val="7"/>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nsid w:val="00000029"/>
    <w:multiLevelType w:val="multilevel"/>
    <w:tmpl w:val="00000029"/>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nsid w:val="0000002A"/>
    <w:multiLevelType w:val="multilevel"/>
    <w:tmpl w:val="0000002A"/>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nsid w:val="0000002B"/>
    <w:multiLevelType w:val="multilevel"/>
    <w:tmpl w:val="0000002B"/>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nsid w:val="0000002C"/>
    <w:multiLevelType w:val="multilevel"/>
    <w:tmpl w:val="0000002C"/>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
    <w:nsid w:val="0000002D"/>
    <w:multiLevelType w:val="multilevel"/>
    <w:tmpl w:val="0000002D"/>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nsid w:val="0000002E"/>
    <w:multiLevelType w:val="multilevel"/>
    <w:tmpl w:val="0000002E"/>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nsid w:val="0000002F"/>
    <w:multiLevelType w:val="multilevel"/>
    <w:tmpl w:val="0000002F"/>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7">
    <w:nsid w:val="00000030"/>
    <w:multiLevelType w:val="multilevel"/>
    <w:tmpl w:val="00000030"/>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
    <w:nsid w:val="00000031"/>
    <w:multiLevelType w:val="multilevel"/>
    <w:tmpl w:val="0000003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9">
    <w:nsid w:val="00000032"/>
    <w:multiLevelType w:val="multilevel"/>
    <w:tmpl w:val="00000032"/>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0">
    <w:nsid w:val="00000033"/>
    <w:multiLevelType w:val="multilevel"/>
    <w:tmpl w:val="00000033"/>
    <w:lvl w:ilvl="0">
      <w:start w:val="2"/>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
    <w:nsid w:val="00000034"/>
    <w:multiLevelType w:val="multilevel"/>
    <w:tmpl w:val="00000034"/>
    <w:lvl w:ilvl="0">
      <w:start w:val="3"/>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2">
    <w:nsid w:val="00000035"/>
    <w:multiLevelType w:val="multilevel"/>
    <w:tmpl w:val="00000035"/>
    <w:lvl w:ilvl="0">
      <w:start w:val="4"/>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3">
    <w:nsid w:val="00000036"/>
    <w:multiLevelType w:val="multilevel"/>
    <w:tmpl w:val="00000036"/>
    <w:lvl w:ilvl="0">
      <w:start w:val="5"/>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4">
    <w:nsid w:val="00000037"/>
    <w:multiLevelType w:val="multilevel"/>
    <w:tmpl w:val="00000037"/>
    <w:lvl w:ilvl="0">
      <w:start w:val="6"/>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5">
    <w:nsid w:val="00000038"/>
    <w:multiLevelType w:val="multilevel"/>
    <w:tmpl w:val="00000038"/>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6">
    <w:nsid w:val="00000039"/>
    <w:multiLevelType w:val="multilevel"/>
    <w:tmpl w:val="00000039"/>
    <w:lvl w:ilvl="0">
      <w:start w:val="2"/>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7">
    <w:nsid w:val="0000003A"/>
    <w:multiLevelType w:val="multilevel"/>
    <w:tmpl w:val="0000003A"/>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8">
    <w:nsid w:val="0000003B"/>
    <w:multiLevelType w:val="multilevel"/>
    <w:tmpl w:val="0000003B"/>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9">
    <w:nsid w:val="0000003C"/>
    <w:multiLevelType w:val="multilevel"/>
    <w:tmpl w:val="0000003C"/>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0">
    <w:nsid w:val="0000003D"/>
    <w:multiLevelType w:val="multilevel"/>
    <w:tmpl w:val="0000003D"/>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1">
    <w:nsid w:val="0000003E"/>
    <w:multiLevelType w:val="multilevel"/>
    <w:tmpl w:val="0000003E"/>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2">
    <w:nsid w:val="0000003F"/>
    <w:multiLevelType w:val="multilevel"/>
    <w:tmpl w:val="0000003F"/>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3">
    <w:nsid w:val="00000040"/>
    <w:multiLevelType w:val="multilevel"/>
    <w:tmpl w:val="00000040"/>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4">
    <w:nsid w:val="00000041"/>
    <w:multiLevelType w:val="multilevel"/>
    <w:tmpl w:val="0000004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5">
    <w:nsid w:val="00000042"/>
    <w:multiLevelType w:val="multilevel"/>
    <w:tmpl w:val="00000042"/>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6">
    <w:nsid w:val="00000043"/>
    <w:multiLevelType w:val="multilevel"/>
    <w:tmpl w:val="00000043"/>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7">
    <w:nsid w:val="00000044"/>
    <w:multiLevelType w:val="multilevel"/>
    <w:tmpl w:val="00000044"/>
    <w:lvl w:ilvl="0">
      <w:start w:val="2"/>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8">
    <w:nsid w:val="00000045"/>
    <w:multiLevelType w:val="multilevel"/>
    <w:tmpl w:val="00000045"/>
    <w:lvl w:ilvl="0">
      <w:start w:val="3"/>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9">
    <w:nsid w:val="00000046"/>
    <w:multiLevelType w:val="multilevel"/>
    <w:tmpl w:val="00000046"/>
    <w:lvl w:ilvl="0">
      <w:start w:val="4"/>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0">
    <w:nsid w:val="00000047"/>
    <w:multiLevelType w:val="multilevel"/>
    <w:tmpl w:val="00000047"/>
    <w:lvl w:ilvl="0">
      <w:start w:val="1"/>
      <w:numFmt w:val="lowerRoman"/>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1">
    <w:nsid w:val="00000048"/>
    <w:multiLevelType w:val="multilevel"/>
    <w:tmpl w:val="00000048"/>
    <w:lvl w:ilvl="0">
      <w:start w:val="1"/>
      <w:numFmt w:val="decimal"/>
      <w:lvlText w:val="ii."/>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2">
    <w:nsid w:val="00000049"/>
    <w:multiLevelType w:val="multilevel"/>
    <w:tmpl w:val="00000049"/>
    <w:lvl w:ilvl="0">
      <w:start w:val="1"/>
      <w:numFmt w:val="decimal"/>
      <w:lvlText w:val="iii."/>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3">
    <w:nsid w:val="0000004A"/>
    <w:multiLevelType w:val="multilevel"/>
    <w:tmpl w:val="0000004A"/>
    <w:lvl w:ilvl="0">
      <w:start w:val="1"/>
      <w:numFmt w:val="decimal"/>
      <w:lvlText w:val="299."/>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4">
    <w:nsid w:val="0000004B"/>
    <w:multiLevelType w:val="multilevel"/>
    <w:tmpl w:val="0000004B"/>
    <w:lvl w:ilvl="0">
      <w:start w:val="1"/>
      <w:numFmt w:val="decimal"/>
      <w:lvlText w:val="24."/>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5">
    <w:nsid w:val="0000004C"/>
    <w:multiLevelType w:val="multilevel"/>
    <w:tmpl w:val="0000004C"/>
    <w:lvl w:ilvl="0">
      <w:start w:val="1"/>
      <w:numFmt w:val="decimal"/>
      <w:lvlText w:val=" %1."/>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6">
    <w:nsid w:val="0000004D"/>
    <w:multiLevelType w:val="multilevel"/>
    <w:tmpl w:val="0000004D"/>
    <w:lvl w:ilvl="0">
      <w:start w:val="1"/>
      <w:numFmt w:val="decimal"/>
      <w:lvlText w:val="25."/>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7">
    <w:nsid w:val="0000004E"/>
    <w:multiLevelType w:val="multilevel"/>
    <w:tmpl w:val="0000004E"/>
    <w:lvl w:ilvl="0">
      <w:start w:val="1"/>
      <w:numFmt w:val="decimal"/>
      <w:lvlText w:val="26."/>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8">
    <w:nsid w:val="0000004F"/>
    <w:multiLevelType w:val="multilevel"/>
    <w:tmpl w:val="0000004F"/>
    <w:lvl w:ilvl="0">
      <w:start w:val="1"/>
      <w:numFmt w:val="decimal"/>
      <w:lvlText w:val=" %1."/>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9">
    <w:nsid w:val="00000050"/>
    <w:multiLevelType w:val="multilevel"/>
    <w:tmpl w:val="00000050"/>
    <w:lvl w:ilvl="0">
      <w:start w:val="1"/>
      <w:numFmt w:val="decimal"/>
      <w:lvlText w:val="(ii)"/>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0">
    <w:nsid w:val="00000051"/>
    <w:multiLevelType w:val="multilevel"/>
    <w:tmpl w:val="00000051"/>
    <w:lvl w:ilvl="0">
      <w:start w:val="1"/>
      <w:numFmt w:val="decimal"/>
      <w:lvlText w:val="239."/>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1">
    <w:nsid w:val="00000052"/>
    <w:multiLevelType w:val="multilevel"/>
    <w:tmpl w:val="00000052"/>
    <w:lvl w:ilvl="0">
      <w:start w:val="1"/>
      <w:numFmt w:val="decimal"/>
      <w:lvlText w:val="240."/>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2">
    <w:nsid w:val="00000053"/>
    <w:multiLevelType w:val="multilevel"/>
    <w:tmpl w:val="00000053"/>
    <w:lvl w:ilvl="0">
      <w:start w:val="1"/>
      <w:numFmt w:val="decimal"/>
      <w:lvlText w:val="24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3">
    <w:nsid w:val="00000054"/>
    <w:multiLevelType w:val="multilevel"/>
    <w:tmpl w:val="00000054"/>
    <w:lvl w:ilvl="0">
      <w:start w:val="1"/>
      <w:numFmt w:val="decimal"/>
      <w:lvlText w:val="242."/>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4">
    <w:nsid w:val="00000055"/>
    <w:multiLevelType w:val="multilevel"/>
    <w:tmpl w:val="00000055"/>
    <w:lvl w:ilvl="0">
      <w:start w:val="1"/>
      <w:numFmt w:val="decimal"/>
      <w:lvlText w:val="(iii)"/>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5">
    <w:nsid w:val="00000056"/>
    <w:multiLevelType w:val="multilevel"/>
    <w:tmpl w:val="00000056"/>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6">
    <w:nsid w:val="00000057"/>
    <w:multiLevelType w:val="multilevel"/>
    <w:tmpl w:val="00000057"/>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7">
    <w:nsid w:val="00000058"/>
    <w:multiLevelType w:val="multilevel"/>
    <w:tmpl w:val="00000058"/>
    <w:lvl w:ilvl="0">
      <w:start w:val="1"/>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8">
    <w:nsid w:val="00000059"/>
    <w:multiLevelType w:val="multilevel"/>
    <w:tmpl w:val="00000059"/>
    <w:lvl w:ilvl="0">
      <w:start w:val="1"/>
      <w:numFmt w:val="decimal"/>
      <w:lvlText w:val="49."/>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9">
    <w:nsid w:val="0000005A"/>
    <w:multiLevelType w:val="multilevel"/>
    <w:tmpl w:val="0000005A"/>
    <w:lvl w:ilvl="0">
      <w:start w:val="1"/>
      <w:numFmt w:val="decimal"/>
      <w:lvlText w:val="50."/>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0">
    <w:nsid w:val="0000005B"/>
    <w:multiLevelType w:val="multilevel"/>
    <w:tmpl w:val="0000005B"/>
    <w:lvl w:ilvl="0">
      <w:start w:val="1"/>
      <w:numFmt w:val="decimal"/>
      <w:lvlText w:val="5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1">
    <w:nsid w:val="0000005C"/>
    <w:multiLevelType w:val="multilevel"/>
    <w:tmpl w:val="0000005C"/>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2">
    <w:nsid w:val="0000005D"/>
    <w:multiLevelType w:val="multilevel"/>
    <w:tmpl w:val="0000005D"/>
    <w:lvl w:ilvl="0">
      <w:start w:val="2"/>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3">
    <w:nsid w:val="0000005E"/>
    <w:multiLevelType w:val="multilevel"/>
    <w:tmpl w:val="0000005E"/>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4">
    <w:nsid w:val="0000005F"/>
    <w:multiLevelType w:val="multilevel"/>
    <w:tmpl w:val="0000005F"/>
    <w:lvl w:ilvl="0">
      <w:start w:val="2"/>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5">
    <w:nsid w:val="00000060"/>
    <w:multiLevelType w:val="multilevel"/>
    <w:tmpl w:val="00000060"/>
    <w:lvl w:ilvl="0">
      <w:start w:val="4"/>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6">
    <w:nsid w:val="00000061"/>
    <w:multiLevelType w:val="multilevel"/>
    <w:tmpl w:val="00000061"/>
    <w:lvl w:ilvl="0">
      <w:start w:val="1"/>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7">
    <w:nsid w:val="00000062"/>
    <w:multiLevelType w:val="multilevel"/>
    <w:tmpl w:val="00000062"/>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8">
    <w:nsid w:val="00000063"/>
    <w:multiLevelType w:val="multilevel"/>
    <w:tmpl w:val="00000063"/>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9">
    <w:nsid w:val="00000064"/>
    <w:multiLevelType w:val="multilevel"/>
    <w:tmpl w:val="00000064"/>
    <w:lvl w:ilvl="0">
      <w:start w:val="1"/>
      <w:numFmt w:val="decimal"/>
      <w:lvlText w:val="VIII."/>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0">
    <w:nsid w:val="00000065"/>
    <w:multiLevelType w:val="multilevel"/>
    <w:tmpl w:val="00000065"/>
    <w:lvl w:ilvl="0">
      <w:start w:val="1"/>
      <w:numFmt w:val="decimal"/>
      <w:lvlText w:val="IX."/>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1">
    <w:nsid w:val="016C7280"/>
    <w:multiLevelType w:val="multilevel"/>
    <w:tmpl w:val="00000001"/>
    <w:lvl w:ilvl="0">
      <w:start w:val="1"/>
      <w:numFmt w:val="decimal"/>
      <w:lvlText w:val="18."/>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2">
    <w:nsid w:val="0749E361"/>
    <w:multiLevelType w:val="multilevel"/>
    <w:tmpl w:val="00000001"/>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3">
    <w:nsid w:val="07DEE9D6"/>
    <w:multiLevelType w:val="multilevel"/>
    <w:tmpl w:val="00000001"/>
    <w:lvl w:ilvl="0">
      <w:start w:val="3"/>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4">
    <w:nsid w:val="0ACE50F1"/>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5">
    <w:nsid w:val="0B95BDDC"/>
    <w:multiLevelType w:val="multilevel"/>
    <w:tmpl w:val="00000001"/>
    <w:lvl w:ilvl="0">
      <w:start w:val="1"/>
      <w:numFmt w:val="upperRoman"/>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6">
    <w:nsid w:val="0C4966A2"/>
    <w:multiLevelType w:val="multilevel"/>
    <w:tmpl w:val="00000001"/>
    <w:lvl w:ilvl="0">
      <w:start w:val="1"/>
      <w:numFmt w:val="upperRoman"/>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7">
    <w:nsid w:val="11CADCE0"/>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8">
    <w:nsid w:val="1320B8C2"/>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9">
    <w:nsid w:val="14E6AE57"/>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0">
    <w:nsid w:val="1A23AE1B"/>
    <w:multiLevelType w:val="multilevel"/>
    <w:tmpl w:val="00000001"/>
    <w:lvl w:ilvl="0">
      <w:start w:val="7"/>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1">
    <w:nsid w:val="1F481A59"/>
    <w:multiLevelType w:val="multilevel"/>
    <w:tmpl w:val="00000001"/>
    <w:lvl w:ilvl="0">
      <w:start w:val="1"/>
      <w:numFmt w:val="upp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2">
    <w:nsid w:val="1F633BA8"/>
    <w:multiLevelType w:val="multilevel"/>
    <w:tmpl w:val="00000001"/>
    <w:lvl w:ilvl="0">
      <w:start w:val="1"/>
      <w:numFmt w:val="lowerLetter"/>
      <w:lvlText w:val="(%1)"/>
      <w:lvlJc w:val="left"/>
      <w:pPr>
        <w:tabs>
          <w:tab w:val="num" w:pos="1120"/>
        </w:tabs>
        <w:ind w:left="112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3">
    <w:nsid w:val="205A1219"/>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4">
    <w:nsid w:val="22AABD2C"/>
    <w:multiLevelType w:val="multilevel"/>
    <w:tmpl w:val="00000001"/>
    <w:lvl w:ilvl="0">
      <w:start w:val="1"/>
      <w:numFmt w:val="lowerLetter"/>
      <w:lvlText w:val="(%1)"/>
      <w:lvlJc w:val="left"/>
      <w:pPr>
        <w:tabs>
          <w:tab w:val="num" w:pos="1120"/>
        </w:tabs>
        <w:ind w:left="112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5">
    <w:nsid w:val="274AB018"/>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6">
    <w:nsid w:val="27A6E832"/>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7">
    <w:nsid w:val="2FE128C2"/>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8">
    <w:nsid w:val="34699310"/>
    <w:multiLevelType w:val="multilevel"/>
    <w:tmpl w:val="00000001"/>
    <w:lvl w:ilvl="0">
      <w:start w:val="1"/>
      <w:numFmt w:val="decimal"/>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9">
    <w:nsid w:val="35D267B9"/>
    <w:multiLevelType w:val="multilevel"/>
    <w:tmpl w:val="00000001"/>
    <w:lvl w:ilvl="0">
      <w:start w:val="1"/>
      <w:numFmt w:val="upperRoman"/>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0">
    <w:nsid w:val="378A06CA"/>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1">
    <w:nsid w:val="37BFE672"/>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2">
    <w:nsid w:val="3B968576"/>
    <w:multiLevelType w:val="multilevel"/>
    <w:tmpl w:val="00000001"/>
    <w:lvl w:ilvl="0">
      <w:start w:val="1"/>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3">
    <w:nsid w:val="3BC4E7E1"/>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4">
    <w:nsid w:val="3DE434C7"/>
    <w:multiLevelType w:val="multilevel"/>
    <w:tmpl w:val="00000001"/>
    <w:lvl w:ilvl="0">
      <w:start w:val="1"/>
      <w:numFmt w:val="lowerRoman"/>
      <w:lvlText w:val="(%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5">
    <w:nsid w:val="45052650"/>
    <w:multiLevelType w:val="multilevel"/>
    <w:tmpl w:val="00000001"/>
    <w:lvl w:ilvl="0">
      <w:start w:val="1"/>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6">
    <w:nsid w:val="4852C502"/>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7">
    <w:nsid w:val="4924A0BF"/>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8">
    <w:nsid w:val="547CA512"/>
    <w:multiLevelType w:val="multilevel"/>
    <w:tmpl w:val="00000001"/>
    <w:lvl w:ilvl="0">
      <w:start w:val="3"/>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9">
    <w:nsid w:val="56DE6CA7"/>
    <w:multiLevelType w:val="multilevel"/>
    <w:tmpl w:val="00000001"/>
    <w:lvl w:ilvl="0">
      <w:start w:val="1"/>
      <w:numFmt w:val="decimal"/>
      <w:lvlText w:val="(10)"/>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0">
    <w:nsid w:val="5B252645"/>
    <w:multiLevelType w:val="multilevel"/>
    <w:tmpl w:val="00000001"/>
    <w:lvl w:ilvl="0">
      <w:start w:val="1"/>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1">
    <w:nsid w:val="5E6993CC"/>
    <w:multiLevelType w:val="multilevel"/>
    <w:tmpl w:val="00000001"/>
    <w:lvl w:ilvl="0">
      <w:start w:val="1"/>
      <w:numFmt w:val="decimal"/>
      <w:lvlText w:val="i)"/>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2">
    <w:nsid w:val="638AF03C"/>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3">
    <w:nsid w:val="6484E083"/>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4">
    <w:nsid w:val="67D76B10"/>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5">
    <w:nsid w:val="6A839F98"/>
    <w:multiLevelType w:val="multilevel"/>
    <w:tmpl w:val="00000001"/>
    <w:lvl w:ilvl="0">
      <w:start w:val="9"/>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6">
    <w:nsid w:val="6E67F2DF"/>
    <w:multiLevelType w:val="multilevel"/>
    <w:tmpl w:val="00000001"/>
    <w:lvl w:ilvl="0">
      <w:start w:val="3"/>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7">
    <w:nsid w:val="6ECFC3B7"/>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8">
    <w:nsid w:val="790D8560"/>
    <w:multiLevelType w:val="multilevel"/>
    <w:tmpl w:val="00000001"/>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9">
    <w:nsid w:val="7B052004"/>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0">
    <w:nsid w:val="7FD98FD5"/>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131"/>
  </w:num>
  <w:num w:numId="4">
    <w:abstractNumId w:val="2"/>
  </w:num>
  <w:num w:numId="5">
    <w:abstractNumId w:val="3"/>
  </w:num>
  <w:num w:numId="6">
    <w:abstractNumId w:val="129"/>
  </w:num>
  <w:num w:numId="7">
    <w:abstractNumId w:val="4"/>
  </w:num>
  <w:num w:numId="8">
    <w:abstractNumId w:val="5"/>
  </w:num>
  <w:num w:numId="9">
    <w:abstractNumId w:val="6"/>
  </w:num>
  <w:num w:numId="10">
    <w:abstractNumId w:val="7"/>
  </w:num>
  <w:num w:numId="11">
    <w:abstractNumId w:val="8"/>
  </w:num>
  <w:num w:numId="12">
    <w:abstractNumId w:val="9"/>
  </w:num>
  <w:num w:numId="13">
    <w:abstractNumId w:val="10"/>
  </w:num>
  <w:num w:numId="14">
    <w:abstractNumId w:val="11"/>
  </w:num>
  <w:num w:numId="15">
    <w:abstractNumId w:val="12"/>
  </w:num>
  <w:num w:numId="16">
    <w:abstractNumId w:val="13"/>
  </w:num>
  <w:num w:numId="17">
    <w:abstractNumId w:val="14"/>
  </w:num>
  <w:num w:numId="18">
    <w:abstractNumId w:val="15"/>
  </w:num>
  <w:num w:numId="19">
    <w:abstractNumId w:val="16"/>
  </w:num>
  <w:num w:numId="20">
    <w:abstractNumId w:val="17"/>
  </w:num>
  <w:num w:numId="21">
    <w:abstractNumId w:val="18"/>
  </w:num>
  <w:num w:numId="22">
    <w:abstractNumId w:val="19"/>
  </w:num>
  <w:num w:numId="23">
    <w:abstractNumId w:val="20"/>
  </w:num>
  <w:num w:numId="24">
    <w:abstractNumId w:val="21"/>
  </w:num>
  <w:num w:numId="25">
    <w:abstractNumId w:val="22"/>
  </w:num>
  <w:num w:numId="26">
    <w:abstractNumId w:val="23"/>
  </w:num>
  <w:num w:numId="27">
    <w:abstractNumId w:val="24"/>
  </w:num>
  <w:num w:numId="28">
    <w:abstractNumId w:val="25"/>
  </w:num>
  <w:num w:numId="29">
    <w:abstractNumId w:val="26"/>
  </w:num>
  <w:num w:numId="30">
    <w:abstractNumId w:val="27"/>
  </w:num>
  <w:num w:numId="31">
    <w:abstractNumId w:val="28"/>
  </w:num>
  <w:num w:numId="32">
    <w:abstractNumId w:val="29"/>
  </w:num>
  <w:num w:numId="33">
    <w:abstractNumId w:val="30"/>
  </w:num>
  <w:num w:numId="34">
    <w:abstractNumId w:val="31"/>
  </w:num>
  <w:num w:numId="35">
    <w:abstractNumId w:val="32"/>
  </w:num>
  <w:num w:numId="36">
    <w:abstractNumId w:val="33"/>
  </w:num>
  <w:num w:numId="37">
    <w:abstractNumId w:val="34"/>
  </w:num>
  <w:num w:numId="38">
    <w:abstractNumId w:val="35"/>
  </w:num>
  <w:num w:numId="39">
    <w:abstractNumId w:val="36"/>
  </w:num>
  <w:num w:numId="40">
    <w:abstractNumId w:val="37"/>
  </w:num>
  <w:num w:numId="41">
    <w:abstractNumId w:val="38"/>
  </w:num>
  <w:num w:numId="42">
    <w:abstractNumId w:val="39"/>
  </w:num>
  <w:num w:numId="43">
    <w:abstractNumId w:val="40"/>
  </w:num>
  <w:num w:numId="44">
    <w:abstractNumId w:val="41"/>
  </w:num>
  <w:num w:numId="45">
    <w:abstractNumId w:val="42"/>
  </w:num>
  <w:num w:numId="46">
    <w:abstractNumId w:val="43"/>
  </w:num>
  <w:num w:numId="47">
    <w:abstractNumId w:val="44"/>
  </w:num>
  <w:num w:numId="48">
    <w:abstractNumId w:val="45"/>
  </w:num>
  <w:num w:numId="49">
    <w:abstractNumId w:val="46"/>
  </w:num>
  <w:num w:numId="50">
    <w:abstractNumId w:val="47"/>
  </w:num>
  <w:num w:numId="51">
    <w:abstractNumId w:val="48"/>
  </w:num>
  <w:num w:numId="52">
    <w:abstractNumId w:val="49"/>
  </w:num>
  <w:num w:numId="53">
    <w:abstractNumId w:val="50"/>
  </w:num>
  <w:num w:numId="54">
    <w:abstractNumId w:val="51"/>
  </w:num>
  <w:num w:numId="55">
    <w:abstractNumId w:val="52"/>
  </w:num>
  <w:num w:numId="56">
    <w:abstractNumId w:val="53"/>
  </w:num>
  <w:num w:numId="57">
    <w:abstractNumId w:val="54"/>
  </w:num>
  <w:num w:numId="58">
    <w:abstractNumId w:val="55"/>
  </w:num>
  <w:num w:numId="59">
    <w:abstractNumId w:val="56"/>
  </w:num>
  <w:num w:numId="60">
    <w:abstractNumId w:val="57"/>
  </w:num>
  <w:num w:numId="61">
    <w:abstractNumId w:val="58"/>
  </w:num>
  <w:num w:numId="62">
    <w:abstractNumId w:val="59"/>
  </w:num>
  <w:num w:numId="63">
    <w:abstractNumId w:val="60"/>
  </w:num>
  <w:num w:numId="64">
    <w:abstractNumId w:val="61"/>
  </w:num>
  <w:num w:numId="65">
    <w:abstractNumId w:val="62"/>
  </w:num>
  <w:num w:numId="66">
    <w:abstractNumId w:val="63"/>
  </w:num>
  <w:num w:numId="67">
    <w:abstractNumId w:val="64"/>
  </w:num>
  <w:num w:numId="68">
    <w:abstractNumId w:val="65"/>
  </w:num>
  <w:num w:numId="69">
    <w:abstractNumId w:val="66"/>
  </w:num>
  <w:num w:numId="70">
    <w:abstractNumId w:val="67"/>
  </w:num>
  <w:num w:numId="71">
    <w:abstractNumId w:val="68"/>
  </w:num>
  <w:num w:numId="72">
    <w:abstractNumId w:val="69"/>
  </w:num>
  <w:num w:numId="73">
    <w:abstractNumId w:val="70"/>
  </w:num>
  <w:num w:numId="74">
    <w:abstractNumId w:val="71"/>
  </w:num>
  <w:num w:numId="75">
    <w:abstractNumId w:val="72"/>
  </w:num>
  <w:num w:numId="76">
    <w:abstractNumId w:val="135"/>
  </w:num>
  <w:num w:numId="77">
    <w:abstractNumId w:val="111"/>
  </w:num>
  <w:num w:numId="78">
    <w:abstractNumId w:val="113"/>
  </w:num>
  <w:num w:numId="79">
    <w:abstractNumId w:val="106"/>
  </w:num>
  <w:num w:numId="80">
    <w:abstractNumId w:val="73"/>
  </w:num>
  <w:num w:numId="81">
    <w:abstractNumId w:val="74"/>
  </w:num>
  <w:num w:numId="82">
    <w:abstractNumId w:val="75"/>
  </w:num>
  <w:num w:numId="83">
    <w:abstractNumId w:val="76"/>
  </w:num>
  <w:num w:numId="84">
    <w:abstractNumId w:val="77"/>
  </w:num>
  <w:num w:numId="85">
    <w:abstractNumId w:val="78"/>
  </w:num>
  <w:num w:numId="86">
    <w:abstractNumId w:val="79"/>
  </w:num>
  <w:num w:numId="87">
    <w:abstractNumId w:val="80"/>
  </w:num>
  <w:num w:numId="88">
    <w:abstractNumId w:val="81"/>
  </w:num>
  <w:num w:numId="89">
    <w:abstractNumId w:val="82"/>
  </w:num>
  <w:num w:numId="90">
    <w:abstractNumId w:val="83"/>
  </w:num>
  <w:num w:numId="91">
    <w:abstractNumId w:val="84"/>
  </w:num>
  <w:num w:numId="92">
    <w:abstractNumId w:val="85"/>
  </w:num>
  <w:num w:numId="93">
    <w:abstractNumId w:val="86"/>
  </w:num>
  <w:num w:numId="94">
    <w:abstractNumId w:val="87"/>
  </w:num>
  <w:num w:numId="95">
    <w:abstractNumId w:val="88"/>
  </w:num>
  <w:num w:numId="96">
    <w:abstractNumId w:val="89"/>
  </w:num>
  <w:num w:numId="97">
    <w:abstractNumId w:val="90"/>
  </w:num>
  <w:num w:numId="98">
    <w:abstractNumId w:val="91"/>
  </w:num>
  <w:num w:numId="99">
    <w:abstractNumId w:val="92"/>
  </w:num>
  <w:num w:numId="100">
    <w:abstractNumId w:val="93"/>
  </w:num>
  <w:num w:numId="101">
    <w:abstractNumId w:val="94"/>
  </w:num>
  <w:num w:numId="102">
    <w:abstractNumId w:val="95"/>
  </w:num>
  <w:num w:numId="103">
    <w:abstractNumId w:val="96"/>
  </w:num>
  <w:num w:numId="104">
    <w:abstractNumId w:val="97"/>
  </w:num>
  <w:num w:numId="105">
    <w:abstractNumId w:val="98"/>
  </w:num>
  <w:num w:numId="106">
    <w:abstractNumId w:val="99"/>
  </w:num>
  <w:num w:numId="107">
    <w:abstractNumId w:val="100"/>
  </w:num>
  <w:num w:numId="108">
    <w:abstractNumId w:val="104"/>
  </w:num>
  <w:num w:numId="109">
    <w:abstractNumId w:val="139"/>
  </w:num>
  <w:num w:numId="110">
    <w:abstractNumId w:val="115"/>
  </w:num>
  <w:num w:numId="111">
    <w:abstractNumId w:val="103"/>
  </w:num>
  <w:num w:numId="112">
    <w:abstractNumId w:val="110"/>
  </w:num>
  <w:num w:numId="113">
    <w:abstractNumId w:val="112"/>
  </w:num>
  <w:num w:numId="114">
    <w:abstractNumId w:val="120"/>
  </w:num>
  <w:num w:numId="115">
    <w:abstractNumId w:val="114"/>
  </w:num>
  <w:num w:numId="116">
    <w:abstractNumId w:val="127"/>
  </w:num>
  <w:num w:numId="117">
    <w:abstractNumId w:val="126"/>
  </w:num>
  <w:num w:numId="118">
    <w:abstractNumId w:val="101"/>
  </w:num>
  <w:num w:numId="119">
    <w:abstractNumId w:val="107"/>
  </w:num>
  <w:num w:numId="120">
    <w:abstractNumId w:val="122"/>
  </w:num>
  <w:num w:numId="121">
    <w:abstractNumId w:val="108"/>
  </w:num>
  <w:num w:numId="122">
    <w:abstractNumId w:val="130"/>
  </w:num>
  <w:num w:numId="123">
    <w:abstractNumId w:val="117"/>
  </w:num>
  <w:num w:numId="124">
    <w:abstractNumId w:val="124"/>
  </w:num>
  <w:num w:numId="125">
    <w:abstractNumId w:val="102"/>
  </w:num>
  <w:num w:numId="126">
    <w:abstractNumId w:val="121"/>
  </w:num>
  <w:num w:numId="127">
    <w:abstractNumId w:val="140"/>
  </w:num>
  <w:num w:numId="128">
    <w:abstractNumId w:val="137"/>
  </w:num>
  <w:num w:numId="129">
    <w:abstractNumId w:val="109"/>
  </w:num>
  <w:num w:numId="130">
    <w:abstractNumId w:val="133"/>
  </w:num>
  <w:num w:numId="131">
    <w:abstractNumId w:val="123"/>
  </w:num>
  <w:num w:numId="132">
    <w:abstractNumId w:val="136"/>
  </w:num>
  <w:num w:numId="133">
    <w:abstractNumId w:val="128"/>
  </w:num>
  <w:num w:numId="134">
    <w:abstractNumId w:val="118"/>
  </w:num>
  <w:num w:numId="135">
    <w:abstractNumId w:val="119"/>
  </w:num>
  <w:num w:numId="136">
    <w:abstractNumId w:val="132"/>
  </w:num>
  <w:num w:numId="137">
    <w:abstractNumId w:val="125"/>
  </w:num>
  <w:num w:numId="138">
    <w:abstractNumId w:val="105"/>
  </w:num>
  <w:num w:numId="139">
    <w:abstractNumId w:val="138"/>
  </w:num>
  <w:num w:numId="140">
    <w:abstractNumId w:val="134"/>
  </w:num>
  <w:num w:numId="141">
    <w:abstractNumId w:val="11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eastAsia="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cases-ca&amp;id=urn:contentItem:5F7T-S7C1-FCSB-S298-00000-00&amp;context=" TargetMode="External" /><Relationship Id="rId100" Type="http://schemas.openxmlformats.org/officeDocument/2006/relationships/hyperlink" Target="https://advance.lexis.com/api/document?collection=cases-ca&amp;id=urn:contentItem:5F7T-S751-JNS1-M1PR-00000-00&amp;context=" TargetMode="External" /><Relationship Id="rId101" Type="http://schemas.openxmlformats.org/officeDocument/2006/relationships/hyperlink" Target="https://advance.lexis.com/api/document?collection=cases-ca&amp;id=urn:contentItem:5F8T-N3R1-JJSF-231W-00000-00&amp;context=" TargetMode="External" /><Relationship Id="rId102" Type="http://schemas.openxmlformats.org/officeDocument/2006/relationships/hyperlink" Target="https://advance.lexis.com/api/document?collection=cases-ca&amp;id=urn:contentItem:5F7T-S771-FG68-G0WP-00000-00&amp;context=" TargetMode="External" /><Relationship Id="rId103" Type="http://schemas.openxmlformats.org/officeDocument/2006/relationships/hyperlink" Target="https://advance.lexis.com/api/document?collection=cases-ca&amp;id=urn:contentItem:5F7T-S781-FH4C-X2N3-00000-00&amp;context=" TargetMode="External" /><Relationship Id="rId104" Type="http://schemas.openxmlformats.org/officeDocument/2006/relationships/hyperlink" Target="https://advance.lexis.com/api/document?collection=cases-ca&amp;id=urn:contentItem:5F8T-N3S1-JT99-250X-00000-00&amp;context=" TargetMode="External" /><Relationship Id="rId105" Type="http://schemas.openxmlformats.org/officeDocument/2006/relationships/hyperlink" Target="https://advance.lexis.com/api/document?collection=cases-ca&amp;id=urn:contentItem:5F7T-S6W1-JB7K-21F4-00000-00&amp;context=" TargetMode="External" /><Relationship Id="rId106" Type="http://schemas.openxmlformats.org/officeDocument/2006/relationships/hyperlink" Target="https://advance.lexis.com/api/document?collection=cases-ca&amp;id=urn:contentItem:5F7T-S771-FG68-G0W8-00000-00&amp;context=" TargetMode="External" /><Relationship Id="rId107" Type="http://schemas.openxmlformats.org/officeDocument/2006/relationships/hyperlink" Target="https://advance.lexis.com/api/document?collection=cases-ca&amp;id=urn:contentItem:5F7T-S771-JWBS-61CX-00000-00&amp;context=" TargetMode="External" /><Relationship Id="rId108" Type="http://schemas.openxmlformats.org/officeDocument/2006/relationships/header" Target="header19.xml" /><Relationship Id="rId109" Type="http://schemas.openxmlformats.org/officeDocument/2006/relationships/header" Target="header20.xml" /><Relationship Id="rId11" Type="http://schemas.openxmlformats.org/officeDocument/2006/relationships/hyperlink" Target="https://advance.lexis.com/api/document?collection=cases-ca&amp;id=urn:contentItem:5F7T-S7B1-F7ND-G4Y8-00000-00&amp;context=" TargetMode="External" /><Relationship Id="rId110" Type="http://schemas.openxmlformats.org/officeDocument/2006/relationships/footer" Target="footer19.xml" /><Relationship Id="rId111" Type="http://schemas.openxmlformats.org/officeDocument/2006/relationships/footer" Target="footer20.xml" /><Relationship Id="rId112" Type="http://schemas.openxmlformats.org/officeDocument/2006/relationships/header" Target="header21.xml" /><Relationship Id="rId113" Type="http://schemas.openxmlformats.org/officeDocument/2006/relationships/footer" Target="footer21.xml" /><Relationship Id="rId114" Type="http://schemas.openxmlformats.org/officeDocument/2006/relationships/hyperlink" Target="https://advance.lexis.com/api/document?collection=cases-ca&amp;id=urn:contentItem:5F7T-S771-JW5H-X21T-00000-00&amp;context=" TargetMode="External" /><Relationship Id="rId115" Type="http://schemas.openxmlformats.org/officeDocument/2006/relationships/header" Target="header22.xml" /><Relationship Id="rId116" Type="http://schemas.openxmlformats.org/officeDocument/2006/relationships/header" Target="header23.xml" /><Relationship Id="rId117" Type="http://schemas.openxmlformats.org/officeDocument/2006/relationships/footer" Target="footer22.xml" /><Relationship Id="rId118" Type="http://schemas.openxmlformats.org/officeDocument/2006/relationships/footer" Target="footer23.xml" /><Relationship Id="rId119" Type="http://schemas.openxmlformats.org/officeDocument/2006/relationships/header" Target="header24.xml" /><Relationship Id="rId12" Type="http://schemas.openxmlformats.org/officeDocument/2006/relationships/hyperlink" Target="https://advance.lexis.com/api/document?collection=cases-ca&amp;id=urn:contentItem:5F8T-N3V1-JF75-M3S6-00000-00&amp;context=" TargetMode="External" /><Relationship Id="rId120" Type="http://schemas.openxmlformats.org/officeDocument/2006/relationships/footer" Target="footer24.xml" /><Relationship Id="rId121" Type="http://schemas.openxmlformats.org/officeDocument/2006/relationships/hyperlink" Target="https://advance.lexis.com/api/document?collection=cases-ca&amp;id=urn:contentItem:5F7T-S7D1-FCSB-S31M-00000-00&amp;context=" TargetMode="External" /><Relationship Id="rId122" Type="http://schemas.openxmlformats.org/officeDocument/2006/relationships/hyperlink" Target="https://advance.lexis.com/api/document?collection=cases-ca&amp;id=urn:contentItem:5F7T-S781-F06F-23N7-00000-00&amp;context=" TargetMode="External" /><Relationship Id="rId123" Type="http://schemas.openxmlformats.org/officeDocument/2006/relationships/hyperlink" Target="https://advance.lexis.com/api/document?collection=cases-ca&amp;id=urn:contentItem:5F7T-S7C1-JSRM-60W1-00000-00&amp;context=" TargetMode="External" /><Relationship Id="rId124" Type="http://schemas.openxmlformats.org/officeDocument/2006/relationships/hyperlink" Target="https://advance.lexis.com/api/document?collection=cases-ca&amp;id=urn:contentItem:5F7T-S741-F1H1-21JV-00000-00&amp;context=" TargetMode="External" /><Relationship Id="rId125" Type="http://schemas.openxmlformats.org/officeDocument/2006/relationships/hyperlink" Target="https://advance.lexis.com/api/document?collection=cases-ca&amp;id=urn:contentItem:5F16-9351-JP9P-G39R-00000-00&amp;context=" TargetMode="External" /><Relationship Id="rId126" Type="http://schemas.openxmlformats.org/officeDocument/2006/relationships/hyperlink" Target="https://advance.lexis.com/api/document?collection=cases-ca&amp;id=urn:contentItem:5F7T-S6X1-F7ND-G39N-00000-00&amp;context=" TargetMode="External" /><Relationship Id="rId127" Type="http://schemas.openxmlformats.org/officeDocument/2006/relationships/hyperlink" Target="https://advance.lexis.com/api/document?collection=cases-ca&amp;id=urn:contentItem:5F7T-S7C1-JSRM-60TP-00000-00&amp;context=" TargetMode="External" /><Relationship Id="rId128" Type="http://schemas.openxmlformats.org/officeDocument/2006/relationships/hyperlink" Target="https://advance.lexis.com/api/document?collection=cases-ca&amp;id=urn:contentItem:5F7T-S751-JP4G-61BC-00000-00&amp;context=" TargetMode="External" /><Relationship Id="rId129" Type="http://schemas.openxmlformats.org/officeDocument/2006/relationships/hyperlink" Target="https://advance.lexis.com/api/document?collection=cases-ca&amp;id=urn:contentItem:5F8T-N3V1-JTGH-B0Y8-00000-00&amp;context=" TargetMode="External" /><Relationship Id="rId13" Type="http://schemas.openxmlformats.org/officeDocument/2006/relationships/hyperlink" Target="https://advance.lexis.com/api/document?collection=cases-ca&amp;id=urn:contentItem:5F7T-S6V1-JWR6-S14N-00000-00&amp;context=" TargetMode="External" /><Relationship Id="rId130" Type="http://schemas.openxmlformats.org/officeDocument/2006/relationships/hyperlink" Target="https://advance.lexis.com/api/document?collection=cases-ca&amp;id=urn:contentItem:5F8T-N3V1-JF75-M3K1-00000-00&amp;context=" TargetMode="External" /><Relationship Id="rId131" Type="http://schemas.openxmlformats.org/officeDocument/2006/relationships/hyperlink" Target="https://advance.lexis.com/api/document?collection=cases-ca&amp;id=urn:contentItem:5F7T-S741-FJM6-61BF-00000-00&amp;context=" TargetMode="External" /><Relationship Id="rId132" Type="http://schemas.openxmlformats.org/officeDocument/2006/relationships/hyperlink" Target="https://advance.lexis.com/api/document?collection=cases-ca&amp;id=urn:contentItem:5F7T-S761-FFMK-M0YM-00000-00&amp;context=" TargetMode="External" /><Relationship Id="rId133" Type="http://schemas.openxmlformats.org/officeDocument/2006/relationships/hyperlink" Target="https://advance.lexis.com/api/document?collection=cases-ca&amp;id=urn:contentItem:5F7T-S761-F7ND-G4D2-00000-00&amp;context=" TargetMode="External" /><Relationship Id="rId134" Type="http://schemas.openxmlformats.org/officeDocument/2006/relationships/hyperlink" Target="https://advance.lexis.com/api/document?collection=cases-ca&amp;id=urn:contentItem:5F7T-S781-F900-G0W0-00000-00&amp;context=" TargetMode="External" /><Relationship Id="rId135" Type="http://schemas.openxmlformats.org/officeDocument/2006/relationships/hyperlink" Target="https://advance.lexis.com/api/document?collection=cases-ca&amp;id=urn:contentItem:5F8P-SDK1-F5DR-20V9-00000-00&amp;context=" TargetMode="External" /><Relationship Id="rId136" Type="http://schemas.openxmlformats.org/officeDocument/2006/relationships/hyperlink" Target="https://advance.lexis.com/api/document?collection=cases-ca&amp;id=urn:contentItem:5F7T-S781-F7G6-63FJ-00000-00&amp;context=" TargetMode="External" /><Relationship Id="rId137" Type="http://schemas.openxmlformats.org/officeDocument/2006/relationships/hyperlink" Target="https://advance.lexis.com/api/document?collection=cases-ca&amp;id=urn:contentItem:5F7T-S7C1-F4NT-X3XM-00000-00&amp;context=" TargetMode="External" /><Relationship Id="rId138" Type="http://schemas.openxmlformats.org/officeDocument/2006/relationships/hyperlink" Target="https://advance.lexis.com/api/document?collection=cases-ca&amp;id=urn:contentItem:5F7T-S751-JX3N-B15T-00000-00&amp;context=" TargetMode="External" /><Relationship Id="rId139" Type="http://schemas.openxmlformats.org/officeDocument/2006/relationships/hyperlink" Target="https://advance.lexis.com/api/document?collection=cases-ca&amp;id=urn:contentItem:5F7T-S761-FFMK-M0YH-00000-00&amp;context=" TargetMode="External" /><Relationship Id="rId14" Type="http://schemas.openxmlformats.org/officeDocument/2006/relationships/hyperlink" Target="https://advance.lexis.com/api/document?collection=cases-ca&amp;id=urn:contentItem:5F7T-S701-JF75-M4N2-00000-00&amp;context=" TargetMode="External" /><Relationship Id="rId140" Type="http://schemas.openxmlformats.org/officeDocument/2006/relationships/hyperlink" Target="https://advance.lexis.com/api/document?collection=cases-ca&amp;id=urn:contentItem:5F7T-S781-JSC5-M4BT-00000-00&amp;context=" TargetMode="External" /><Relationship Id="rId141" Type="http://schemas.openxmlformats.org/officeDocument/2006/relationships/hyperlink" Target="https://advance.lexis.com/api/document?collection=cases-ca&amp;id=urn:contentItem:5F7T-S761-JCBX-S0YK-00000-00&amp;context=" TargetMode="External" /><Relationship Id="rId142" Type="http://schemas.openxmlformats.org/officeDocument/2006/relationships/hyperlink" Target="https://advance.lexis.com/api/document?collection=cases-ca&amp;id=urn:contentItem:5F7T-S761-F81W-21RK-00000-00&amp;context=" TargetMode="External" /><Relationship Id="rId143" Type="http://schemas.openxmlformats.org/officeDocument/2006/relationships/hyperlink" Target="https://advance.lexis.com/api/document?collection=cases-ca&amp;id=urn:contentItem:5F7T-S771-F81W-22VS-00000-00&amp;context=" TargetMode="External" /><Relationship Id="rId144" Type="http://schemas.openxmlformats.org/officeDocument/2006/relationships/hyperlink" Target="https://advance.lexis.com/api/document?collection=cases-ca&amp;id=urn:contentItem:5F7T-S771-JWBS-61DP-00000-00&amp;context=" TargetMode="External" /><Relationship Id="rId145" Type="http://schemas.openxmlformats.org/officeDocument/2006/relationships/hyperlink" Target="https://advance.lexis.com/api/document?collection=cases-ca&amp;id=urn:contentItem:5F8T-N3V1-JTGH-B0YB-00000-00&amp;context=" TargetMode="External" /><Relationship Id="rId146" Type="http://schemas.openxmlformats.org/officeDocument/2006/relationships/hyperlink" Target="https://advance.lexis.com/api/document?collection=cases-ca&amp;id=urn:contentItem:5F81-YGM1-F5KY-B54N-00000-00&amp;context=" TargetMode="External" /><Relationship Id="rId147" Type="http://schemas.openxmlformats.org/officeDocument/2006/relationships/hyperlink" Target="https://advance.lexis.com/api/document?collection=cases-ca&amp;id=urn:contentItem:5F8N-K701-F528-G1NT-00000-00&amp;context=" TargetMode="External" /><Relationship Id="rId148" Type="http://schemas.openxmlformats.org/officeDocument/2006/relationships/hyperlink" Target="https://advance.lexis.com/api/document?collection=cases-ca&amp;id=urn:contentItem:5F8N-K6Y1-JN14-G20B-00000-00&amp;context=" TargetMode="External" /><Relationship Id="rId149" Type="http://schemas.openxmlformats.org/officeDocument/2006/relationships/hyperlink" Target="https://advance.lexis.com/api/document?collection=cases-ca&amp;id=urn:contentItem:5F8T-N3V1-JFKM-60C8-00000-00&amp;context=" TargetMode="External" /><Relationship Id="rId15" Type="http://schemas.openxmlformats.org/officeDocument/2006/relationships/hyperlink" Target="https://advance.lexis.com/api/document?collection=cases-ca&amp;id=urn:contentItem:5F7T-S6W1-JYYX-61TX-00000-00&amp;context=" TargetMode="External" /><Relationship Id="rId150" Type="http://schemas.openxmlformats.org/officeDocument/2006/relationships/hyperlink" Target="https://advance.lexis.com/api/document?collection=cases-ca&amp;id=urn:contentItem:5F8T-N3V1-JFKM-607N-00000-00&amp;context=" TargetMode="External" /><Relationship Id="rId151" Type="http://schemas.openxmlformats.org/officeDocument/2006/relationships/hyperlink" Target="https://advance.lexis.com/api/document?collection=cases-ca&amp;id=urn:contentItem:5F8T-N3T1-JGHR-M27Y-00000-00&amp;context=" TargetMode="External" /><Relationship Id="rId152" Type="http://schemas.openxmlformats.org/officeDocument/2006/relationships/hyperlink" Target="https://advance.lexis.com/api/document?collection=cases-ca&amp;id=urn:contentItem:5F7T-S6T1-JTNR-M2V3-00000-00&amp;context=" TargetMode="External" /><Relationship Id="rId153" Type="http://schemas.openxmlformats.org/officeDocument/2006/relationships/hyperlink" Target="https://advance.lexis.com/api/document?collection=cases-ca&amp;id=urn:contentItem:5F16-92V1-F5T5-M2DG-00000-00&amp;context=" TargetMode="External" /><Relationship Id="rId154" Type="http://schemas.openxmlformats.org/officeDocument/2006/relationships/hyperlink" Target="https://advance.lexis.com/api/document?collection=cases-ca&amp;id=urn:contentItem:5F8T-N3V1-JTGH-B10C-00000-00&amp;context=" TargetMode="External" /><Relationship Id="rId155" Type="http://schemas.openxmlformats.org/officeDocument/2006/relationships/header" Target="header25.xml" /><Relationship Id="rId156" Type="http://schemas.openxmlformats.org/officeDocument/2006/relationships/header" Target="header26.xml" /><Relationship Id="rId157" Type="http://schemas.openxmlformats.org/officeDocument/2006/relationships/footer" Target="footer25.xml" /><Relationship Id="rId158" Type="http://schemas.openxmlformats.org/officeDocument/2006/relationships/footer" Target="footer26.xml" /><Relationship Id="rId159" Type="http://schemas.openxmlformats.org/officeDocument/2006/relationships/header" Target="header27.xml" /><Relationship Id="rId16" Type="http://schemas.openxmlformats.org/officeDocument/2006/relationships/hyperlink" Target="https://advance.lexis.com/api/document?collection=cases-ca&amp;id=urn:contentItem:5F8T-N3S1-JT99-250W-00000-00&amp;context=" TargetMode="External" /><Relationship Id="rId160" Type="http://schemas.openxmlformats.org/officeDocument/2006/relationships/footer" Target="footer27.xml" /><Relationship Id="rId161" Type="http://schemas.openxmlformats.org/officeDocument/2006/relationships/hyperlink" Target="https://advance.lexis.com/api/document?collection=cases-ca&amp;id=urn:contentItem:5F7T-S7C1-JCJ5-20C5-00000-00&amp;context=" TargetMode="External" /><Relationship Id="rId162" Type="http://schemas.openxmlformats.org/officeDocument/2006/relationships/hyperlink" Target="https://advance.lexis.com/api/document?collection=cases-ca&amp;id=urn:contentItem:5F7T-S741-F57G-S1SV-00000-00&amp;context=" TargetMode="External" /><Relationship Id="rId163" Type="http://schemas.openxmlformats.org/officeDocument/2006/relationships/hyperlink" Target="https://advance.lexis.com/api/document?collection=cases-ca&amp;id=urn:contentItem:5F7T-S741-DXPM-S10D-00000-00&amp;context=" TargetMode="External" /><Relationship Id="rId164" Type="http://schemas.openxmlformats.org/officeDocument/2006/relationships/hyperlink" Target="https://advance.lexis.com/api/document?collection=cases-ca&amp;id=urn:contentItem:5F81-YGM1-JG02-S0MR-00000-00&amp;context=" TargetMode="External" /><Relationship Id="rId165" Type="http://schemas.openxmlformats.org/officeDocument/2006/relationships/hyperlink" Target="https://advance.lexis.com/api/document?collection=cases-ca&amp;id=urn:contentItem:5F7V-3DD1-FG68-G2C6-00000-00&amp;context=" TargetMode="External" /><Relationship Id="rId166" Type="http://schemas.openxmlformats.org/officeDocument/2006/relationships/header" Target="header28.xml" /><Relationship Id="rId167" Type="http://schemas.openxmlformats.org/officeDocument/2006/relationships/header" Target="header29.xml" /><Relationship Id="rId168" Type="http://schemas.openxmlformats.org/officeDocument/2006/relationships/footer" Target="footer28.xml" /><Relationship Id="rId169" Type="http://schemas.openxmlformats.org/officeDocument/2006/relationships/footer" Target="footer29.xml" /><Relationship Id="rId17" Type="http://schemas.openxmlformats.org/officeDocument/2006/relationships/hyperlink" Target="https://advance.lexis.com/api/document?collection=cases-ca&amp;id=urn:contentItem:5F7T-S701-JF75-M4DT-00000-00&amp;context=" TargetMode="External" /><Relationship Id="rId170" Type="http://schemas.openxmlformats.org/officeDocument/2006/relationships/header" Target="header30.xml" /><Relationship Id="rId171" Type="http://schemas.openxmlformats.org/officeDocument/2006/relationships/footer" Target="footer30.xml" /><Relationship Id="rId172" Type="http://schemas.openxmlformats.org/officeDocument/2006/relationships/hyperlink" Target="https://advance.lexis.com/api/document?collection=cases-ca&amp;id=urn:contentItem:5F7T-S7H1-FCSB-S396-00000-00&amp;context=" TargetMode="External" /><Relationship Id="rId173" Type="http://schemas.openxmlformats.org/officeDocument/2006/relationships/hyperlink" Target="https://advance.lexis.com/api/document?collection=cases-ca&amp;id=urn:contentItem:5F7T-S7B1-JSRM-602H-00000-00&amp;context=" TargetMode="External" /><Relationship Id="rId174" Type="http://schemas.openxmlformats.org/officeDocument/2006/relationships/hyperlink" Target="https://advance.lexis.com/api/document?collection=cases-ca&amp;id=urn:contentItem:5F7T-S781-JC5P-G1RS-00000-00&amp;context=" TargetMode="External" /><Relationship Id="rId175" Type="http://schemas.openxmlformats.org/officeDocument/2006/relationships/hyperlink" Target="https://advance.lexis.com/api/document?collection=cases-ca&amp;id=urn:contentItem:5F7T-S7F1-DXWW-2475-00000-00&amp;context=" TargetMode="External" /><Relationship Id="rId176" Type="http://schemas.openxmlformats.org/officeDocument/2006/relationships/hyperlink" Target="https://advance.lexis.com/api/document?collection=cases-ca&amp;id=urn:contentItem:5F7T-S731-FFFC-B0D7-00000-00&amp;context=" TargetMode="External" /><Relationship Id="rId177" Type="http://schemas.openxmlformats.org/officeDocument/2006/relationships/hyperlink" Target="https://advance.lexis.com/api/document?collection=cases-ca&amp;id=urn:contentItem:5F7T-S721-F57G-S19C-00000-00&amp;context=" TargetMode="External" /><Relationship Id="rId178" Type="http://schemas.openxmlformats.org/officeDocument/2006/relationships/hyperlink" Target="https://advance.lexis.com/api/document?collection=cases-ca&amp;id=urn:contentItem:5F7T-S7C1-F4NT-X3JG-00000-00&amp;context=" TargetMode="External" /><Relationship Id="rId179" Type="http://schemas.openxmlformats.org/officeDocument/2006/relationships/hyperlink" Target="https://advance.lexis.com/api/document?collection=cases-ca&amp;id=urn:contentItem:5F7T-S6Y1-FJDY-X23K-00000-00&amp;context=" TargetMode="External" /><Relationship Id="rId18" Type="http://schemas.openxmlformats.org/officeDocument/2006/relationships/hyperlink" Target="https://advance.lexis.com/api/document?collection=cases-ca&amp;id=urn:contentItem:5F7T-S701-JBT7-X23F-00000-00&amp;context=" TargetMode="External" /><Relationship Id="rId180" Type="http://schemas.openxmlformats.org/officeDocument/2006/relationships/hyperlink" Target="https://advance.lexis.com/api/document?collection=cases-ca&amp;id=urn:contentItem:5F8T-N3V1-FC1F-M3WX-00000-00&amp;context=" TargetMode="External" /><Relationship Id="rId181" Type="http://schemas.openxmlformats.org/officeDocument/2006/relationships/hyperlink" Target="https://advance.lexis.com/api/document?collection=cases-ca&amp;id=urn:contentItem:5F8P-SD91-JK4W-M347-00000-00&amp;context=" TargetMode="External" /><Relationship Id="rId182" Type="http://schemas.openxmlformats.org/officeDocument/2006/relationships/hyperlink" Target="https://advance.lexis.com/api/document?collection=cases-ca&amp;id=urn:contentItem:5F8P-SDV1-FC6N-X020-00000-00&amp;context=" TargetMode="External" /><Relationship Id="rId183" Type="http://schemas.openxmlformats.org/officeDocument/2006/relationships/hyperlink" Target="https://advance.lexis.com/api/document?collection=cases-ca&amp;id=urn:contentItem:5F7T-S6W1-JF75-M33H-00000-00&amp;context=" TargetMode="External" /><Relationship Id="rId184" Type="http://schemas.openxmlformats.org/officeDocument/2006/relationships/hyperlink" Target="https://advance.lexis.com/api/document?collection=cases-ca&amp;id=urn:contentItem:5F7T-S7G1-JN6B-S1TB-00000-00&amp;context=" TargetMode="External" /><Relationship Id="rId185" Type="http://schemas.openxmlformats.org/officeDocument/2006/relationships/hyperlink" Target="https://advance.lexis.com/api/document?collection=cases-ca&amp;id=urn:contentItem:5F7T-S7D1-JS5Y-B22N-00000-00&amp;context=" TargetMode="External" /><Relationship Id="rId186" Type="http://schemas.openxmlformats.org/officeDocument/2006/relationships/hyperlink" Target="https://advance.lexis.com/api/document?collection=cases-ca&amp;id=urn:contentItem:5F7T-S771-JW5H-X1YB-00000-00&amp;context=" TargetMode="External" /><Relationship Id="rId187" Type="http://schemas.openxmlformats.org/officeDocument/2006/relationships/hyperlink" Target="https://advance.lexis.com/api/document?collection=cases-ca&amp;id=urn:contentItem:5F7T-S701-F8KH-X1BD-00000-00&amp;context=" TargetMode="External" /><Relationship Id="rId188" Type="http://schemas.openxmlformats.org/officeDocument/2006/relationships/hyperlink" Target="https://advance.lexis.com/api/document?collection=cases-ca&amp;id=urn:contentItem:5F7T-S751-JBM1-M2HC-00000-00&amp;context=" TargetMode="External" /><Relationship Id="rId189" Type="http://schemas.openxmlformats.org/officeDocument/2006/relationships/header" Target="header31.xml" /><Relationship Id="rId19" Type="http://schemas.openxmlformats.org/officeDocument/2006/relationships/hyperlink" Target="https://advance.lexis.com/api/document?collection=cases-ca&amp;id=urn:contentItem:5F7T-S711-JNY7-X30K-00000-00&amp;context=" TargetMode="External" /><Relationship Id="rId190" Type="http://schemas.openxmlformats.org/officeDocument/2006/relationships/header" Target="header32.xml" /><Relationship Id="rId191" Type="http://schemas.openxmlformats.org/officeDocument/2006/relationships/footer" Target="footer31.xml" /><Relationship Id="rId192" Type="http://schemas.openxmlformats.org/officeDocument/2006/relationships/footer" Target="footer32.xml" /><Relationship Id="rId193" Type="http://schemas.openxmlformats.org/officeDocument/2006/relationships/header" Target="header33.xml" /><Relationship Id="rId194" Type="http://schemas.openxmlformats.org/officeDocument/2006/relationships/footer" Target="footer33.xml" /><Relationship Id="rId195" Type="http://schemas.openxmlformats.org/officeDocument/2006/relationships/hyperlink" Target="https://advance.lexis.com/api/document?collection=cases-ca&amp;id=urn:contentItem:5F7T-S7P1-JP4G-61WD-00000-00&amp;context=" TargetMode="External" /><Relationship Id="rId196" Type="http://schemas.openxmlformats.org/officeDocument/2006/relationships/hyperlink" Target="https://advance.lexis.com/api/document?collection=legislation-ca&amp;id=urn:contentItem:5F97-RC11-JN14-G11K-00000-00&amp;context=" TargetMode="External" /><Relationship Id="rId197" Type="http://schemas.openxmlformats.org/officeDocument/2006/relationships/hyperlink" Target="https://advance.lexis.com/api/document?collection=legislation-ca&amp;id=urn:contentItem:5K9R-8VS1-K0BB-S224-00000-00&amp;context=" TargetMode="External" /><Relationship Id="rId198" Type="http://schemas.openxmlformats.org/officeDocument/2006/relationships/hyperlink" Target="https://advance.lexis.com/api/document?collection=legislation-ca&amp;id=urn:contentItem:5F3B-B8W1-JCJ5-214S-00000-00&amp;context=" TargetMode="External" /><Relationship Id="rId199" Type="http://schemas.openxmlformats.org/officeDocument/2006/relationships/hyperlink" Target="https://advance.lexis.com/api/document?collection=legislation-ca&amp;id=urn:contentItem:5VYK-WB41-F22N-X4VK-00000-00&amp;context=" TargetMode="External" /><Relationship Id="rId2" Type="http://schemas.openxmlformats.org/officeDocument/2006/relationships/webSettings" Target="webSettings.xml" /><Relationship Id="rId20" Type="http://schemas.openxmlformats.org/officeDocument/2006/relationships/hyperlink" Target="https://advance.lexis.com/api/document?collection=cases-ca&amp;id=urn:contentItem:5F7T-S6X1-F7ND-G3SJ-00000-00&amp;context=" TargetMode="External" /><Relationship Id="rId200" Type="http://schemas.openxmlformats.org/officeDocument/2006/relationships/hyperlink" Target="https://advance.lexis.com/api/document?collection=legislation-ca&amp;id=urn:contentItem:5VYK-W9W1-JWBS-64Y3-00000-00&amp;context=" TargetMode="External" /><Relationship Id="rId201" Type="http://schemas.openxmlformats.org/officeDocument/2006/relationships/hyperlink" Target="https://advance.lexis.com/api/document?collection=legislation-ca&amp;id=urn:contentItem:5W2C-X5K1-F5KY-B02G-00000-00&amp;context=" TargetMode="External" /><Relationship Id="rId202" Type="http://schemas.openxmlformats.org/officeDocument/2006/relationships/hyperlink" Target="https://advance.lexis.com/api/document?collection=cases-ca&amp;id=urn:contentItem:5F7T-S7K1-F1H1-22DB-00000-00&amp;context=" TargetMode="External" /><Relationship Id="rId203" Type="http://schemas.openxmlformats.org/officeDocument/2006/relationships/hyperlink" Target="https://advance.lexis.com/api/document?collection=cases-ca&amp;id=urn:contentItem:5F7T-S7D1-F7ND-G0FM-00000-00&amp;context=" TargetMode="External" /><Relationship Id="rId204" Type="http://schemas.openxmlformats.org/officeDocument/2006/relationships/hyperlink" Target="https://advance.lexis.com/api/document?collection=cases-ca&amp;id=urn:contentItem:5F7T-S6T1-JTNR-M2MX-00000-00&amp;context=" TargetMode="External" /><Relationship Id="rId205" Type="http://schemas.openxmlformats.org/officeDocument/2006/relationships/hyperlink" Target="https://advance.lexis.com/api/document?collection=cases-ca&amp;id=urn:contentItem:5F7T-S771-JN14-G2DF-00000-00&amp;context=" TargetMode="External" /><Relationship Id="rId206" Type="http://schemas.openxmlformats.org/officeDocument/2006/relationships/hyperlink" Target="https://advance.lexis.com/api/document?collection=cases-ca&amp;id=urn:contentItem:5F7T-S741-F528-G21K-00000-00&amp;context=" TargetMode="External" /><Relationship Id="rId207" Type="http://schemas.openxmlformats.org/officeDocument/2006/relationships/hyperlink" Target="https://advance.lexis.com/api/document?collection=cases-ca&amp;id=urn:contentItem:5F7T-S711-F4W2-61R0-00000-00&amp;context=" TargetMode="External" /><Relationship Id="rId208" Type="http://schemas.openxmlformats.org/officeDocument/2006/relationships/hyperlink" Target="https://advance.lexis.com/api/document?collection=legislation-ca&amp;id=urn:contentItem:5F41-1FJ1-JPGX-S065-00000-00&amp;context=" TargetMode="External" /><Relationship Id="rId209" Type="http://schemas.openxmlformats.org/officeDocument/2006/relationships/hyperlink" Target="https://advance.lexis.com/api/document?collection=cases-ca&amp;id=urn:contentItem:5HDC-MS71-FFFC-B1D7-00000-00&amp;context=" TargetMode="External" /><Relationship Id="rId21" Type="http://schemas.openxmlformats.org/officeDocument/2006/relationships/hyperlink" Target="https://advance.lexis.com/api/document?collection=cases-ca&amp;id=urn:contentItem:5F7T-S731-FFFC-B0K2-00000-00&amp;context=" TargetMode="External" /><Relationship Id="rId210" Type="http://schemas.openxmlformats.org/officeDocument/2006/relationships/hyperlink" Target="https://advance.lexis.com/api/document?collection=legislation-ca&amp;id=urn:contentItem:5W00-SYR1-JX8W-M4S2-00000-00&amp;context=" TargetMode="External" /><Relationship Id="rId211" Type="http://schemas.openxmlformats.org/officeDocument/2006/relationships/hyperlink" Target="https://advance.lexis.com/api/document?collection=cases-ca&amp;id=urn:contentItem:5F93-3NV1-JCRC-B1PC-00000-00&amp;context=" TargetMode="External" /><Relationship Id="rId212" Type="http://schemas.openxmlformats.org/officeDocument/2006/relationships/hyperlink" Target="https://advance.lexis.com/api/document?collection=cases-ca&amp;id=urn:contentItem:5F8P-SCX1-JCBX-S238-00000-00&amp;context=" TargetMode="External" /><Relationship Id="rId213" Type="http://schemas.openxmlformats.org/officeDocument/2006/relationships/hyperlink" Target="https://advance.lexis.com/api/document?collection=cases-ca&amp;id=urn:contentItem:5F8P-SDP1-JJ1H-X1C2-00000-00&amp;context=" TargetMode="External" /><Relationship Id="rId214" Type="http://schemas.openxmlformats.org/officeDocument/2006/relationships/hyperlink" Target="https://advance.lexis.com/api/document?collection=cases-ca&amp;id=urn:contentItem:5F7T-S731-JC0G-63RG-00000-00&amp;context=" TargetMode="External" /><Relationship Id="rId215" Type="http://schemas.openxmlformats.org/officeDocument/2006/relationships/hyperlink" Target="https://advance.lexis.com/api/document?collection=cases-ca&amp;id=urn:contentItem:5F7T-S771-JN14-G2D4-00000-00&amp;context=" TargetMode="External" /><Relationship Id="rId216" Type="http://schemas.openxmlformats.org/officeDocument/2006/relationships/hyperlink" Target="https://advance.lexis.com/api/document?collection=legislation-ca&amp;id=urn:contentItem:5F41-1FK1-FJM6-60VK-00000-00&amp;context=" TargetMode="External" /><Relationship Id="rId217" Type="http://schemas.openxmlformats.org/officeDocument/2006/relationships/hyperlink" Target="https://advance.lexis.com/api/document?collection=cases-ca&amp;id=urn:contentItem:5F7T-S6Y1-F65M-6050-00000-00&amp;context=" TargetMode="External" /><Relationship Id="rId218" Type="http://schemas.openxmlformats.org/officeDocument/2006/relationships/hyperlink" Target="https://advance.lexis.com/api/document?collection=cases-ca&amp;id=urn:contentItem:5F7T-S7M1-JNCK-22GB-00000-00&amp;context=" TargetMode="External" /><Relationship Id="rId219" Type="http://schemas.openxmlformats.org/officeDocument/2006/relationships/hyperlink" Target="https://advance.lexis.com/api/document?collection=cases-ca&amp;id=urn:contentItem:5F82-1SJ1-JBDT-B4FB-00000-00&amp;context=" TargetMode="External" /><Relationship Id="rId22" Type="http://schemas.openxmlformats.org/officeDocument/2006/relationships/header" Target="header4.xml" /><Relationship Id="rId220" Type="http://schemas.openxmlformats.org/officeDocument/2006/relationships/hyperlink" Target="https://advance.lexis.com/api/document?collection=cases-ca&amp;id=urn:contentItem:5F8T-N3V1-FH4C-X234-00000-00&amp;context=" TargetMode="External" /><Relationship Id="rId221" Type="http://schemas.openxmlformats.org/officeDocument/2006/relationships/hyperlink" Target="https://advance.lexis.com/api/document?collection=cases-ca&amp;id=urn:contentItem:5F7T-S771-F361-M1JS-00000-00&amp;context=" TargetMode="External" /><Relationship Id="rId222" Type="http://schemas.openxmlformats.org/officeDocument/2006/relationships/hyperlink" Target="https://advance.lexis.com/api/document?collection=cases-ca&amp;id=urn:contentItem:5F16-93C1-JF1Y-B46Y-00000-00&amp;context=" TargetMode="External" /><Relationship Id="rId223" Type="http://schemas.openxmlformats.org/officeDocument/2006/relationships/header" Target="header34.xml" /><Relationship Id="rId224" Type="http://schemas.openxmlformats.org/officeDocument/2006/relationships/header" Target="header35.xml" /><Relationship Id="rId225" Type="http://schemas.openxmlformats.org/officeDocument/2006/relationships/footer" Target="footer34.xml" /><Relationship Id="rId226" Type="http://schemas.openxmlformats.org/officeDocument/2006/relationships/footer" Target="footer35.xml" /><Relationship Id="rId227" Type="http://schemas.openxmlformats.org/officeDocument/2006/relationships/header" Target="header36.xml" /><Relationship Id="rId228" Type="http://schemas.openxmlformats.org/officeDocument/2006/relationships/footer" Target="footer36.xml" /><Relationship Id="rId229" Type="http://schemas.openxmlformats.org/officeDocument/2006/relationships/hyperlink" Target="https://advance.lexis.com/api/document?collection=cases-ca&amp;id=urn:contentItem:5F7T-S7N1-JGHR-M37M-00000-00&amp;context=" TargetMode="External" /><Relationship Id="rId23" Type="http://schemas.openxmlformats.org/officeDocument/2006/relationships/header" Target="header5.xml" /><Relationship Id="rId230" Type="http://schemas.openxmlformats.org/officeDocument/2006/relationships/hyperlink" Target="https://advance.lexis.com/api/document?collection=cases-ca&amp;id=urn:contentItem:5F7T-S771-F81W-22T4-00000-00&amp;context=" TargetMode="External" /><Relationship Id="rId231" Type="http://schemas.openxmlformats.org/officeDocument/2006/relationships/hyperlink" Target="https://advance.lexis.com/api/document?collection=cases-ca&amp;id=urn:contentItem:5F7T-S711-F27X-60MY-00000-00&amp;context=" TargetMode="External" /><Relationship Id="rId232" Type="http://schemas.openxmlformats.org/officeDocument/2006/relationships/hyperlink" Target="https://advance.lexis.com/api/document?collection=cases-ca&amp;id=urn:contentItem:5F8T-N3V1-JFKM-609F-00000-00&amp;context=" TargetMode="External" /><Relationship Id="rId233" Type="http://schemas.openxmlformats.org/officeDocument/2006/relationships/hyperlink" Target="https://advance.lexis.com/api/document?collection=cases-ca&amp;id=urn:contentItem:5F8T-N3T1-JJSF-23BN-00000-00&amp;context=" TargetMode="External" /><Relationship Id="rId234" Type="http://schemas.openxmlformats.org/officeDocument/2006/relationships/hyperlink" Target="https://advance.lexis.com/api/document?collection=cases-ca&amp;id=urn:contentItem:5F7T-S701-F8KH-X16W-00000-00&amp;context=" TargetMode="External" /><Relationship Id="rId235" Type="http://schemas.openxmlformats.org/officeDocument/2006/relationships/hyperlink" Target="https://advance.lexis.com/api/document?collection=cases-ca&amp;id=urn:contentItem:5F8T-N3T1-JGHR-M1VY-00000-00&amp;context=" TargetMode="External" /><Relationship Id="rId236" Type="http://schemas.openxmlformats.org/officeDocument/2006/relationships/hyperlink" Target="https://advance.lexis.com/api/document?collection=cases-ca&amp;id=urn:contentItem:5F7T-S711-JNY7-X3DS-00000-00&amp;context=" TargetMode="External" /><Relationship Id="rId237" Type="http://schemas.openxmlformats.org/officeDocument/2006/relationships/hyperlink" Target="https://advance.lexis.com/api/document?collection=cases-ca&amp;id=urn:contentItem:5F7T-S7H1-FCSB-S3SH-00000-00&amp;context=" TargetMode="External" /><Relationship Id="rId238" Type="http://schemas.openxmlformats.org/officeDocument/2006/relationships/hyperlink" Target="https://advance.lexis.com/api/document?collection=cases-ca&amp;id=urn:contentItem:5F7T-S7H1-JCRC-B0XH-00000-00&amp;context=" TargetMode="External" /><Relationship Id="rId239" Type="http://schemas.openxmlformats.org/officeDocument/2006/relationships/hyperlink" Target="https://advance.lexis.com/api/document?collection=cases-ca&amp;id=urn:contentItem:5F8T-N3V1-FC1F-M469-00000-00&amp;context=" TargetMode="External" /><Relationship Id="rId24" Type="http://schemas.openxmlformats.org/officeDocument/2006/relationships/footer" Target="footer4.xml" /><Relationship Id="rId240" Type="http://schemas.openxmlformats.org/officeDocument/2006/relationships/hyperlink" Target="https://advance.lexis.com/api/document?collection=cases-ca&amp;id=urn:contentItem:5F8T-N3T1-JJSF-23NF-00000-00&amp;context=" TargetMode="External" /><Relationship Id="rId241" Type="http://schemas.openxmlformats.org/officeDocument/2006/relationships/header" Target="header37.xml" /><Relationship Id="rId242" Type="http://schemas.openxmlformats.org/officeDocument/2006/relationships/header" Target="header38.xml" /><Relationship Id="rId243" Type="http://schemas.openxmlformats.org/officeDocument/2006/relationships/footer" Target="footer37.xml" /><Relationship Id="rId244" Type="http://schemas.openxmlformats.org/officeDocument/2006/relationships/footer" Target="footer38.xml" /><Relationship Id="rId245" Type="http://schemas.openxmlformats.org/officeDocument/2006/relationships/header" Target="header39.xml" /><Relationship Id="rId246" Type="http://schemas.openxmlformats.org/officeDocument/2006/relationships/footer" Target="footer39.xml" /><Relationship Id="rId247" Type="http://schemas.openxmlformats.org/officeDocument/2006/relationships/hyperlink" Target="https://advance.lexis.com/api/document?collection=cases-ca&amp;id=urn:contentItem:5F7T-S7F1-F7VM-S3V2-00000-00&amp;context=" TargetMode="External" /><Relationship Id="rId248" Type="http://schemas.openxmlformats.org/officeDocument/2006/relationships/hyperlink" Target="https://advance.lexis.com/api/document?collection=cases-ca&amp;id=urn:contentItem:5K6Y-81M1-JGPY-X218-00000-00&amp;context=" TargetMode="External" /><Relationship Id="rId249" Type="http://schemas.openxmlformats.org/officeDocument/2006/relationships/hyperlink" Target="https://advance.lexis.com/api/document?collection=legislation-ca&amp;id=urn:contentItem:5GBY-CM31-JYYX-633F-00000-00&amp;context=" TargetMode="External" /><Relationship Id="rId25" Type="http://schemas.openxmlformats.org/officeDocument/2006/relationships/footer" Target="footer5.xml" /><Relationship Id="rId250" Type="http://schemas.openxmlformats.org/officeDocument/2006/relationships/hyperlink" Target="https://advance.lexis.com/api/document?collection=cases-ca&amp;id=urn:contentItem:5F7T-S781-F900-G109-00000-00&amp;context=" TargetMode="External" /><Relationship Id="rId251" Type="http://schemas.openxmlformats.org/officeDocument/2006/relationships/hyperlink" Target="https://advance.lexis.com/api/document?collection=cases-ca&amp;id=urn:contentItem:5F7T-S7C1-F30T-B2JK-00000-00&amp;context=" TargetMode="External" /><Relationship Id="rId252" Type="http://schemas.openxmlformats.org/officeDocument/2006/relationships/header" Target="header40.xml" /><Relationship Id="rId253" Type="http://schemas.openxmlformats.org/officeDocument/2006/relationships/header" Target="header41.xml" /><Relationship Id="rId254" Type="http://schemas.openxmlformats.org/officeDocument/2006/relationships/footer" Target="footer40.xml" /><Relationship Id="rId255" Type="http://schemas.openxmlformats.org/officeDocument/2006/relationships/footer" Target="footer41.xml" /><Relationship Id="rId256" Type="http://schemas.openxmlformats.org/officeDocument/2006/relationships/header" Target="header42.xml" /><Relationship Id="rId257" Type="http://schemas.openxmlformats.org/officeDocument/2006/relationships/footer" Target="footer42.xml" /><Relationship Id="rId258" Type="http://schemas.openxmlformats.org/officeDocument/2006/relationships/hyperlink" Target="https://advance.lexis.com/api/document?collection=cases-ca&amp;id=urn:contentItem:5F7T-S7P1-JP4G-625H-00000-00&amp;context=" TargetMode="External" /><Relationship Id="rId259" Type="http://schemas.openxmlformats.org/officeDocument/2006/relationships/hyperlink" Target="https://advance.lexis.com/api/document?collection=cases-ca&amp;id=urn:contentItem:5K6Y-81N1-JNY7-X1WV-00000-00&amp;context=" TargetMode="External" /><Relationship Id="rId26" Type="http://schemas.openxmlformats.org/officeDocument/2006/relationships/header" Target="header6.xml" /><Relationship Id="rId260" Type="http://schemas.openxmlformats.org/officeDocument/2006/relationships/hyperlink" Target="https://advance.lexis.com/api/document?collection=legislation-ca&amp;id=urn:contentItem:5F41-1FK1-JSXV-G0X8-00000-00&amp;context=" TargetMode="External" /><Relationship Id="rId261" Type="http://schemas.openxmlformats.org/officeDocument/2006/relationships/hyperlink" Target="https://advance.lexis.com/api/document?collection=cases-ca&amp;id=urn:contentItem:5F8T-N3T1-JGHR-M29S-00000-00&amp;context=" TargetMode="External" /><Relationship Id="rId262" Type="http://schemas.openxmlformats.org/officeDocument/2006/relationships/hyperlink" Target="https://advance.lexis.com/api/document?collection=cases-ca&amp;id=urn:contentItem:5F8T-N3P1-FC6N-X169-00000-00&amp;context=" TargetMode="External" /><Relationship Id="rId263" Type="http://schemas.openxmlformats.org/officeDocument/2006/relationships/hyperlink" Target="https://advance.lexis.com/api/document?collection=cases-ca&amp;id=urn:contentItem:5F8T-N3V1-JTGH-B15N-00000-00&amp;context=" TargetMode="External" /><Relationship Id="rId264" Type="http://schemas.openxmlformats.org/officeDocument/2006/relationships/hyperlink" Target="https://advance.lexis.com/api/document?collection=cases-ca&amp;id=urn:contentItem:5F8T-N3S1-JT99-253Y-00000-00&amp;context=" TargetMode="External" /><Relationship Id="rId265" Type="http://schemas.openxmlformats.org/officeDocument/2006/relationships/hyperlink" Target="https://advance.lexis.com/api/document?collection=cases-ca&amp;id=urn:contentItem:5F7T-S7H1-K054-G28T-00000-00&amp;context=" TargetMode="External" /><Relationship Id="rId266" Type="http://schemas.openxmlformats.org/officeDocument/2006/relationships/hyperlink" Target="https://advance.lexis.com/api/document?collection=cases-ca&amp;id=urn:contentItem:5F8P-SBT1-FJM6-64R8-00000-00&amp;context=" TargetMode="External" /><Relationship Id="rId267" Type="http://schemas.openxmlformats.org/officeDocument/2006/relationships/hyperlink" Target="https://advance.lexis.com/api/document?collection=cases-ca&amp;id=urn:contentItem:5F8P-SBV1-DXWW-21XS-00000-00&amp;context=" TargetMode="External" /><Relationship Id="rId268" Type="http://schemas.openxmlformats.org/officeDocument/2006/relationships/hyperlink" Target="https://advance.lexis.com/api/document?collection=cases-ca&amp;id=urn:contentItem:5F8T-N3R1-JNS1-M0SR-00000-00&amp;context=" TargetMode="External" /><Relationship Id="rId269" Type="http://schemas.openxmlformats.org/officeDocument/2006/relationships/hyperlink" Target="https://advance.lexis.com/api/document?collection=cases-ca&amp;id=urn:contentItem:5F81-VJS1-JN6B-S3PF-00000-00&amp;context=" TargetMode="External" /><Relationship Id="rId27" Type="http://schemas.openxmlformats.org/officeDocument/2006/relationships/footer" Target="footer6.xml" /><Relationship Id="rId270" Type="http://schemas.openxmlformats.org/officeDocument/2006/relationships/hyperlink" Target="https://advance.lexis.com/api/document?collection=cases-ca&amp;id=urn:contentItem:5F7V-3DK1-FCYK-2412-00000-00&amp;context=" TargetMode="External" /><Relationship Id="rId271" Type="http://schemas.openxmlformats.org/officeDocument/2006/relationships/hyperlink" Target="https://advance.lexis.com/api/document?collection=cases-ca&amp;id=urn:contentItem:5F7V-3DM1-JKPJ-G0VP-00000-00&amp;context=" TargetMode="External" /><Relationship Id="rId272" Type="http://schemas.openxmlformats.org/officeDocument/2006/relationships/hyperlink" Target="https://advance.lexis.com/api/document?collection=cases-ca&amp;id=urn:contentItem:5F8T-N3P1-JYYX-60K8-00000-00&amp;context=" TargetMode="External" /><Relationship Id="rId273" Type="http://schemas.openxmlformats.org/officeDocument/2006/relationships/hyperlink" Target="https://advance.lexis.com/api/document?collection=cases-ca&amp;id=urn:contentItem:5F8P-SBT1-FGY5-M26B-00000-00&amp;context=" TargetMode="External" /><Relationship Id="rId274" Type="http://schemas.openxmlformats.org/officeDocument/2006/relationships/hyperlink" Target="https://advance.lexis.com/api/document?collection=cases-ca&amp;id=urn:contentItem:5F8N-K741-JKB3-X07C-00000-00&amp;context=" TargetMode="External" /><Relationship Id="rId275" Type="http://schemas.openxmlformats.org/officeDocument/2006/relationships/hyperlink" Target="https://advance.lexis.com/api/document?collection=cases-ca&amp;id=urn:contentItem:5K6X-WKD1-JBT7-X24B-00000-00&amp;context=" TargetMode="External" /><Relationship Id="rId276" Type="http://schemas.openxmlformats.org/officeDocument/2006/relationships/hyperlink" Target="https://advance.lexis.com/api/document?collection=cases-ca&amp;id=urn:contentItem:5F81-VJS1-JN6B-S3KV-00000-00&amp;context=" TargetMode="External" /><Relationship Id="rId277" Type="http://schemas.openxmlformats.org/officeDocument/2006/relationships/hyperlink" Target="https://advance.lexis.com/api/document?collection=cases-ca&amp;id=urn:contentItem:5F8P-SBW1-F06F-218N-00000-00&amp;context=" TargetMode="External" /><Relationship Id="rId278" Type="http://schemas.openxmlformats.org/officeDocument/2006/relationships/header" Target="header43.xml" /><Relationship Id="rId279" Type="http://schemas.openxmlformats.org/officeDocument/2006/relationships/header" Target="header44.xml" /><Relationship Id="rId28" Type="http://schemas.openxmlformats.org/officeDocument/2006/relationships/hyperlink" Target="https://advance.lexis.com/api/document?collection=cases-ca&amp;id=urn:contentItem:5F7T-S7C1-JS0R-2221-00000-00&amp;context=" TargetMode="External" /><Relationship Id="rId280" Type="http://schemas.openxmlformats.org/officeDocument/2006/relationships/footer" Target="footer43.xml" /><Relationship Id="rId281" Type="http://schemas.openxmlformats.org/officeDocument/2006/relationships/footer" Target="footer44.xml" /><Relationship Id="rId282" Type="http://schemas.openxmlformats.org/officeDocument/2006/relationships/header" Target="header45.xml" /><Relationship Id="rId283" Type="http://schemas.openxmlformats.org/officeDocument/2006/relationships/footer" Target="footer45.xml" /><Relationship Id="rId284" Type="http://schemas.openxmlformats.org/officeDocument/2006/relationships/hyperlink" Target="https://advance.lexis.com/api/document?collection=cases-ca&amp;id=urn:contentItem:5F7T-S7F1-JK4W-M1BB-00000-00&amp;context=" TargetMode="External" /><Relationship Id="rId285" Type="http://schemas.openxmlformats.org/officeDocument/2006/relationships/hyperlink" Target="https://advance.lexis.com/api/document?collection=cases-ca&amp;id=urn:contentItem:5F8T-N3V1-JTGH-B0YX-00000-00&amp;context=" TargetMode="External" /><Relationship Id="rId286" Type="http://schemas.openxmlformats.org/officeDocument/2006/relationships/hyperlink" Target="https://advance.lexis.com/api/document?collection=cases-ca&amp;id=urn:contentItem:5F7T-S7D1-DY89-M486-00000-00&amp;context=" TargetMode="External" /><Relationship Id="rId287" Type="http://schemas.openxmlformats.org/officeDocument/2006/relationships/hyperlink" Target="https://advance.lexis.com/api/document?collection=cases-ca&amp;id=urn:contentItem:5F7T-S7D1-JXG3-X0T1-00000-00&amp;context=" TargetMode="External" /><Relationship Id="rId288" Type="http://schemas.openxmlformats.org/officeDocument/2006/relationships/header" Target="header46.xml" /><Relationship Id="rId289" Type="http://schemas.openxmlformats.org/officeDocument/2006/relationships/header" Target="header47.xml" /><Relationship Id="rId29" Type="http://schemas.openxmlformats.org/officeDocument/2006/relationships/hyperlink" Target="https://advance.lexis.com/api/document?collection=cases-ca&amp;id=urn:contentItem:5F8T-N3R1-JNS1-M12F-00000-00&amp;context=" TargetMode="External" /><Relationship Id="rId290" Type="http://schemas.openxmlformats.org/officeDocument/2006/relationships/footer" Target="footer46.xml" /><Relationship Id="rId291" Type="http://schemas.openxmlformats.org/officeDocument/2006/relationships/footer" Target="footer47.xml" /><Relationship Id="rId292" Type="http://schemas.openxmlformats.org/officeDocument/2006/relationships/header" Target="header48.xml" /><Relationship Id="rId293" Type="http://schemas.openxmlformats.org/officeDocument/2006/relationships/footer" Target="footer48.xml" /><Relationship Id="rId294" Type="http://schemas.openxmlformats.org/officeDocument/2006/relationships/hyperlink" Target="https://advance.lexis.com/api/document?collection=cases-ca&amp;id=urn:contentItem:5F7T-S7F1-FBN1-21FS-00000-00&amp;context=" TargetMode="External" /><Relationship Id="rId295" Type="http://schemas.openxmlformats.org/officeDocument/2006/relationships/hyperlink" Target="https://advance.lexis.com/api/document?collection=cases-ca&amp;id=urn:contentItem:5F8T-N3V1-JTGH-B18F-00000-00&amp;context=" TargetMode="External" /><Relationship Id="rId296" Type="http://schemas.openxmlformats.org/officeDocument/2006/relationships/hyperlink" Target="https://advance.lexis.com/api/document?collection=cases-ca&amp;id=urn:contentItem:5F8T-N3V1-JTGH-B153-00000-00&amp;context=" TargetMode="External" /><Relationship Id="rId297" Type="http://schemas.openxmlformats.org/officeDocument/2006/relationships/hyperlink" Target="https://advance.lexis.com/api/document?collection=cases-ca&amp;id=urn:contentItem:5F7T-S771-JSJC-X0H6-00000-00&amp;context=" TargetMode="External" /><Relationship Id="rId298" Type="http://schemas.openxmlformats.org/officeDocument/2006/relationships/hyperlink" Target="https://advance.lexis.com/api/document?collection=cases-ca&amp;id=urn:contentItem:5F7T-S741-F1H1-21BW-00000-00&amp;context=" TargetMode="External" /><Relationship Id="rId299" Type="http://schemas.openxmlformats.org/officeDocument/2006/relationships/hyperlink" Target="https://advance.lexis.com/api/document?collection=cases-ca&amp;id=urn:contentItem:5F7T-S741-DY89-M3P5-00000-00&amp;context=" TargetMode="External" /><Relationship Id="rId3" Type="http://schemas.openxmlformats.org/officeDocument/2006/relationships/fontTable" Target="fontTable.xml" /><Relationship Id="rId30" Type="http://schemas.openxmlformats.org/officeDocument/2006/relationships/hyperlink" Target="https://advance.lexis.com/api/document?collection=cases-ca&amp;id=urn:contentItem:5F81-VJV1-DXWW-22V8-00000-00&amp;context=" TargetMode="External" /><Relationship Id="rId300" Type="http://schemas.openxmlformats.org/officeDocument/2006/relationships/hyperlink" Target="https://advance.lexis.com/api/document?collection=cases-ca&amp;id=urn:contentItem:5F7T-S7F1-FFFC-B20P-00000-00&amp;context=" TargetMode="External" /><Relationship Id="rId301" Type="http://schemas.openxmlformats.org/officeDocument/2006/relationships/hyperlink" Target="https://advance.lexis.com/api/document?collection=cases-ca&amp;id=urn:contentItem:5F7T-S7C1-JS0R-2251-00000-00&amp;context=" TargetMode="External" /><Relationship Id="rId302" Type="http://schemas.openxmlformats.org/officeDocument/2006/relationships/hyperlink" Target="https://advance.lexis.com/api/document?collection=cases-ca&amp;id=urn:contentItem:5F7T-S741-F528-G2H2-00000-00&amp;context=" TargetMode="External" /><Relationship Id="rId303" Type="http://schemas.openxmlformats.org/officeDocument/2006/relationships/hyperlink" Target="https://advance.lexis.com/api/document?collection=cases-ca&amp;id=urn:contentItem:5F7T-S7C1-F7VM-S3SK-00000-00&amp;context=" TargetMode="External" /><Relationship Id="rId304" Type="http://schemas.openxmlformats.org/officeDocument/2006/relationships/hyperlink" Target="https://advance.lexis.com/api/document?collection=cases-ca&amp;id=urn:contentItem:5F7T-S7D1-JXG3-X0W7-00000-00&amp;context=" TargetMode="External" /><Relationship Id="rId305" Type="http://schemas.openxmlformats.org/officeDocument/2006/relationships/hyperlink" Target="https://advance.lexis.com/api/document?collection=cases-ca&amp;id=urn:contentItem:5F7T-S771-F81W-22T1-00000-00&amp;context=" TargetMode="External" /><Relationship Id="rId306" Type="http://schemas.openxmlformats.org/officeDocument/2006/relationships/hyperlink" Target="https://advance.lexis.com/api/document?collection=cases-ca&amp;id=urn:contentItem:5F7T-S791-FJTD-G2M2-00000-00&amp;context=" TargetMode="External" /><Relationship Id="rId307" Type="http://schemas.openxmlformats.org/officeDocument/2006/relationships/hyperlink" Target="https://advance.lexis.com/api/document?collection=cases-ca&amp;id=urn:contentItem:5F7T-S7F1-JBT7-X353-00000-00&amp;context=" TargetMode="External" /><Relationship Id="rId308" Type="http://schemas.openxmlformats.org/officeDocument/2006/relationships/hyperlink" Target="https://advance.lexis.com/api/document?collection=cases-ca&amp;id=urn:contentItem:5F7T-S7D1-FCSB-S2NW-00000-00&amp;context=" TargetMode="External" /><Relationship Id="rId309" Type="http://schemas.openxmlformats.org/officeDocument/2006/relationships/hyperlink" Target="https://advance.lexis.com/api/document?collection=cases-ca&amp;id=urn:contentItem:5F7T-S7F1-DXWW-23K0-00000-00&amp;context=" TargetMode="External" /><Relationship Id="rId31" Type="http://schemas.openxmlformats.org/officeDocument/2006/relationships/hyperlink" Target="https://advance.lexis.com/api/document?collection=cases-ca&amp;id=urn:contentItem:5F81-VJT1-FD4T-B2FT-00000-00&amp;context=" TargetMode="External" /><Relationship Id="rId310" Type="http://schemas.openxmlformats.org/officeDocument/2006/relationships/hyperlink" Target="https://advance.lexis.com/api/document?collection=cases-ca&amp;id=urn:contentItem:5F7T-S7B1-F7ND-G4YK-00000-00&amp;context=" TargetMode="External" /><Relationship Id="rId311" Type="http://schemas.openxmlformats.org/officeDocument/2006/relationships/hyperlink" Target="https://advance.lexis.com/api/document?collection=cases-ca&amp;id=urn:contentItem:5F7T-S7B1-F7ND-G50F-00000-00&amp;context=" TargetMode="External" /><Relationship Id="rId312" Type="http://schemas.openxmlformats.org/officeDocument/2006/relationships/hyperlink" Target="https://advance.lexis.com/api/document?collection=cases-ca&amp;id=urn:contentItem:5F8T-N3R1-JJSF-22JX-00000-00&amp;context=" TargetMode="External" /><Relationship Id="rId313" Type="http://schemas.openxmlformats.org/officeDocument/2006/relationships/hyperlink" Target="https://advance.lexis.com/api/document?collection=cases-ca&amp;id=urn:contentItem:5F7T-S771-JN14-G2PR-00000-00&amp;context=" TargetMode="External" /><Relationship Id="rId314" Type="http://schemas.openxmlformats.org/officeDocument/2006/relationships/hyperlink" Target="https://advance.lexis.com/api/document?collection=cases-ca&amp;id=urn:contentItem:5F7T-S731-F1WF-M2HD-00000-00&amp;context=" TargetMode="External" /><Relationship Id="rId315" Type="http://schemas.openxmlformats.org/officeDocument/2006/relationships/hyperlink" Target="https://advance.lexis.com/api/document?collection=cases-ca&amp;id=urn:contentItem:5F7T-S731-DY33-B0YN-00000-00&amp;context=" TargetMode="External" /><Relationship Id="rId316" Type="http://schemas.openxmlformats.org/officeDocument/2006/relationships/header" Target="header49.xml" /><Relationship Id="rId317" Type="http://schemas.openxmlformats.org/officeDocument/2006/relationships/header" Target="header50.xml" /><Relationship Id="rId318" Type="http://schemas.openxmlformats.org/officeDocument/2006/relationships/footer" Target="footer49.xml" /><Relationship Id="rId319" Type="http://schemas.openxmlformats.org/officeDocument/2006/relationships/footer" Target="footer50.xml" /><Relationship Id="rId32" Type="http://schemas.openxmlformats.org/officeDocument/2006/relationships/hyperlink" Target="https://advance.lexis.com/api/document?collection=cases-ca&amp;id=urn:contentItem:5F7T-S7G1-JX3N-B28X-00000-00&amp;context=" TargetMode="External" /><Relationship Id="rId320" Type="http://schemas.openxmlformats.org/officeDocument/2006/relationships/header" Target="header51.xml" /><Relationship Id="rId321" Type="http://schemas.openxmlformats.org/officeDocument/2006/relationships/footer" Target="footer51.xml" /><Relationship Id="rId322" Type="http://schemas.openxmlformats.org/officeDocument/2006/relationships/hyperlink" Target="https://advance.lexis.com/api/document?collection=cases-ca&amp;id=urn:contentItem:5F7T-S7F1-FBN1-21H5-00000-00&amp;context=" TargetMode="External" /><Relationship Id="rId323" Type="http://schemas.openxmlformats.org/officeDocument/2006/relationships/hyperlink" Target="https://advance.lexis.com/api/document?collection=cases-ca&amp;id=urn:contentItem:5K6Y-81M1-JGPY-X22D-00000-00&amp;context=" TargetMode="External" /><Relationship Id="rId324" Type="http://schemas.openxmlformats.org/officeDocument/2006/relationships/hyperlink" Target="https://advance.lexis.com/api/document?collection=cases-ca&amp;id=urn:contentItem:5F7T-S7D1-FCSB-S349-00000-00&amp;context=" TargetMode="External" /><Relationship Id="rId325" Type="http://schemas.openxmlformats.org/officeDocument/2006/relationships/hyperlink" Target="https://advance.lexis.com/api/document?collection=cases-ca&amp;id=urn:contentItem:5F7T-S7D1-JXG3-X0NN-00000-00&amp;context=" TargetMode="External" /><Relationship Id="rId326" Type="http://schemas.openxmlformats.org/officeDocument/2006/relationships/hyperlink" Target="https://advance.lexis.com/api/document?collection=cases-ca&amp;id=urn:contentItem:5F7T-S771-JWBS-61SS-00000-00&amp;context=" TargetMode="External" /><Relationship Id="rId327" Type="http://schemas.openxmlformats.org/officeDocument/2006/relationships/hyperlink" Target="https://advance.lexis.com/api/document?collection=cases-ca&amp;id=urn:contentItem:5F7T-S7D1-JN6B-S16W-00000-00&amp;context=" TargetMode="External" /><Relationship Id="rId328" Type="http://schemas.openxmlformats.org/officeDocument/2006/relationships/hyperlink" Target="https://advance.lexis.com/api/document?collection=cases-ca&amp;id=urn:contentItem:5F7T-S781-F06F-23W0-00000-00&amp;context=" TargetMode="External" /><Relationship Id="rId329" Type="http://schemas.openxmlformats.org/officeDocument/2006/relationships/hyperlink" Target="https://advance.lexis.com/api/document?collection=cases-ca&amp;id=urn:contentItem:5F7T-S7D1-FFFC-B149-00000-00&amp;context=" TargetMode="External" /><Relationship Id="rId33" Type="http://schemas.openxmlformats.org/officeDocument/2006/relationships/hyperlink" Target="https://advance.lexis.com/api/document?collection=cases-ca&amp;id=urn:contentItem:5F7T-S6X1-F7ND-G3FP-00000-00&amp;context=" TargetMode="External" /><Relationship Id="rId330" Type="http://schemas.openxmlformats.org/officeDocument/2006/relationships/hyperlink" Target="https://advance.lexis.com/api/document?collection=cases-ca&amp;id=urn:contentItem:5F7T-S7D1-DY89-M43H-00000-00&amp;context=" TargetMode="External" /><Relationship Id="rId331" Type="http://schemas.openxmlformats.org/officeDocument/2006/relationships/hyperlink" Target="https://advance.lexis.com/api/document?collection=cases-ca&amp;id=urn:contentItem:5F7T-S7D1-DY89-M42T-00000-00&amp;context=" TargetMode="External" /><Relationship Id="rId332" Type="http://schemas.openxmlformats.org/officeDocument/2006/relationships/hyperlink" Target="https://advance.lexis.com/api/document?collection=cases-ca&amp;id=urn:contentItem:5F7T-S7B1-FH4C-X3NP-00000-00&amp;context=" TargetMode="External" /><Relationship Id="rId333" Type="http://schemas.openxmlformats.org/officeDocument/2006/relationships/hyperlink" Target="https://advance.lexis.com/api/document?collection=cases-ca&amp;id=urn:contentItem:5F7T-S761-JS5Y-B1J4-00000-00&amp;context=" TargetMode="External" /><Relationship Id="rId334" Type="http://schemas.openxmlformats.org/officeDocument/2006/relationships/header" Target="header52.xml" /><Relationship Id="rId335" Type="http://schemas.openxmlformats.org/officeDocument/2006/relationships/header" Target="header53.xml" /><Relationship Id="rId336" Type="http://schemas.openxmlformats.org/officeDocument/2006/relationships/footer" Target="footer52.xml" /><Relationship Id="rId337" Type="http://schemas.openxmlformats.org/officeDocument/2006/relationships/footer" Target="footer53.xml" /><Relationship Id="rId338" Type="http://schemas.openxmlformats.org/officeDocument/2006/relationships/header" Target="header54.xml" /><Relationship Id="rId339" Type="http://schemas.openxmlformats.org/officeDocument/2006/relationships/footer" Target="footer54.xml" /><Relationship Id="rId34" Type="http://schemas.openxmlformats.org/officeDocument/2006/relationships/hyperlink" Target="https://advance.lexis.com/api/document?collection=cases-ca&amp;id=urn:contentItem:5F8T-N3R1-FBV7-B06V-00000-00&amp;context=" TargetMode="External" /><Relationship Id="rId340" Type="http://schemas.openxmlformats.org/officeDocument/2006/relationships/hyperlink" Target="https://advance.lexis.com/api/document?collection=cases-ca&amp;id=urn:contentItem:5F7T-S7D1-FBFS-S1TP-00000-00&amp;context=" TargetMode="External" /><Relationship Id="rId341" Type="http://schemas.openxmlformats.org/officeDocument/2006/relationships/header" Target="header55.xml" /><Relationship Id="rId342" Type="http://schemas.openxmlformats.org/officeDocument/2006/relationships/header" Target="header56.xml" /><Relationship Id="rId343" Type="http://schemas.openxmlformats.org/officeDocument/2006/relationships/footer" Target="footer55.xml" /><Relationship Id="rId344" Type="http://schemas.openxmlformats.org/officeDocument/2006/relationships/footer" Target="footer56.xml" /><Relationship Id="rId345" Type="http://schemas.openxmlformats.org/officeDocument/2006/relationships/header" Target="header57.xml" /><Relationship Id="rId346" Type="http://schemas.openxmlformats.org/officeDocument/2006/relationships/footer" Target="footer57.xml" /><Relationship Id="rId347" Type="http://schemas.openxmlformats.org/officeDocument/2006/relationships/hyperlink" Target="https://advance.lexis.com/api/document?collection=cases-ca&amp;id=urn:contentItem:5F7T-S7G1-F5KY-B1CT-00000-00&amp;context=" TargetMode="External" /><Relationship Id="rId348" Type="http://schemas.openxmlformats.org/officeDocument/2006/relationships/hyperlink" Target="https://advance.lexis.com/api/document?collection=cases-ca&amp;id=urn:contentItem:5K6Y-81M1-JGPY-X20H-00000-00&amp;context=" TargetMode="External" /><Relationship Id="rId349" Type="http://schemas.openxmlformats.org/officeDocument/2006/relationships/hyperlink" Target="https://advance.lexis.com/api/document?collection=cases-ca&amp;id=urn:contentItem:5F7T-S7G1-JPP5-221F-00000-00&amp;context=" TargetMode="External" /><Relationship Id="rId35" Type="http://schemas.openxmlformats.org/officeDocument/2006/relationships/hyperlink" Target="https://advance.lexis.com/api/document?collection=cases-ca&amp;id=urn:contentItem:5F7T-S751-JX3N-B124-00000-00&amp;context=" TargetMode="External" /><Relationship Id="rId350" Type="http://schemas.openxmlformats.org/officeDocument/2006/relationships/hyperlink" Target="https://advance.lexis.com/api/document?collection=legislation-ca&amp;id=urn:contentItem:5F41-1FH1-F361-M0HG-00000-00&amp;context=" TargetMode="External" /><Relationship Id="rId351" Type="http://schemas.openxmlformats.org/officeDocument/2006/relationships/hyperlink" Target="https://advance.lexis.com/api/document?collection=cases-ca&amp;id=urn:contentItem:5F7T-S6X1-JTNR-M3T8-00000-00&amp;context=" TargetMode="External" /><Relationship Id="rId352" Type="http://schemas.openxmlformats.org/officeDocument/2006/relationships/hyperlink" Target="https://advance.lexis.com/api/document?collection=cases-ca&amp;id=urn:contentItem:5F7T-S7C1-JXG3-X02B-00000-00&amp;context=" TargetMode="External" /><Relationship Id="rId353" Type="http://schemas.openxmlformats.org/officeDocument/2006/relationships/hyperlink" Target="https://advance.lexis.com/api/document?collection=cases-ca&amp;id=urn:contentItem:5F7T-S751-JP4G-616J-00000-00&amp;context=" TargetMode="External" /><Relationship Id="rId354" Type="http://schemas.openxmlformats.org/officeDocument/2006/relationships/hyperlink" Target="https://advance.lexis.com/api/document?collection=cases-ca&amp;id=urn:contentItem:5F7T-S751-JP4G-61DG-00000-00&amp;context=" TargetMode="External" /><Relationship Id="rId355" Type="http://schemas.openxmlformats.org/officeDocument/2006/relationships/hyperlink" Target="https://advance.lexis.com/api/document?collection=cases-ca&amp;id=urn:contentItem:5F7T-S701-JF75-M47G-00000-00&amp;context=" TargetMode="External" /><Relationship Id="rId356" Type="http://schemas.openxmlformats.org/officeDocument/2006/relationships/hyperlink" Target="https://advance.lexis.com/api/document?collection=cases-ca&amp;id=urn:contentItem:5F7T-S741-DY89-M397-00000-00&amp;context=" TargetMode="External" /><Relationship Id="rId357" Type="http://schemas.openxmlformats.org/officeDocument/2006/relationships/hyperlink" Target="https://advance.lexis.com/api/document?collection=cases-ca&amp;id=urn:contentItem:5F7T-S781-JSC5-M3W1-00000-00&amp;context=" TargetMode="External" /><Relationship Id="rId358" Type="http://schemas.openxmlformats.org/officeDocument/2006/relationships/hyperlink" Target="https://advance.lexis.com/api/document?collection=cases-ca&amp;id=urn:contentItem:5F7T-S711-JNY7-X309-00000-00&amp;context=" TargetMode="External" /><Relationship Id="rId359" Type="http://schemas.openxmlformats.org/officeDocument/2006/relationships/hyperlink" Target="https://advance.lexis.com/api/document?collection=cases-ca&amp;id=urn:contentItem:5F8T-N3V1-FC1F-M4BC-00000-00&amp;context=" TargetMode="External" /><Relationship Id="rId36" Type="http://schemas.openxmlformats.org/officeDocument/2006/relationships/header" Target="header7.xml" /><Relationship Id="rId360" Type="http://schemas.openxmlformats.org/officeDocument/2006/relationships/hyperlink" Target="https://advance.lexis.com/api/document?collection=cases-ca&amp;id=urn:contentItem:5F7T-S7F1-JX3N-B19D-00000-00&amp;context=" TargetMode="External" /><Relationship Id="rId361" Type="http://schemas.openxmlformats.org/officeDocument/2006/relationships/hyperlink" Target="https://advance.lexis.com/api/document?collection=cases-ca&amp;id=urn:contentItem:5F7T-S731-F60C-X11W-00000-00&amp;context=" TargetMode="External" /><Relationship Id="rId362" Type="http://schemas.openxmlformats.org/officeDocument/2006/relationships/hyperlink" Target="https://advance.lexis.com/api/document?collection=cases-ca&amp;id=urn:contentItem:5F7T-S771-JSJC-X05N-00000-00&amp;context=" TargetMode="External" /><Relationship Id="rId363" Type="http://schemas.openxmlformats.org/officeDocument/2006/relationships/header" Target="header58.xml" /><Relationship Id="rId364" Type="http://schemas.openxmlformats.org/officeDocument/2006/relationships/header" Target="header59.xml" /><Relationship Id="rId365" Type="http://schemas.openxmlformats.org/officeDocument/2006/relationships/footer" Target="footer58.xml" /><Relationship Id="rId366" Type="http://schemas.openxmlformats.org/officeDocument/2006/relationships/footer" Target="footer59.xml" /><Relationship Id="rId367" Type="http://schemas.openxmlformats.org/officeDocument/2006/relationships/header" Target="header60.xml" /><Relationship Id="rId368" Type="http://schemas.openxmlformats.org/officeDocument/2006/relationships/footer" Target="footer60.xml" /><Relationship Id="rId369" Type="http://schemas.openxmlformats.org/officeDocument/2006/relationships/hyperlink" Target="https://advance.lexis.com/api/document?collection=cases-ca&amp;id=urn:contentItem:5F7T-S7G1-JNY7-X3R4-00000-00&amp;context=" TargetMode="External" /><Relationship Id="rId37" Type="http://schemas.openxmlformats.org/officeDocument/2006/relationships/header" Target="header8.xml" /><Relationship Id="rId370" Type="http://schemas.openxmlformats.org/officeDocument/2006/relationships/hyperlink" Target="https://advance.lexis.com/api/document?collection=legislation-ca&amp;id=urn:contentItem:5F41-1FG1-JJYN-B0DY-00000-00&amp;context=" TargetMode="External" /><Relationship Id="rId371" Type="http://schemas.openxmlformats.org/officeDocument/2006/relationships/hyperlink" Target="https://advance.lexis.com/api/document?collection=cases-ca&amp;id=urn:contentItem:5F7T-S7C1-FCSB-S28M-00000-00&amp;context=" TargetMode="External" /><Relationship Id="rId372" Type="http://schemas.openxmlformats.org/officeDocument/2006/relationships/hyperlink" Target="https://advance.lexis.com/api/document?collection=cases-ca&amp;id=urn:contentItem:5F7T-S7C1-FCSB-S2D9-00000-00&amp;context=" TargetMode="External" /><Relationship Id="rId373" Type="http://schemas.openxmlformats.org/officeDocument/2006/relationships/hyperlink" Target="https://advance.lexis.com/api/document?collection=cases-ca&amp;id=urn:contentItem:5F7T-S751-JCJ5-245X-00000-00&amp;context=" TargetMode="External" /><Relationship Id="rId374" Type="http://schemas.openxmlformats.org/officeDocument/2006/relationships/hyperlink" Target="https://advance.lexis.com/api/document?collection=cases-ca&amp;id=urn:contentItem:5F7T-S771-JSJC-X0KS-00000-00&amp;context=" TargetMode="External" /><Relationship Id="rId375" Type="http://schemas.openxmlformats.org/officeDocument/2006/relationships/hyperlink" Target="https://advance.lexis.com/api/document?collection=cases-ca&amp;id=urn:contentItem:5F7T-S721-JSC5-M3B6-00000-00&amp;context=" TargetMode="External" /><Relationship Id="rId376" Type="http://schemas.openxmlformats.org/officeDocument/2006/relationships/hyperlink" Target="https://advance.lexis.com/api/document?collection=cases-ca&amp;id=urn:contentItem:5F7T-S791-JCJ5-252X-00000-00&amp;context=" TargetMode="External" /><Relationship Id="rId377" Type="http://schemas.openxmlformats.org/officeDocument/2006/relationships/hyperlink" Target="https://advance.lexis.com/api/document?collection=cases-ca&amp;id=urn:contentItem:5F7T-S731-DY33-B0MM-00000-00&amp;context=" TargetMode="External" /><Relationship Id="rId378" Type="http://schemas.openxmlformats.org/officeDocument/2006/relationships/hyperlink" Target="https://advance.lexis.com/api/document?collection=cases-ca&amp;id=urn:contentItem:5F7T-S6T1-F361-M0DW-00000-00&amp;context=" TargetMode="External" /><Relationship Id="rId379" Type="http://schemas.openxmlformats.org/officeDocument/2006/relationships/hyperlink" Target="https://advance.lexis.com/api/document?collection=cases-ca&amp;id=urn:contentItem:5F8T-N3V1-JF75-M3DT-00000-00&amp;context=" TargetMode="External" /><Relationship Id="rId38" Type="http://schemas.openxmlformats.org/officeDocument/2006/relationships/footer" Target="footer7.xml" /><Relationship Id="rId380" Type="http://schemas.openxmlformats.org/officeDocument/2006/relationships/header" Target="header61.xml" /><Relationship Id="rId381" Type="http://schemas.openxmlformats.org/officeDocument/2006/relationships/header" Target="header62.xml" /><Relationship Id="rId382" Type="http://schemas.openxmlformats.org/officeDocument/2006/relationships/footer" Target="footer61.xml" /><Relationship Id="rId383" Type="http://schemas.openxmlformats.org/officeDocument/2006/relationships/footer" Target="footer62.xml" /><Relationship Id="rId384" Type="http://schemas.openxmlformats.org/officeDocument/2006/relationships/header" Target="header63.xml" /><Relationship Id="rId385" Type="http://schemas.openxmlformats.org/officeDocument/2006/relationships/footer" Target="footer63.xml" /><Relationship Id="rId386" Type="http://schemas.openxmlformats.org/officeDocument/2006/relationships/hyperlink" Target="https://advance.lexis.com/api/document?collection=cases-ca&amp;id=urn:contentItem:5MJ7-NBJ1-F1WF-M27C-00000-00&amp;context=" TargetMode="External" /><Relationship Id="rId387" Type="http://schemas.openxmlformats.org/officeDocument/2006/relationships/hyperlink" Target="https://advance.lexis.com/api/document?collection=legislation-ca&amp;id=urn:contentItem:5F41-1FG1-FC1F-M0SS-00000-00&amp;context=" TargetMode="External" /><Relationship Id="rId388" Type="http://schemas.openxmlformats.org/officeDocument/2006/relationships/hyperlink" Target="https://advance.lexis.com/api/document?collection=legislation-ca&amp;id=urn:contentItem:5W2C-X5G1-JJYN-B448-00000-00&amp;context=" TargetMode="External" /><Relationship Id="rId389" Type="http://schemas.openxmlformats.org/officeDocument/2006/relationships/hyperlink" Target="https://advance.lexis.com/api/document?collection=legislation-ca&amp;id=urn:contentItem:5F41-1FK1-JGBH-B10R-00000-00&amp;context=" TargetMode="External" /><Relationship Id="rId39" Type="http://schemas.openxmlformats.org/officeDocument/2006/relationships/footer" Target="footer8.xml" /><Relationship Id="rId390" Type="http://schemas.openxmlformats.org/officeDocument/2006/relationships/hyperlink" Target="https://advance.lexis.com/api/document?collection=cases-ca&amp;id=urn:contentItem:5J9K-5FJ1-F2MB-S219-00000-00&amp;context=" TargetMode="External" /><Relationship Id="rId391" Type="http://schemas.openxmlformats.org/officeDocument/2006/relationships/hyperlink" Target="https://advance.lexis.com/api/document?collection=cases-ca&amp;id=urn:contentItem:5GCC-XVC1-JSRM-60FT-00000-00&amp;context=" TargetMode="External" /><Relationship Id="rId392" Type="http://schemas.openxmlformats.org/officeDocument/2006/relationships/hyperlink" Target="https://advance.lexis.com/api/document?collection=cases-ca&amp;id=urn:contentItem:5F7T-S7K1-JKHB-631H-00000-00&amp;context=" TargetMode="External" /><Relationship Id="rId393" Type="http://schemas.openxmlformats.org/officeDocument/2006/relationships/hyperlink" Target="https://advance.lexis.com/api/document?collection=cases-ca&amp;id=urn:contentItem:5F7T-S7G1-JWR6-S1R8-00000-00&amp;context=" TargetMode="External" /><Relationship Id="rId394" Type="http://schemas.openxmlformats.org/officeDocument/2006/relationships/hyperlink" Target="https://advance.lexis.com/api/document?collection=cases-ca&amp;id=urn:contentItem:5F7T-S761-FFMK-M15W-00000-00&amp;context=" TargetMode="External" /><Relationship Id="rId395" Type="http://schemas.openxmlformats.org/officeDocument/2006/relationships/hyperlink" Target="https://advance.lexis.com/api/document?collection=cases-ca&amp;id=urn:contentItem:5F7T-S7C1-FGRY-B08S-00000-00&amp;context=" TargetMode="External" /><Relationship Id="rId396" Type="http://schemas.openxmlformats.org/officeDocument/2006/relationships/hyperlink" Target="https://advance.lexis.com/api/document?collection=cases-ca&amp;id=urn:contentItem:5F8T-N3V1-FH4C-X1XK-00000-00&amp;context=" TargetMode="External" /><Relationship Id="rId397" Type="http://schemas.openxmlformats.org/officeDocument/2006/relationships/hyperlink" Target="https://advance.lexis.com/api/document?collection=cases-ca&amp;id=urn:contentItem:5F8T-N3T1-JJSF-236M-00000-00&amp;context=" TargetMode="External" /><Relationship Id="rId398" Type="http://schemas.openxmlformats.org/officeDocument/2006/relationships/hyperlink" Target="https://advance.lexis.com/api/document?collection=cases-ca&amp;id=urn:contentItem:5F7T-S7N1-JC5P-G1XX-00000-00&amp;context=" TargetMode="External" /><Relationship Id="rId399" Type="http://schemas.openxmlformats.org/officeDocument/2006/relationships/hyperlink" Target="https://advance.lexis.com/api/document?collection=cases-ca&amp;id=urn:contentItem:5F7T-S7K1-F1H1-22F0-00000-00&amp;context=" TargetMode="External" /><Relationship Id="rId4" Type="http://schemas.openxmlformats.org/officeDocument/2006/relationships/header" Target="header1.xml" /><Relationship Id="rId40" Type="http://schemas.openxmlformats.org/officeDocument/2006/relationships/header" Target="header9.xml" /><Relationship Id="rId400" Type="http://schemas.openxmlformats.org/officeDocument/2006/relationships/hyperlink" Target="https://advance.lexis.com/api/document?collection=cases-ca&amp;id=urn:contentItem:5F7T-S7N1-JWR6-S23V-00000-00&amp;context=" TargetMode="External" /><Relationship Id="rId401" Type="http://schemas.openxmlformats.org/officeDocument/2006/relationships/hyperlink" Target="https://advance.lexis.com/api/document?collection=cases-ca&amp;id=urn:contentItem:5F7T-S7F1-F7VM-S4F6-00000-00&amp;context=" TargetMode="External" /><Relationship Id="rId402" Type="http://schemas.openxmlformats.org/officeDocument/2006/relationships/hyperlink" Target="https://advance.lexis.com/api/document?collection=cases-ca&amp;id=urn:contentItem:5F7T-S7P1-JNJT-B2HS-00000-00&amp;context=" TargetMode="External" /><Relationship Id="rId403" Type="http://schemas.openxmlformats.org/officeDocument/2006/relationships/hyperlink" Target="https://advance.lexis.com/api/document?collection=cases-ca&amp;id=urn:contentItem:5F7T-S7H1-JS5Y-B31F-00000-00&amp;context=" TargetMode="External" /><Relationship Id="rId404" Type="http://schemas.openxmlformats.org/officeDocument/2006/relationships/hyperlink" Target="https://advance.lexis.com/api/document?collection=cases-ca&amp;id=urn:contentItem:5F7T-S7F1-JFKM-61VX-00000-00&amp;context=" TargetMode="External" /><Relationship Id="rId405" Type="http://schemas.openxmlformats.org/officeDocument/2006/relationships/hyperlink" Target="https://advance.lexis.com/api/document?collection=cases-ca&amp;id=urn:contentItem:5JH9-BW81-F22N-X47X-00000-00&amp;context=" TargetMode="External" /><Relationship Id="rId406" Type="http://schemas.openxmlformats.org/officeDocument/2006/relationships/hyperlink" Target="https://advance.lexis.com/api/document?collection=cases-ca&amp;id=urn:contentItem:5F7T-S7N1-JW09-M0YW-00000-00&amp;context=" TargetMode="External" /><Relationship Id="rId407" Type="http://schemas.openxmlformats.org/officeDocument/2006/relationships/hyperlink" Target="https://advance.lexis.com/api/document?collection=cases-ca&amp;id=urn:contentItem:5F7T-S7C1-F7ND-G040-00000-00&amp;context=" TargetMode="External" /><Relationship Id="rId408" Type="http://schemas.openxmlformats.org/officeDocument/2006/relationships/hyperlink" Target="https://advance.lexis.com/api/document?collection=cases-ca&amp;id=urn:contentItem:5F7T-S731-FFFC-B0PJ-00000-00&amp;context=" TargetMode="External" /><Relationship Id="rId409" Type="http://schemas.openxmlformats.org/officeDocument/2006/relationships/hyperlink" Target="https://advance.lexis.com/api/document?collection=cases-ca&amp;id=urn:contentItem:5F7T-S6Y1-JPP5-215W-00000-00&amp;context=" TargetMode="External" /><Relationship Id="rId41" Type="http://schemas.openxmlformats.org/officeDocument/2006/relationships/footer" Target="footer9.xml" /><Relationship Id="rId410" Type="http://schemas.openxmlformats.org/officeDocument/2006/relationships/hyperlink" Target="https://advance.lexis.com/api/document?collection=cases-ca&amp;id=urn:contentItem:5F7T-S711-F5KY-B0P4-00000-00&amp;context=" TargetMode="External" /><Relationship Id="rId411" Type="http://schemas.openxmlformats.org/officeDocument/2006/relationships/hyperlink" Target="https://advance.lexis.com/api/document?collection=cases-ca&amp;id=urn:contentItem:5F7T-S7N1-JC5P-G21B-00000-00&amp;context=" TargetMode="External" /><Relationship Id="rId412" Type="http://schemas.openxmlformats.org/officeDocument/2006/relationships/hyperlink" Target="https://advance.lexis.com/api/document?collection=cases-ca&amp;id=urn:contentItem:5F8T-N3V1-JTGH-B0YP-00000-00&amp;context=" TargetMode="External" /><Relationship Id="rId413" Type="http://schemas.openxmlformats.org/officeDocument/2006/relationships/hyperlink" Target="https://advance.lexis.com/api/document?collection=cases-ca&amp;id=urn:contentItem:5F8T-N3V1-JF75-M3CS-00000-00&amp;context=" TargetMode="External" /><Relationship Id="rId414" Type="http://schemas.openxmlformats.org/officeDocument/2006/relationships/hyperlink" Target="https://advance.lexis.com/api/document?collection=cases-ca&amp;id=urn:contentItem:5F8T-N3T1-JFKM-650V-00000-00&amp;context=" TargetMode="External" /><Relationship Id="rId415" Type="http://schemas.openxmlformats.org/officeDocument/2006/relationships/hyperlink" Target="https://advance.lexis.com/api/document?collection=cases-ca&amp;id=urn:contentItem:5F8T-N3V1-JFKM-601D-00000-00&amp;context=" TargetMode="External" /><Relationship Id="rId416" Type="http://schemas.openxmlformats.org/officeDocument/2006/relationships/hyperlink" Target="https://advance.lexis.com/api/document?collection=cases-ca&amp;id=urn:contentItem:5F7T-S7D1-JS5Y-B294-00000-00&amp;context=" TargetMode="External" /><Relationship Id="rId417" Type="http://schemas.openxmlformats.org/officeDocument/2006/relationships/hyperlink" Target="https://advance.lexis.com/api/document?collection=cases-ca&amp;id=urn:contentItem:5F7T-S721-F4NT-X2W2-00000-00&amp;context=" TargetMode="External" /><Relationship Id="rId418" Type="http://schemas.openxmlformats.org/officeDocument/2006/relationships/hyperlink" Target="https://advance.lexis.com/api/document?collection=cases-ca&amp;id=urn:contentItem:5F7T-S7P1-JCRC-B25C-00000-00&amp;context=" TargetMode="External" /><Relationship Id="rId419" Type="http://schemas.openxmlformats.org/officeDocument/2006/relationships/hyperlink" Target="https://advance.lexis.com/api/document?collection=cases-ca&amp;id=urn:contentItem:5R3N-WV71-F65M-6387-00000-00&amp;context=" TargetMode="External" /><Relationship Id="rId42" Type="http://schemas.openxmlformats.org/officeDocument/2006/relationships/hyperlink" Target="https://advance.lexis.com/api/document?collection=cases-ca&amp;id=urn:contentItem:5F7T-S7C1-F30T-B2GJ-00000-00&amp;context=" TargetMode="External" /><Relationship Id="rId420" Type="http://schemas.openxmlformats.org/officeDocument/2006/relationships/header" Target="header64.xml" /><Relationship Id="rId421" Type="http://schemas.openxmlformats.org/officeDocument/2006/relationships/header" Target="header65.xml" /><Relationship Id="rId422" Type="http://schemas.openxmlformats.org/officeDocument/2006/relationships/footer" Target="footer64.xml" /><Relationship Id="rId423" Type="http://schemas.openxmlformats.org/officeDocument/2006/relationships/footer" Target="footer65.xml" /><Relationship Id="rId424" Type="http://schemas.openxmlformats.org/officeDocument/2006/relationships/header" Target="header66.xml" /><Relationship Id="rId425" Type="http://schemas.openxmlformats.org/officeDocument/2006/relationships/footer" Target="footer66.xml" /><Relationship Id="rId426" Type="http://schemas.openxmlformats.org/officeDocument/2006/relationships/hyperlink" Target="https://advance.lexis.com/api/document?collection=cases-ca&amp;id=urn:contentItem:5TV7-MTB1-JSJC-X562-00000-00&amp;context=" TargetMode="External" /><Relationship Id="rId427" Type="http://schemas.openxmlformats.org/officeDocument/2006/relationships/hyperlink" Target="https://advance.lexis.com/api/document?collection=legislation-ca&amp;id=urn:contentItem:5VYK-W9V1-F4NT-X509-00000-00&amp;context=" TargetMode="External" /><Relationship Id="rId428" Type="http://schemas.openxmlformats.org/officeDocument/2006/relationships/hyperlink" Target="https://advance.lexis.com/api/document?collection=cases-ca&amp;id=urn:contentItem:5F7T-S7N1-JGHR-M38N-00000-00&amp;context=" TargetMode="External" /><Relationship Id="rId429" Type="http://schemas.openxmlformats.org/officeDocument/2006/relationships/hyperlink" Target="https://advance.lexis.com/api/document?collection=cases-ca&amp;id=urn:contentItem:5TKV-7381-JJSF-230T-00000-00&amp;context=" TargetMode="External" /><Relationship Id="rId43" Type="http://schemas.openxmlformats.org/officeDocument/2006/relationships/hyperlink" Target="https://advance.lexis.com/api/document?collection=cases-ca&amp;id=urn:contentItem:5F7T-S751-JCJ5-246W-00000-00&amp;context=" TargetMode="External" /><Relationship Id="rId430" Type="http://schemas.openxmlformats.org/officeDocument/2006/relationships/hyperlink" Target="https://advance.lexis.com/api/document?collection=cases-ca&amp;id=urn:contentItem:5J9K-5FJ1-F2MB-S21H-00000-00&amp;context=" TargetMode="External" /><Relationship Id="rId431" Type="http://schemas.openxmlformats.org/officeDocument/2006/relationships/hyperlink" Target="https://advance.lexis.com/api/document?collection=cases-ca&amp;id=urn:contentItem:5NK7-F0K1-JFDC-X3HF-00000-00&amp;context=" TargetMode="External" /><Relationship Id="rId432" Type="http://schemas.openxmlformats.org/officeDocument/2006/relationships/hyperlink" Target="https://advance.lexis.com/api/document?collection=cases-ca&amp;id=urn:contentItem:5F8T-N3V1-JF75-M3JV-00000-00&amp;context=" TargetMode="External" /><Relationship Id="rId433" Type="http://schemas.openxmlformats.org/officeDocument/2006/relationships/hyperlink" Target="https://advance.lexis.com/api/document?collection=cases-ca&amp;id=urn:contentItem:5F7T-XPW1-F1WF-M2N6-00000-00&amp;context=" TargetMode="External" /><Relationship Id="rId434" Type="http://schemas.openxmlformats.org/officeDocument/2006/relationships/hyperlink" Target="https://advance.lexis.com/api/document?collection=cases-ca&amp;id=urn:contentItem:5F82-1SD1-F8D9-M2TS-00000-00&amp;context=" TargetMode="External" /><Relationship Id="rId435" Type="http://schemas.openxmlformats.org/officeDocument/2006/relationships/hyperlink" Target="https://advance.lexis.com/api/document?collection=cases-ca&amp;id=urn:contentItem:5F7T-S781-JC5P-G1HV-00000-00&amp;context=" TargetMode="External" /><Relationship Id="rId436" Type="http://schemas.openxmlformats.org/officeDocument/2006/relationships/hyperlink" Target="https://advance.lexis.com/api/document?collection=cases-ca&amp;id=urn:contentItem:5F82-1SF1-F4W2-63H6-00000-00&amp;context=" TargetMode="External" /><Relationship Id="rId437" Type="http://schemas.openxmlformats.org/officeDocument/2006/relationships/hyperlink" Target="https://advance.lexis.com/api/document?collection=cases-ca&amp;id=urn:contentItem:5F8T-N3T1-JJSF-23B2-00000-00&amp;context=" TargetMode="External" /><Relationship Id="rId438" Type="http://schemas.openxmlformats.org/officeDocument/2006/relationships/hyperlink" Target="https://advance.lexis.com/api/document?collection=cases-ca&amp;id=urn:contentItem:5F8T-N3V1-JTGH-B11H-00000-00&amp;context=" TargetMode="External" /><Relationship Id="rId439" Type="http://schemas.openxmlformats.org/officeDocument/2006/relationships/hyperlink" Target="https://advance.lexis.com/api/document?collection=cases-ca&amp;id=urn:contentItem:5F8T-N3V1-JF75-M3JW-00000-00&amp;context=" TargetMode="External" /><Relationship Id="rId44" Type="http://schemas.openxmlformats.org/officeDocument/2006/relationships/hyperlink" Target="https://advance.lexis.com/api/document?collection=cases-ca&amp;id=urn:contentItem:5F7T-S7B1-FH4C-X3RB-00000-00&amp;context=" TargetMode="External" /><Relationship Id="rId440" Type="http://schemas.openxmlformats.org/officeDocument/2006/relationships/hyperlink" Target="https://advance.lexis.com/api/document?collection=cases-ca&amp;id=urn:contentItem:5F8T-N3V1-FC1F-M4GP-00000-00&amp;context=" TargetMode="External" /><Relationship Id="rId441" Type="http://schemas.openxmlformats.org/officeDocument/2006/relationships/hyperlink" Target="https://advance.lexis.com/api/document?collection=cases-ca&amp;id=urn:contentItem:5F8T-N3V1-FC1F-M44H-00000-00&amp;context=" TargetMode="External" /><Relationship Id="rId442" Type="http://schemas.openxmlformats.org/officeDocument/2006/relationships/hyperlink" Target="https://advance.lexis.com/api/document?collection=cases-ca&amp;id=urn:contentItem:5F8T-N3V1-JTGH-B16S-00000-00&amp;context=" TargetMode="External" /><Relationship Id="rId443" Type="http://schemas.openxmlformats.org/officeDocument/2006/relationships/hyperlink" Target="https://advance.lexis.com/api/document?collection=cases-ca&amp;id=urn:contentItem:5F7T-S7F1-F7VM-S428-00000-00&amp;context=" TargetMode="External" /><Relationship Id="rId444" Type="http://schemas.openxmlformats.org/officeDocument/2006/relationships/hyperlink" Target="https://advance.lexis.com/api/document?collection=cases-ca&amp;id=urn:contentItem:5F8P-SGB1-JBT7-X364-00000-00&amp;context=" TargetMode="External" /><Relationship Id="rId445" Type="http://schemas.openxmlformats.org/officeDocument/2006/relationships/hyperlink" Target="https://advance.lexis.com/api/document?collection=cases-ca&amp;id=urn:contentItem:5F82-1SD1-FCK4-G2RM-00000-00&amp;context=" TargetMode="External" /><Relationship Id="rId446" Type="http://schemas.openxmlformats.org/officeDocument/2006/relationships/hyperlink" Target="https://advance.lexis.com/api/document?collection=cases-ca&amp;id=urn:contentItem:5FB6-3XT1-F7VM-S3RK-00000-00&amp;context=" TargetMode="External" /><Relationship Id="rId447" Type="http://schemas.openxmlformats.org/officeDocument/2006/relationships/header" Target="header67.xml" /><Relationship Id="rId448" Type="http://schemas.openxmlformats.org/officeDocument/2006/relationships/header" Target="header68.xml" /><Relationship Id="rId449" Type="http://schemas.openxmlformats.org/officeDocument/2006/relationships/footer" Target="footer67.xml" /><Relationship Id="rId45" Type="http://schemas.openxmlformats.org/officeDocument/2006/relationships/hyperlink" Target="https://advance.lexis.com/api/document?collection=cases-ca&amp;id=urn:contentItem:5F7T-S7C1-F4NT-X30S-00000-00&amp;context=" TargetMode="External" /><Relationship Id="rId450" Type="http://schemas.openxmlformats.org/officeDocument/2006/relationships/footer" Target="footer68.xml" /><Relationship Id="rId451" Type="http://schemas.openxmlformats.org/officeDocument/2006/relationships/header" Target="header69.xml" /><Relationship Id="rId452" Type="http://schemas.openxmlformats.org/officeDocument/2006/relationships/footer" Target="footer69.xml" /><Relationship Id="rId453" Type="http://schemas.openxmlformats.org/officeDocument/2006/relationships/hyperlink" Target="https://advance.lexis.com/api/document?collection=cases-ca&amp;id=urn:contentItem:5F7T-S781-F7G6-637N-00000-00&amp;context=" TargetMode="External" /><Relationship Id="rId454" Type="http://schemas.openxmlformats.org/officeDocument/2006/relationships/header" Target="header70.xml" /><Relationship Id="rId455" Type="http://schemas.openxmlformats.org/officeDocument/2006/relationships/header" Target="header71.xml" /><Relationship Id="rId456" Type="http://schemas.openxmlformats.org/officeDocument/2006/relationships/footer" Target="footer70.xml" /><Relationship Id="rId457" Type="http://schemas.openxmlformats.org/officeDocument/2006/relationships/footer" Target="footer71.xml" /><Relationship Id="rId458" Type="http://schemas.openxmlformats.org/officeDocument/2006/relationships/header" Target="header72.xml" /><Relationship Id="rId459" Type="http://schemas.openxmlformats.org/officeDocument/2006/relationships/footer" Target="footer72.xml" /><Relationship Id="rId46" Type="http://schemas.openxmlformats.org/officeDocument/2006/relationships/hyperlink" Target="https://advance.lexis.com/api/document?collection=cases-ca&amp;id=urn:contentItem:5F7T-S751-FJDY-X3HW-00000-00&amp;context=" TargetMode="External" /><Relationship Id="rId460" Type="http://schemas.openxmlformats.org/officeDocument/2006/relationships/hyperlink" Target="https://advance.lexis.com/api/document?collection=cases-ca&amp;id=urn:contentItem:5F7T-S7M1-F4W2-62BB-00000-00&amp;context=" TargetMode="External" /><Relationship Id="rId461" Type="http://schemas.openxmlformats.org/officeDocument/2006/relationships/hyperlink" Target="https://advance.lexis.com/api/document?collection=legislation-ca&amp;id=urn:contentItem:5VYK-W9V1-JS0R-23WX-00000-00&amp;context=" TargetMode="External" /><Relationship Id="rId462" Type="http://schemas.openxmlformats.org/officeDocument/2006/relationships/hyperlink" Target="https://advance.lexis.com/api/document?collection=cases-ca&amp;id=urn:contentItem:5F7T-S781-F06F-244Y-00000-00&amp;context=" TargetMode="External" /><Relationship Id="rId463" Type="http://schemas.openxmlformats.org/officeDocument/2006/relationships/hyperlink" Target="https://advance.lexis.com/api/document?collection=cases-ca&amp;id=urn:contentItem:5F7T-S7D1-DY89-M3VD-00000-00&amp;context=" TargetMode="External" /><Relationship Id="rId464" Type="http://schemas.openxmlformats.org/officeDocument/2006/relationships/hyperlink" Target="https://advance.lexis.com/api/document?collection=legislation-ca&amp;id=urn:contentItem:5W2C-X5K1-F4W2-600C-00000-00&amp;context=" TargetMode="External" /><Relationship Id="rId465" Type="http://schemas.openxmlformats.org/officeDocument/2006/relationships/hyperlink" Target="https://advance.lexis.com/api/document?collection=cases-ca&amp;id=urn:contentItem:5F7T-S721-F956-S1RK-00000-00&amp;context=" TargetMode="External" /><Relationship Id="rId466" Type="http://schemas.openxmlformats.org/officeDocument/2006/relationships/hyperlink" Target="https://advance.lexis.com/api/document?collection=cases-ca&amp;id=urn:contentItem:5F7T-S781-F900-G0T1-00000-00&amp;context=" TargetMode="External" /><Relationship Id="rId467" Type="http://schemas.openxmlformats.org/officeDocument/2006/relationships/hyperlink" Target="https://advance.lexis.com/api/document?collection=cases-ca&amp;id=urn:contentItem:5F7T-S731-FFFC-B0FN-00000-00&amp;context=" TargetMode="External" /><Relationship Id="rId468" Type="http://schemas.openxmlformats.org/officeDocument/2006/relationships/hyperlink" Target="https://advance.lexis.com/api/document?collection=cases-ca&amp;id=urn:contentItem:5F7T-S751-JBM1-M231-00000-00&amp;context=" TargetMode="External" /><Relationship Id="rId469" Type="http://schemas.openxmlformats.org/officeDocument/2006/relationships/hyperlink" Target="https://advance.lexis.com/api/document?collection=cases-ca&amp;id=urn:contentItem:5F7T-S7K1-JNY7-X4R5-00000-00&amp;context=" TargetMode="External" /><Relationship Id="rId47" Type="http://schemas.openxmlformats.org/officeDocument/2006/relationships/hyperlink" Target="https://advance.lexis.com/api/document?collection=cases-ca&amp;id=urn:contentItem:5F7T-S761-FFMK-M0XP-00000-00&amp;context=" TargetMode="External" /><Relationship Id="rId470" Type="http://schemas.openxmlformats.org/officeDocument/2006/relationships/hyperlink" Target="https://advance.lexis.com/api/document?collection=cases-ca&amp;id=urn:contentItem:5F82-1SJ1-F900-G228-00000-00&amp;context=" TargetMode="External" /><Relationship Id="rId471" Type="http://schemas.openxmlformats.org/officeDocument/2006/relationships/hyperlink" Target="https://advance.lexis.com/api/document?collection=cases-ca&amp;id=urn:contentItem:5F7T-S781-FH4C-X2KY-00000-00&amp;context=" TargetMode="External" /><Relationship Id="rId472" Type="http://schemas.openxmlformats.org/officeDocument/2006/relationships/hyperlink" Target="https://advance.lexis.com/api/document?collection=cases-ca&amp;id=urn:contentItem:5F7T-S731-F016-S3GS-00000-00&amp;context=" TargetMode="External" /><Relationship Id="rId473" Type="http://schemas.openxmlformats.org/officeDocument/2006/relationships/hyperlink" Target="https://advance.lexis.com/api/document?collection=cases-ca&amp;id=urn:contentItem:5F8T-N3T1-JFKM-6549-00000-00&amp;context=" TargetMode="External" /><Relationship Id="rId474" Type="http://schemas.openxmlformats.org/officeDocument/2006/relationships/hyperlink" Target="https://advance.lexis.com/api/document?collection=cases-ca&amp;id=urn:contentItem:5F8T-N3S1-JT99-2510-00000-00&amp;context=" TargetMode="External" /><Relationship Id="rId475" Type="http://schemas.openxmlformats.org/officeDocument/2006/relationships/hyperlink" Target="https://advance.lexis.com/api/document?collection=cases-ca&amp;id=urn:contentItem:5F8T-N3R1-JNS1-M0RN-00000-00&amp;context=" TargetMode="External" /><Relationship Id="rId476" Type="http://schemas.openxmlformats.org/officeDocument/2006/relationships/hyperlink" Target="https://advance.lexis.com/api/document?collection=cases-ca&amp;id=urn:contentItem:5F7T-S7B1-JSRM-608T-00000-00&amp;context=" TargetMode="External" /><Relationship Id="rId477" Type="http://schemas.openxmlformats.org/officeDocument/2006/relationships/hyperlink" Target="https://advance.lexis.com/api/document?collection=cases-ca&amp;id=urn:contentItem:5F7T-S7M1-JNCK-22BK-00000-00&amp;context=" TargetMode="External" /><Relationship Id="rId478" Type="http://schemas.openxmlformats.org/officeDocument/2006/relationships/image" Target="media/image1.png" /><Relationship Id="rId479" Type="http://schemas.openxmlformats.org/officeDocument/2006/relationships/hyperlink" Target="https://advance.lexis.com/api/document?collection=cases-ca&amp;id=urn:contentItem:5F8T-N3T1-JGHR-M1XR-00000-00&amp;context=" TargetMode="External" /><Relationship Id="rId48" Type="http://schemas.openxmlformats.org/officeDocument/2006/relationships/header" Target="header10.xml" /><Relationship Id="rId480" Type="http://schemas.openxmlformats.org/officeDocument/2006/relationships/hyperlink" Target="https://advance.lexis.com/api/document?collection=cases-ca&amp;id=urn:contentItem:5F81-VJT1-JWJ0-G33N-00000-00&amp;context=" TargetMode="External" /><Relationship Id="rId481" Type="http://schemas.openxmlformats.org/officeDocument/2006/relationships/hyperlink" Target="https://advance.lexis.com/api/document?collection=cases-ca&amp;id=urn:contentItem:5K6Y-81R1-JB7K-21FN-00000-00&amp;context=" TargetMode="External" /><Relationship Id="rId482" Type="http://schemas.openxmlformats.org/officeDocument/2006/relationships/hyperlink" Target="https://advance.lexis.com/api/document?collection=cases-ca&amp;id=urn:contentItem:5F7T-S711-JC0G-6323-00000-00&amp;context=" TargetMode="External" /><Relationship Id="rId483" Type="http://schemas.openxmlformats.org/officeDocument/2006/relationships/hyperlink" Target="https://advance.lexis.com/api/document?collection=cases-ca&amp;id=urn:contentItem:5F7T-S6S1-FFTT-X0G3-00000-00&amp;context=" TargetMode="External" /><Relationship Id="rId484" Type="http://schemas.openxmlformats.org/officeDocument/2006/relationships/hyperlink" Target="https://advance.lexis.com/api/document?collection=cases-ca&amp;id=urn:contentItem:5F7T-S741-F2F4-G21G-00000-00&amp;context=" TargetMode="External" /><Relationship Id="rId485" Type="http://schemas.openxmlformats.org/officeDocument/2006/relationships/hyperlink" Target="https://advance.lexis.com/api/document?collection=cases-ca&amp;id=urn:contentItem:5F7T-S7D1-FFFC-B1B0-00000-00&amp;context=" TargetMode="External" /><Relationship Id="rId486" Type="http://schemas.openxmlformats.org/officeDocument/2006/relationships/hyperlink" Target="https://advance.lexis.com/api/document?collection=cases-ca&amp;id=urn:contentItem:5F7T-S7G1-JNY7-X3MY-00000-00&amp;context=" TargetMode="External" /><Relationship Id="rId487" Type="http://schemas.openxmlformats.org/officeDocument/2006/relationships/hyperlink" Target="https://advance.lexis.com/api/document?collection=cases-ca&amp;id=urn:contentItem:5F7T-S721-F5T5-M2B9-00000-00&amp;context=" TargetMode="External" /><Relationship Id="rId488" Type="http://schemas.openxmlformats.org/officeDocument/2006/relationships/hyperlink" Target="https://advance.lexis.com/api/document?collection=cases-ca&amp;id=urn:contentItem:5F7T-S741-F2F4-G2CB-00000-00&amp;context=" TargetMode="External" /><Relationship Id="rId489" Type="http://schemas.openxmlformats.org/officeDocument/2006/relationships/hyperlink" Target="https://advance.lexis.com/api/document?collection=cases-ca&amp;id=urn:contentItem:5F8T-N3V1-JTGH-B0YJ-00000-00&amp;context=" TargetMode="External" /><Relationship Id="rId49" Type="http://schemas.openxmlformats.org/officeDocument/2006/relationships/header" Target="header11.xml" /><Relationship Id="rId490" Type="http://schemas.openxmlformats.org/officeDocument/2006/relationships/hyperlink" Target="https://advance.lexis.com/api/document?collection=cases-ca&amp;id=urn:contentItem:5F7T-S751-JBM1-M23M-00000-00&amp;context=" TargetMode="External" /><Relationship Id="rId491" Type="http://schemas.openxmlformats.org/officeDocument/2006/relationships/hyperlink" Target="https://advance.lexis.com/api/document?collection=cases-ca&amp;id=urn:contentItem:5F7T-S761-JGHR-M2RC-00000-00&amp;context=" TargetMode="External" /><Relationship Id="rId492" Type="http://schemas.openxmlformats.org/officeDocument/2006/relationships/hyperlink" Target="https://advance.lexis.com/api/document?collection=cases-ca&amp;id=urn:contentItem:5F7T-S7K1-F528-G2YF-00000-00&amp;context=" TargetMode="External" /><Relationship Id="rId493" Type="http://schemas.openxmlformats.org/officeDocument/2006/relationships/hyperlink" Target="https://advance.lexis.com/api/document?collection=cases-ca&amp;id=urn:contentItem:5F7T-S731-JC0G-63HG-00000-00&amp;context=" TargetMode="External" /><Relationship Id="rId494" Type="http://schemas.openxmlformats.org/officeDocument/2006/relationships/hyperlink" Target="https://advance.lexis.com/api/document?collection=cases-ca&amp;id=urn:contentItem:5F7T-S7G1-JPP5-21VM-00000-00&amp;context=" TargetMode="External" /><Relationship Id="rId495" Type="http://schemas.openxmlformats.org/officeDocument/2006/relationships/hyperlink" Target="https://advance.lexis.com/api/document?collection=cases-ca&amp;id=urn:contentItem:5F7T-S781-F27X-618S-00000-00&amp;context=" TargetMode="External" /><Relationship Id="rId496" Type="http://schemas.openxmlformats.org/officeDocument/2006/relationships/hyperlink" Target="https://advance.lexis.com/api/document?collection=cases-ca&amp;id=urn:contentItem:5F7T-S7D1-JS5Y-B29N-00000-00&amp;context=" TargetMode="External" /><Relationship Id="rId497" Type="http://schemas.openxmlformats.org/officeDocument/2006/relationships/hyperlink" Target="https://advance.lexis.com/api/document?collection=cases-ca&amp;id=urn:contentItem:5F7T-S7G1-JX3N-B24F-00000-00&amp;context=" TargetMode="External" /><Relationship Id="rId498" Type="http://schemas.openxmlformats.org/officeDocument/2006/relationships/hyperlink" Target="https://advance.lexis.com/api/document?collection=cases-ca&amp;id=urn:contentItem:5F7T-S7M1-F4W2-61YY-00000-00&amp;context=" TargetMode="External" /><Relationship Id="rId499" Type="http://schemas.openxmlformats.org/officeDocument/2006/relationships/header" Target="header73.xml" /><Relationship Id="rId5" Type="http://schemas.openxmlformats.org/officeDocument/2006/relationships/header" Target="header2.xml" /><Relationship Id="rId50" Type="http://schemas.openxmlformats.org/officeDocument/2006/relationships/footer" Target="footer10.xml" /><Relationship Id="rId500" Type="http://schemas.openxmlformats.org/officeDocument/2006/relationships/header" Target="header74.xml" /><Relationship Id="rId501" Type="http://schemas.openxmlformats.org/officeDocument/2006/relationships/footer" Target="footer73.xml" /><Relationship Id="rId502" Type="http://schemas.openxmlformats.org/officeDocument/2006/relationships/footer" Target="footer74.xml" /><Relationship Id="rId503" Type="http://schemas.openxmlformats.org/officeDocument/2006/relationships/header" Target="header75.xml" /><Relationship Id="rId504" Type="http://schemas.openxmlformats.org/officeDocument/2006/relationships/footer" Target="footer75.xml" /><Relationship Id="rId505" Type="http://schemas.openxmlformats.org/officeDocument/2006/relationships/hyperlink" Target="https://advance.lexis.com/api/document?collection=cases-ca&amp;id=urn:contentItem:5F7T-S771-JN14-G2GD-00000-00&amp;context=" TargetMode="External" /><Relationship Id="rId506" Type="http://schemas.openxmlformats.org/officeDocument/2006/relationships/hyperlink" Target="https://advance.lexis.com/api/document?collection=cases-ca&amp;id=urn:contentItem:5F8T-N3V1-JFKM-6045-00000-00&amp;context=" TargetMode="External" /><Relationship Id="rId507" Type="http://schemas.openxmlformats.org/officeDocument/2006/relationships/hyperlink" Target="https://advance.lexis.com/api/document?collection=cases-ca&amp;id=urn:contentItem:5F7T-S6W1-JB7K-21H5-00000-00&amp;context=" TargetMode="External" /><Relationship Id="rId508" Type="http://schemas.openxmlformats.org/officeDocument/2006/relationships/hyperlink" Target="https://advance.lexis.com/api/document?collection=cases-ca&amp;id=urn:contentItem:5F81-VJW1-JGPY-X47T-00000-00&amp;context=" TargetMode="External" /><Relationship Id="rId509" Type="http://schemas.openxmlformats.org/officeDocument/2006/relationships/hyperlink" Target="https://advance.lexis.com/api/document?collection=cases-ca&amp;id=urn:contentItem:5F7T-S6T1-FJTD-G1MT-00000-00&amp;context=" TargetMode="External" /><Relationship Id="rId51" Type="http://schemas.openxmlformats.org/officeDocument/2006/relationships/footer" Target="footer11.xml" /><Relationship Id="rId510" Type="http://schemas.openxmlformats.org/officeDocument/2006/relationships/hyperlink" Target="https://advance.lexis.com/api/document?collection=cases-ca&amp;id=urn:contentItem:5F7T-S761-JS5Y-B1BM-00000-00&amp;context=" TargetMode="External" /><Relationship Id="rId511" Type="http://schemas.openxmlformats.org/officeDocument/2006/relationships/hyperlink" Target="https://advance.lexis.com/api/document?collection=cases-ca&amp;id=urn:contentItem:5F7T-S771-FG68-G0WS-00000-00&amp;context=" TargetMode="External" /><Relationship Id="rId512" Type="http://schemas.openxmlformats.org/officeDocument/2006/relationships/hyperlink" Target="https://advance.lexis.com/api/document?collection=cases-ca&amp;id=urn:contentItem:5F8T-N3T1-JJSF-2368-00000-00&amp;context=" TargetMode="External" /><Relationship Id="rId513" Type="http://schemas.openxmlformats.org/officeDocument/2006/relationships/header" Target="header76.xml" /><Relationship Id="rId514" Type="http://schemas.openxmlformats.org/officeDocument/2006/relationships/header" Target="header77.xml" /><Relationship Id="rId515" Type="http://schemas.openxmlformats.org/officeDocument/2006/relationships/footer" Target="footer76.xml" /><Relationship Id="rId516" Type="http://schemas.openxmlformats.org/officeDocument/2006/relationships/footer" Target="footer77.xml" /><Relationship Id="rId517" Type="http://schemas.openxmlformats.org/officeDocument/2006/relationships/header" Target="header78.xml" /><Relationship Id="rId518" Type="http://schemas.openxmlformats.org/officeDocument/2006/relationships/footer" Target="footer78.xml" /><Relationship Id="rId519" Type="http://schemas.openxmlformats.org/officeDocument/2006/relationships/hyperlink" Target="https://advance.lexis.com/api/document?collection=cases-ca&amp;id=urn:contentItem:5F7T-S7D1-DY89-M3W5-00000-00&amp;context=" TargetMode="External" /><Relationship Id="rId52" Type="http://schemas.openxmlformats.org/officeDocument/2006/relationships/header" Target="header12.xml" /><Relationship Id="rId520" Type="http://schemas.openxmlformats.org/officeDocument/2006/relationships/hyperlink" Target="https://advance.lexis.com/api/document?collection=cases-ca&amp;id=urn:contentItem:5F7T-S6W1-JYYX-61RC-00000-00&amp;context=" TargetMode="External" /><Relationship Id="rId521" Type="http://schemas.openxmlformats.org/officeDocument/2006/relationships/header" Target="header79.xml" /><Relationship Id="rId522" Type="http://schemas.openxmlformats.org/officeDocument/2006/relationships/header" Target="header80.xml" /><Relationship Id="rId523" Type="http://schemas.openxmlformats.org/officeDocument/2006/relationships/footer" Target="footer79.xml" /><Relationship Id="rId524" Type="http://schemas.openxmlformats.org/officeDocument/2006/relationships/footer" Target="footer80.xml" /><Relationship Id="rId525" Type="http://schemas.openxmlformats.org/officeDocument/2006/relationships/header" Target="header81.xml" /><Relationship Id="rId526" Type="http://schemas.openxmlformats.org/officeDocument/2006/relationships/footer" Target="footer81.xml" /><Relationship Id="rId527" Type="http://schemas.openxmlformats.org/officeDocument/2006/relationships/hyperlink" Target="https://advance.lexis.com/api/document?collection=cases-ca&amp;id=urn:contentItem:5F7T-S7P1-JG02-S452-00000-00&amp;context=" TargetMode="External" /><Relationship Id="rId528" Type="http://schemas.openxmlformats.org/officeDocument/2006/relationships/hyperlink" Target="https://advance.lexis.com/api/document?collection=cases-ca&amp;id=urn:contentItem:5F7T-S711-F5KY-B0SN-00000-00&amp;context=" TargetMode="External" /><Relationship Id="rId529" Type="http://schemas.openxmlformats.org/officeDocument/2006/relationships/hyperlink" Target="https://advance.lexis.com/api/document?collection=cases-ca&amp;id=urn:contentItem:5F16-93B1-FGY5-M1FN-00000-00&amp;context=" TargetMode="External" /><Relationship Id="rId53" Type="http://schemas.openxmlformats.org/officeDocument/2006/relationships/footer" Target="footer12.xml" /><Relationship Id="rId530" Type="http://schemas.openxmlformats.org/officeDocument/2006/relationships/hyperlink" Target="https://advance.lexis.com/api/document?collection=cases-ca&amp;id=urn:contentItem:5F7T-S7F1-DXWW-24D1-00000-00&amp;context=" TargetMode="External" /><Relationship Id="rId531" Type="http://schemas.openxmlformats.org/officeDocument/2006/relationships/hyperlink" Target="https://advance.lexis.com/api/document?collection=cases-ca&amp;id=urn:contentItem:5F7T-S7H1-FCSB-S3KT-00000-00&amp;context=" TargetMode="External" /><Relationship Id="rId532" Type="http://schemas.openxmlformats.org/officeDocument/2006/relationships/hyperlink" Target="https://advance.lexis.com/api/document?collection=cases-ca&amp;id=urn:contentItem:5F7T-S7G1-FCYK-207Y-00000-00&amp;context=" TargetMode="External" /><Relationship Id="rId533" Type="http://schemas.openxmlformats.org/officeDocument/2006/relationships/hyperlink" Target="https://advance.lexis.com/api/document?collection=cases-ca&amp;id=urn:contentItem:5F7T-S7H1-JFSV-G37W-00000-00&amp;context=" TargetMode="External" /><Relationship Id="rId534" Type="http://schemas.openxmlformats.org/officeDocument/2006/relationships/hyperlink" Target="https://advance.lexis.com/api/document?collection=cases-ca&amp;id=urn:contentItem:5F7T-S7H1-JS5Y-B33H-00000-00&amp;context=" TargetMode="External" /><Relationship Id="rId535" Type="http://schemas.openxmlformats.org/officeDocument/2006/relationships/hyperlink" Target="https://advance.lexis.com/api/document?collection=cases-ca&amp;id=urn:contentItem:5F8T-N3T1-JFKM-6514-00000-00&amp;context=" TargetMode="External" /><Relationship Id="rId536" Type="http://schemas.openxmlformats.org/officeDocument/2006/relationships/hyperlink" Target="https://advance.lexis.com/api/document?collection=legislation-ca&amp;id=urn:contentItem:5F41-1FG1-JC0G-61K8-00000-00&amp;context=" TargetMode="External" /><Relationship Id="rId537" Type="http://schemas.openxmlformats.org/officeDocument/2006/relationships/header" Target="header82.xml" /><Relationship Id="rId538" Type="http://schemas.openxmlformats.org/officeDocument/2006/relationships/header" Target="header83.xml" /><Relationship Id="rId539" Type="http://schemas.openxmlformats.org/officeDocument/2006/relationships/footer" Target="footer82.xml" /><Relationship Id="rId54" Type="http://schemas.openxmlformats.org/officeDocument/2006/relationships/hyperlink" Target="https://advance.lexis.com/api/document?collection=cases-ca&amp;id=urn:contentItem:5S8H-74W1-F06F-24W2-00000-00&amp;context=" TargetMode="External" /><Relationship Id="rId540" Type="http://schemas.openxmlformats.org/officeDocument/2006/relationships/footer" Target="footer83.xml" /><Relationship Id="rId541" Type="http://schemas.openxmlformats.org/officeDocument/2006/relationships/header" Target="header84.xml" /><Relationship Id="rId542" Type="http://schemas.openxmlformats.org/officeDocument/2006/relationships/footer" Target="footer84.xml" /><Relationship Id="rId543" Type="http://schemas.openxmlformats.org/officeDocument/2006/relationships/hyperlink" Target="https://advance.lexis.com/api/document?collection=cases-ca&amp;id=urn:contentItem:5F7T-S7G1-JN6B-S1GN-00000-00&amp;context=" TargetMode="External" /><Relationship Id="rId544" Type="http://schemas.openxmlformats.org/officeDocument/2006/relationships/hyperlink" Target="https://advance.lexis.com/api/document?collection=cases-ca&amp;id=urn:contentItem:5F8T-N3R1-JJSF-230K-00000-00&amp;context=" TargetMode="External" /><Relationship Id="rId545" Type="http://schemas.openxmlformats.org/officeDocument/2006/relationships/hyperlink" Target="https://advance.lexis.com/api/document?collection=cases-ca&amp;id=urn:contentItem:5F7T-S761-F7ND-G4HW-00000-00&amp;context=" TargetMode="External" /><Relationship Id="rId546" Type="http://schemas.openxmlformats.org/officeDocument/2006/relationships/hyperlink" Target="https://advance.lexis.com/api/document?collection=cases-ca&amp;id=urn:contentItem:5F7T-S751-JP4G-6132-00000-00&amp;context=" TargetMode="External" /><Relationship Id="rId547" Type="http://schemas.openxmlformats.org/officeDocument/2006/relationships/hyperlink" Target="https://advance.lexis.com/api/document?collection=cases-ca&amp;id=urn:contentItem:5F7V-3DH1-FK0M-S200-00000-00&amp;context=" TargetMode="External" /><Relationship Id="rId548" Type="http://schemas.openxmlformats.org/officeDocument/2006/relationships/hyperlink" Target="https://advance.lexis.com/api/document?collection=legislation-ca&amp;id=urn:contentItem:5MS4-PW61-DYV0-G06J-00000-00&amp;context=" TargetMode="External" /><Relationship Id="rId549" Type="http://schemas.openxmlformats.org/officeDocument/2006/relationships/hyperlink" Target="https://advance.lexis.com/api/document?collection=cases-ca&amp;id=urn:contentItem:5F7T-S711-FJDY-X39K-00000-00&amp;context=" TargetMode="External" /><Relationship Id="rId55" Type="http://schemas.openxmlformats.org/officeDocument/2006/relationships/hyperlink" Target="https://advance.lexis.com/api/document?collection=cases-ca&amp;id=urn:contentItem:5F7T-S7C1-F4NT-X33J-00000-00&amp;context=" TargetMode="External" /><Relationship Id="rId550" Type="http://schemas.openxmlformats.org/officeDocument/2006/relationships/hyperlink" Target="https://advance.lexis.com/api/document?collection=cases-ca&amp;id=urn:contentItem:5F8T-N3S1-JBDT-B05R-00000-00&amp;context=" TargetMode="External" /><Relationship Id="rId551" Type="http://schemas.openxmlformats.org/officeDocument/2006/relationships/hyperlink" Target="https://advance.lexis.com/api/document?collection=cases-ca&amp;id=urn:contentItem:5F8T-N3V1-JF75-M3GV-00000-00&amp;context=" TargetMode="External" /><Relationship Id="rId552" Type="http://schemas.openxmlformats.org/officeDocument/2006/relationships/hyperlink" Target="https://advance.lexis.com/api/document?collection=cases-ca&amp;id=urn:contentItem:5F8T-N3T1-JGHR-M278-00000-00&amp;context=" TargetMode="External" /><Relationship Id="rId553" Type="http://schemas.openxmlformats.org/officeDocument/2006/relationships/header" Target="header85.xml" /><Relationship Id="rId554" Type="http://schemas.openxmlformats.org/officeDocument/2006/relationships/header" Target="header86.xml" /><Relationship Id="rId555" Type="http://schemas.openxmlformats.org/officeDocument/2006/relationships/footer" Target="footer85.xml" /><Relationship Id="rId556" Type="http://schemas.openxmlformats.org/officeDocument/2006/relationships/footer" Target="footer86.xml" /><Relationship Id="rId557" Type="http://schemas.openxmlformats.org/officeDocument/2006/relationships/header" Target="header87.xml" /><Relationship Id="rId558" Type="http://schemas.openxmlformats.org/officeDocument/2006/relationships/footer" Target="footer87.xml" /><Relationship Id="rId559" Type="http://schemas.openxmlformats.org/officeDocument/2006/relationships/hyperlink" Target="https://advance.lexis.com/api/document?collection=cases-ca&amp;id=urn:contentItem:5F7T-S7H1-JFSV-G30R-00000-00&amp;context=" TargetMode="External" /><Relationship Id="rId56" Type="http://schemas.openxmlformats.org/officeDocument/2006/relationships/hyperlink" Target="https://advance.lexis.com/api/document?collection=cases-ca&amp;id=urn:contentItem:5F7T-S791-JCJ5-24YF-00000-00&amp;context=" TargetMode="External" /><Relationship Id="rId560" Type="http://schemas.openxmlformats.org/officeDocument/2006/relationships/header" Target="header88.xml" /><Relationship Id="rId561" Type="http://schemas.openxmlformats.org/officeDocument/2006/relationships/header" Target="header89.xml" /><Relationship Id="rId562" Type="http://schemas.openxmlformats.org/officeDocument/2006/relationships/footer" Target="footer88.xml" /><Relationship Id="rId563" Type="http://schemas.openxmlformats.org/officeDocument/2006/relationships/footer" Target="footer89.xml" /><Relationship Id="rId564" Type="http://schemas.openxmlformats.org/officeDocument/2006/relationships/header" Target="header90.xml" /><Relationship Id="rId565" Type="http://schemas.openxmlformats.org/officeDocument/2006/relationships/footer" Target="footer90.xml" /><Relationship Id="rId566" Type="http://schemas.openxmlformats.org/officeDocument/2006/relationships/hyperlink" Target="https://advance.lexis.com/api/document?collection=cases-ca&amp;id=urn:contentItem:5F7T-S7D1-F7ND-G0K1-00000-00&amp;context=" TargetMode="External" /><Relationship Id="rId567" Type="http://schemas.openxmlformats.org/officeDocument/2006/relationships/hyperlink" Target="https://advance.lexis.com/api/document?collection=cases-ca&amp;id=urn:contentItem:5K6Y-81M1-JN6B-S1DT-00000-00&amp;context=" TargetMode="External" /><Relationship Id="rId568" Type="http://schemas.openxmlformats.org/officeDocument/2006/relationships/hyperlink" Target="https://advance.lexis.com/api/document?collection=cases-ca&amp;id=urn:contentItem:5F7T-S6X1-K054-G1TV-00000-00&amp;context=" TargetMode="External" /><Relationship Id="rId569" Type="http://schemas.openxmlformats.org/officeDocument/2006/relationships/hyperlink" Target="https://advance.lexis.com/api/document?collection=cases-ca&amp;id=urn:contentItem:5F7T-S751-FJDY-X43K-00000-00&amp;context=" TargetMode="External" /><Relationship Id="rId57" Type="http://schemas.openxmlformats.org/officeDocument/2006/relationships/hyperlink" Target="https://advance.lexis.com/api/document?collection=cases-ca&amp;id=urn:contentItem:5F8N-K6V1-F65M-61J6-00000-00&amp;context=" TargetMode="External" /><Relationship Id="rId570" Type="http://schemas.openxmlformats.org/officeDocument/2006/relationships/hyperlink" Target="https://advance.lexis.com/api/document?collection=cases-ca&amp;id=urn:contentItem:5F7T-S6V1-FJTD-G227-00000-00&amp;context=" TargetMode="External" /><Relationship Id="rId571" Type="http://schemas.openxmlformats.org/officeDocument/2006/relationships/header" Target="header91.xml" /><Relationship Id="rId572" Type="http://schemas.openxmlformats.org/officeDocument/2006/relationships/header" Target="header92.xml" /><Relationship Id="rId573" Type="http://schemas.openxmlformats.org/officeDocument/2006/relationships/footer" Target="footer91.xml" /><Relationship Id="rId574" Type="http://schemas.openxmlformats.org/officeDocument/2006/relationships/footer" Target="footer92.xml" /><Relationship Id="rId575" Type="http://schemas.openxmlformats.org/officeDocument/2006/relationships/header" Target="header93.xml" /><Relationship Id="rId576" Type="http://schemas.openxmlformats.org/officeDocument/2006/relationships/footer" Target="footer93.xml" /><Relationship Id="rId577" Type="http://schemas.openxmlformats.org/officeDocument/2006/relationships/hyperlink" Target="https://advance.lexis.com/api/document?collection=cases-ca&amp;id=urn:contentItem:5F7T-S7G1-JPP5-21V6-00000-00&amp;context=" TargetMode="External" /><Relationship Id="rId578" Type="http://schemas.openxmlformats.org/officeDocument/2006/relationships/hyperlink" Target="https://advance.lexis.com/api/document?collection=cases-ca&amp;id=urn:contentItem:5F7T-S7F1-JX3N-B1RN-00000-00&amp;context=" TargetMode="External" /><Relationship Id="rId579" Type="http://schemas.openxmlformats.org/officeDocument/2006/relationships/hyperlink" Target="https://advance.lexis.com/api/document?collection=cases-ca&amp;id=urn:contentItem:5F7T-S7B1-FH4C-X3BH-00000-00&amp;context=" TargetMode="External" /><Relationship Id="rId58" Type="http://schemas.openxmlformats.org/officeDocument/2006/relationships/hyperlink" Target="https://advance.lexis.com/api/document?collection=cases-ca&amp;id=urn:contentItem:5F8T-N3V1-JFKM-609G-00000-00&amp;context=" TargetMode="External" /><Relationship Id="rId580" Type="http://schemas.openxmlformats.org/officeDocument/2006/relationships/hyperlink" Target="https://advance.lexis.com/api/document?collection=cases-ca&amp;id=urn:contentItem:5F7T-S6Y1-JPP5-2184-00000-00&amp;context=" TargetMode="External" /><Relationship Id="rId581" Type="http://schemas.openxmlformats.org/officeDocument/2006/relationships/hyperlink" Target="https://advance.lexis.com/api/document?collection=cases-ca&amp;id=urn:contentItem:5F7T-S6W1-JB7K-21FR-00000-00&amp;context=" TargetMode="External" /><Relationship Id="rId582" Type="http://schemas.openxmlformats.org/officeDocument/2006/relationships/hyperlink" Target="https://advance.lexis.com/api/document?collection=cases-ca&amp;id=urn:contentItem:5F8P-SDF1-FJDY-X16J-00000-00&amp;context=" TargetMode="External" /><Relationship Id="rId583" Type="http://schemas.openxmlformats.org/officeDocument/2006/relationships/header" Target="header94.xml" /><Relationship Id="rId584" Type="http://schemas.openxmlformats.org/officeDocument/2006/relationships/header" Target="header95.xml" /><Relationship Id="rId585" Type="http://schemas.openxmlformats.org/officeDocument/2006/relationships/footer" Target="footer94.xml" /><Relationship Id="rId586" Type="http://schemas.openxmlformats.org/officeDocument/2006/relationships/footer" Target="footer95.xml" /><Relationship Id="rId587" Type="http://schemas.openxmlformats.org/officeDocument/2006/relationships/header" Target="header96.xml" /><Relationship Id="rId588" Type="http://schemas.openxmlformats.org/officeDocument/2006/relationships/footer" Target="footer96.xml" /><Relationship Id="rId589" Type="http://schemas.openxmlformats.org/officeDocument/2006/relationships/hyperlink" Target="https://advance.lexis.com/api/document?collection=cases-ca&amp;id=urn:contentItem:5K2F-CNC1-JKPJ-G2WV-00000-00&amp;context=" TargetMode="External" /><Relationship Id="rId59" Type="http://schemas.openxmlformats.org/officeDocument/2006/relationships/hyperlink" Target="https://advance.lexis.com/api/document?collection=cases-ca&amp;id=urn:contentItem:5F8T-N3V1-JF75-M3VR-00000-00&amp;context=" TargetMode="External" /><Relationship Id="rId590" Type="http://schemas.openxmlformats.org/officeDocument/2006/relationships/hyperlink" Target="https://advance.lexis.com/api/document?collection=cases-ca&amp;id=urn:contentItem:5F7T-S7K1-F528-G2XC-00000-00&amp;context=" TargetMode="External" /><Relationship Id="rId591" Type="http://schemas.openxmlformats.org/officeDocument/2006/relationships/hyperlink" Target="https://advance.lexis.com/api/document?collection=cases-ca&amp;id=urn:contentItem:5F7T-S7M1-F4W2-626V-00000-00&amp;context=" TargetMode="External" /><Relationship Id="rId592" Type="http://schemas.openxmlformats.org/officeDocument/2006/relationships/hyperlink" Target="https://advance.lexis.com/api/document?collection=cases-ca&amp;id=urn:contentItem:5F7T-S7G1-JBT7-X40C-00000-00&amp;context=" TargetMode="External" /><Relationship Id="rId593" Type="http://schemas.openxmlformats.org/officeDocument/2006/relationships/hyperlink" Target="https://advance.lexis.com/api/document?collection=cases-ca&amp;id=urn:contentItem:5F7T-S7K1-JX3N-B2V4-00000-00&amp;context=" TargetMode="External" /><Relationship Id="rId594" Type="http://schemas.openxmlformats.org/officeDocument/2006/relationships/hyperlink" Target="https://advance.lexis.com/api/document?collection=cases-ca&amp;id=urn:contentItem:5F7T-S7N1-F06F-24KX-00000-00&amp;context=" TargetMode="External" /><Relationship Id="rId595" Type="http://schemas.openxmlformats.org/officeDocument/2006/relationships/hyperlink" Target="https://advance.lexis.com/api/document?collection=cases-ca&amp;id=urn:contentItem:5GRD-0501-JSRM-61CR-00000-00&amp;context=" TargetMode="External" /><Relationship Id="rId596" Type="http://schemas.openxmlformats.org/officeDocument/2006/relationships/header" Target="header97.xml" /><Relationship Id="rId597" Type="http://schemas.openxmlformats.org/officeDocument/2006/relationships/header" Target="header98.xml" /><Relationship Id="rId598" Type="http://schemas.openxmlformats.org/officeDocument/2006/relationships/footer" Target="footer97.xml" /><Relationship Id="rId599" Type="http://schemas.openxmlformats.org/officeDocument/2006/relationships/footer" Target="footer98.xml" /><Relationship Id="rId6" Type="http://schemas.openxmlformats.org/officeDocument/2006/relationships/footer" Target="footer1.xml" /><Relationship Id="rId60" Type="http://schemas.openxmlformats.org/officeDocument/2006/relationships/hyperlink" Target="https://advance.lexis.com/api/document?collection=cases-ca&amp;id=urn:contentItem:5F7T-S6X1-K0BB-S0MB-00000-00&amp;context=" TargetMode="External" /><Relationship Id="rId600" Type="http://schemas.openxmlformats.org/officeDocument/2006/relationships/header" Target="header99.xml" /><Relationship Id="rId601" Type="http://schemas.openxmlformats.org/officeDocument/2006/relationships/footer" Target="footer99.xml" /><Relationship Id="rId602" Type="http://schemas.openxmlformats.org/officeDocument/2006/relationships/hyperlink" Target="https://advance.lexis.com/api/document?collection=cases-ca&amp;id=urn:contentItem:5JM8-YV01-F22N-X0SN-00000-00&amp;context=" TargetMode="External" /><Relationship Id="rId603" Type="http://schemas.openxmlformats.org/officeDocument/2006/relationships/hyperlink" Target="https://advance.lexis.com/api/document?collection=legislation-ca&amp;id=urn:contentItem:5F41-1FJ1-JKPJ-G0P7-00000-00&amp;context=" TargetMode="External" /><Relationship Id="rId604" Type="http://schemas.openxmlformats.org/officeDocument/2006/relationships/hyperlink" Target="https://advance.lexis.com/api/document?collection=cases-ca&amp;id=urn:contentItem:5F7T-S7K1-DY33-B1PS-00000-00&amp;context=" TargetMode="External" /><Relationship Id="rId605" Type="http://schemas.openxmlformats.org/officeDocument/2006/relationships/hyperlink" Target="https://advance.lexis.com/api/document?collection=cases-ca&amp;id=urn:contentItem:5F7T-S7J1-JGBH-B2DR-00000-00&amp;context=" TargetMode="External" /><Relationship Id="rId606" Type="http://schemas.openxmlformats.org/officeDocument/2006/relationships/hyperlink" Target="https://advance.lexis.com/api/document?collection=cases-ca&amp;id=urn:contentItem:5F7T-S7P1-JCRC-B2FY-00000-00&amp;context=" TargetMode="External" /><Relationship Id="rId607" Type="http://schemas.openxmlformats.org/officeDocument/2006/relationships/hyperlink" Target="https://advance.lexis.com/api/document?collection=cases-ca&amp;id=urn:contentItem:5HHT-8531-JCRC-B11Y-00000-00&amp;context=" TargetMode="External" /><Relationship Id="rId608" Type="http://schemas.openxmlformats.org/officeDocument/2006/relationships/hyperlink" Target="https://advance.lexis.com/api/document?collection=cases-ca&amp;id=urn:contentItem:5F7T-S7K1-JKHB-630S-00000-00&amp;context=" TargetMode="External" /><Relationship Id="rId609" Type="http://schemas.openxmlformats.org/officeDocument/2006/relationships/header" Target="header100.xml" /><Relationship Id="rId61" Type="http://schemas.openxmlformats.org/officeDocument/2006/relationships/hyperlink" Target="https://advance.lexis.com/api/document?collection=cases-ca&amp;id=urn:contentItem:5F7T-S6X1-F7ND-G31D-00000-00&amp;context=" TargetMode="External" /><Relationship Id="rId610" Type="http://schemas.openxmlformats.org/officeDocument/2006/relationships/header" Target="header101.xml" /><Relationship Id="rId611" Type="http://schemas.openxmlformats.org/officeDocument/2006/relationships/footer" Target="footer100.xml" /><Relationship Id="rId612" Type="http://schemas.openxmlformats.org/officeDocument/2006/relationships/footer" Target="footer101.xml" /><Relationship Id="rId613" Type="http://schemas.openxmlformats.org/officeDocument/2006/relationships/header" Target="header102.xml" /><Relationship Id="rId614" Type="http://schemas.openxmlformats.org/officeDocument/2006/relationships/footer" Target="footer102.xml" /><Relationship Id="rId615" Type="http://schemas.openxmlformats.org/officeDocument/2006/relationships/hyperlink" Target="https://advance.lexis.com/api/document?collection=cases-ca&amp;id=urn:contentItem:5F7T-S781-JSC5-M468-00000-00&amp;context=" TargetMode="External" /><Relationship Id="rId616" Type="http://schemas.openxmlformats.org/officeDocument/2006/relationships/hyperlink" Target="https://advance.lexis.com/api/document?collection=legislation-ca&amp;id=urn:contentItem:5F41-1FJ1-F5KY-B1T4-00000-00&amp;context=" TargetMode="External" /><Relationship Id="rId617" Type="http://schemas.openxmlformats.org/officeDocument/2006/relationships/hyperlink" Target="https://advance.lexis.com/api/document?collection=cases-ca&amp;id=urn:contentItem:5F7T-S721-JSC5-M398-00000-00&amp;context=" TargetMode="External" /><Relationship Id="rId618" Type="http://schemas.openxmlformats.org/officeDocument/2006/relationships/hyperlink" Target="https://advance.lexis.com/api/document?collection=cases-ca&amp;id=urn:contentItem:5F7T-S741-F2F4-G22V-00000-00&amp;context=" TargetMode="External" /><Relationship Id="rId619" Type="http://schemas.openxmlformats.org/officeDocument/2006/relationships/header" Target="header103.xml" /><Relationship Id="rId62" Type="http://schemas.openxmlformats.org/officeDocument/2006/relationships/hyperlink" Target="https://advance.lexis.com/api/document?collection=cases-ca&amp;id=urn:contentItem:5F8P-SCR1-JB2B-S4WT-00000-00&amp;context=" TargetMode="External" /><Relationship Id="rId620" Type="http://schemas.openxmlformats.org/officeDocument/2006/relationships/header" Target="header104.xml" /><Relationship Id="rId621" Type="http://schemas.openxmlformats.org/officeDocument/2006/relationships/footer" Target="footer103.xml" /><Relationship Id="rId622" Type="http://schemas.openxmlformats.org/officeDocument/2006/relationships/footer" Target="footer104.xml" /><Relationship Id="rId623" Type="http://schemas.openxmlformats.org/officeDocument/2006/relationships/header" Target="header105.xml" /><Relationship Id="rId624" Type="http://schemas.openxmlformats.org/officeDocument/2006/relationships/footer" Target="footer105.xml" /><Relationship Id="rId625" Type="http://schemas.openxmlformats.org/officeDocument/2006/relationships/hyperlink" Target="https://advance.lexis.com/api/document?collection=cases-ca&amp;id=urn:contentItem:5F7T-S771-JWBS-619T-00000-00&amp;context=" TargetMode="External" /><Relationship Id="rId626" Type="http://schemas.openxmlformats.org/officeDocument/2006/relationships/hyperlink" Target="https://advance.lexis.com/api/document?collection=cases-ca&amp;id=urn:contentItem:5F7T-S741-F57G-S1T3-00000-00&amp;context=" TargetMode="External" /><Relationship Id="rId627" Type="http://schemas.openxmlformats.org/officeDocument/2006/relationships/hyperlink" Target="https://advance.lexis.com/api/document?collection=cases-ca&amp;id=urn:contentItem:5F7T-S6Y1-JPP5-212N-00000-00&amp;context=" TargetMode="External" /><Relationship Id="rId628" Type="http://schemas.openxmlformats.org/officeDocument/2006/relationships/hyperlink" Target="https://advance.lexis.com/api/document?collection=cases-ca&amp;id=urn:contentItem:5F7T-S761-JS5Y-B1MM-00000-00&amp;context=" TargetMode="External" /><Relationship Id="rId629" Type="http://schemas.openxmlformats.org/officeDocument/2006/relationships/hyperlink" Target="https://advance.lexis.com/api/document?collection=cases-ca&amp;id=urn:contentItem:5F7V-3DF1-JC0G-64CM-00000-00&amp;context=" TargetMode="External" /><Relationship Id="rId63" Type="http://schemas.openxmlformats.org/officeDocument/2006/relationships/hyperlink" Target="https://advance.lexis.com/api/document?collection=cases-ca&amp;id=urn:contentItem:5F7T-S6W1-FBFS-S1CS-00000-00&amp;context=" TargetMode="External" /><Relationship Id="rId630" Type="http://schemas.openxmlformats.org/officeDocument/2006/relationships/hyperlink" Target="https://advance.lexis.com/api/document?collection=cases-ca&amp;id=urn:contentItem:5F7T-S741-F1H1-21H6-00000-00&amp;context=" TargetMode="External" /><Relationship Id="rId631" Type="http://schemas.openxmlformats.org/officeDocument/2006/relationships/hyperlink" Target="https://advance.lexis.com/api/document?collection=cases-ca&amp;id=urn:contentItem:5F7H-KW71-JN14-G0P9-00000-00&amp;context=" TargetMode="External" /><Relationship Id="rId632" Type="http://schemas.openxmlformats.org/officeDocument/2006/relationships/header" Target="header106.xml" /><Relationship Id="rId633" Type="http://schemas.openxmlformats.org/officeDocument/2006/relationships/header" Target="header107.xml" /><Relationship Id="rId634" Type="http://schemas.openxmlformats.org/officeDocument/2006/relationships/footer" Target="footer106.xml" /><Relationship Id="rId635" Type="http://schemas.openxmlformats.org/officeDocument/2006/relationships/footer" Target="footer107.xml" /><Relationship Id="rId636" Type="http://schemas.openxmlformats.org/officeDocument/2006/relationships/header" Target="header108.xml" /><Relationship Id="rId637" Type="http://schemas.openxmlformats.org/officeDocument/2006/relationships/footer" Target="footer108.xml" /><Relationship Id="rId638" Type="http://schemas.openxmlformats.org/officeDocument/2006/relationships/hyperlink" Target="https://advance.lexis.com/api/document?collection=cases-ca&amp;id=urn:contentItem:5P39-H061-JJ1H-X4V6-00000-00&amp;context=" TargetMode="External" /><Relationship Id="rId639" Type="http://schemas.openxmlformats.org/officeDocument/2006/relationships/hyperlink" Target="https://advance.lexis.com/api/document?collection=cases-ca&amp;id=urn:contentItem:5F7T-S7D1-JS5Y-B28G-00000-00&amp;context=" TargetMode="External" /><Relationship Id="rId64" Type="http://schemas.openxmlformats.org/officeDocument/2006/relationships/hyperlink" Target="https://advance.lexis.com/api/document?collection=cases-ca&amp;id=urn:contentItem:5F7T-S6X1-F7G6-62C5-00000-00&amp;context=" TargetMode="External" /><Relationship Id="rId640" Type="http://schemas.openxmlformats.org/officeDocument/2006/relationships/hyperlink" Target="https://advance.lexis.com/api/document?collection=cases-ca&amp;id=urn:contentItem:5F7T-S711-F4GK-M2M0-00000-00&amp;context=" TargetMode="External" /><Relationship Id="rId641" Type="http://schemas.openxmlformats.org/officeDocument/2006/relationships/hyperlink" Target="https://advance.lexis.com/api/document?collection=cases-ca&amp;id=urn:contentItem:5F7T-S7M1-JFSV-G3KY-00000-00&amp;context=" TargetMode="External" /><Relationship Id="rId642" Type="http://schemas.openxmlformats.org/officeDocument/2006/relationships/hyperlink" Target="https://advance.lexis.com/api/document?collection=cases-ca&amp;id=urn:contentItem:5F7T-S7K1-DY33-B197-00000-00&amp;context=" TargetMode="External" /><Relationship Id="rId643" Type="http://schemas.openxmlformats.org/officeDocument/2006/relationships/hyperlink" Target="https://advance.lexis.com/api/document?collection=cases-ca&amp;id=urn:contentItem:5F7T-S701-JJ6S-61CP-00000-00&amp;context=" TargetMode="External" /><Relationship Id="rId644" Type="http://schemas.openxmlformats.org/officeDocument/2006/relationships/hyperlink" Target="https://advance.lexis.com/api/document?collection=cases-ca&amp;id=urn:contentItem:5F7T-S701-JBT7-X2FG-00000-00&amp;context=" TargetMode="External" /><Relationship Id="rId645" Type="http://schemas.openxmlformats.org/officeDocument/2006/relationships/hyperlink" Target="https://advance.lexis.com/api/document?collection=cases-ca&amp;id=urn:contentItem:5F7T-S7K1-JX3N-B35F-00000-00&amp;context=" TargetMode="External" /><Relationship Id="rId646" Type="http://schemas.openxmlformats.org/officeDocument/2006/relationships/hyperlink" Target="https://advance.lexis.com/api/document?collection=cases-ca&amp;id=urn:contentItem:5F7T-S771-JW5H-X1YD-00000-00&amp;context=" TargetMode="External" /><Relationship Id="rId647" Type="http://schemas.openxmlformats.org/officeDocument/2006/relationships/hyperlink" Target="https://advance.lexis.com/api/document?collection=cases-ca&amp;id=urn:contentItem:5F7T-S7K1-F528-G2YT-00000-00&amp;context=" TargetMode="External" /><Relationship Id="rId648" Type="http://schemas.openxmlformats.org/officeDocument/2006/relationships/hyperlink" Target="https://advance.lexis.com/api/document?collection=cases-ca&amp;id=urn:contentItem:5F7T-S751-JG02-S29N-00000-00&amp;context=" TargetMode="External" /><Relationship Id="rId649" Type="http://schemas.openxmlformats.org/officeDocument/2006/relationships/hyperlink" Target="https://advance.lexis.com/api/document?collection=cases-ca&amp;id=urn:contentItem:5F7T-S7K1-JX3N-B2MX-00000-00&amp;context=" TargetMode="External" /><Relationship Id="rId65" Type="http://schemas.openxmlformats.org/officeDocument/2006/relationships/hyperlink" Target="https://advance.lexis.com/api/document?collection=cases-ca&amp;id=urn:contentItem:5F7T-S6W1-JXNB-62C5-00000-00&amp;context=" TargetMode="External" /><Relationship Id="rId650" Type="http://schemas.openxmlformats.org/officeDocument/2006/relationships/hyperlink" Target="https://advance.lexis.com/api/document?collection=cases-ca&amp;id=urn:contentItem:5F8T-N3V1-FC1F-M4BS-00000-00&amp;context=" TargetMode="External" /><Relationship Id="rId651" Type="http://schemas.openxmlformats.org/officeDocument/2006/relationships/hyperlink" Target="https://advance.lexis.com/api/document?collection=cases-ca&amp;id=urn:contentItem:5F7T-S7F1-DXWW-23V5-00000-00&amp;context=" TargetMode="External" /><Relationship Id="rId652" Type="http://schemas.openxmlformats.org/officeDocument/2006/relationships/hyperlink" Target="https://advance.lexis.com/api/document?collection=cases-ca&amp;id=urn:contentItem:5F7T-S6Y1-JPP5-210J-00000-00&amp;context=" TargetMode="External" /><Relationship Id="rId653" Type="http://schemas.openxmlformats.org/officeDocument/2006/relationships/hyperlink" Target="https://advance.lexis.com/api/document?collection=cases-ca&amp;id=urn:contentItem:5F7T-S711-F4W2-61W7-00000-00&amp;context=" TargetMode="External" /><Relationship Id="rId654" Type="http://schemas.openxmlformats.org/officeDocument/2006/relationships/header" Target="header109.xml" /><Relationship Id="rId655" Type="http://schemas.openxmlformats.org/officeDocument/2006/relationships/header" Target="header110.xml" /><Relationship Id="rId656" Type="http://schemas.openxmlformats.org/officeDocument/2006/relationships/footer" Target="footer109.xml" /><Relationship Id="rId657" Type="http://schemas.openxmlformats.org/officeDocument/2006/relationships/footer" Target="footer110.xml" /><Relationship Id="rId658" Type="http://schemas.openxmlformats.org/officeDocument/2006/relationships/header" Target="header111.xml" /><Relationship Id="rId659" Type="http://schemas.openxmlformats.org/officeDocument/2006/relationships/footer" Target="footer111.xml" /><Relationship Id="rId66" Type="http://schemas.openxmlformats.org/officeDocument/2006/relationships/hyperlink" Target="https://advance.lexis.com/api/document?collection=cases-ca&amp;id=urn:contentItem:5F7T-S6T1-JT99-215B-00000-00&amp;context=" TargetMode="External" /><Relationship Id="rId660" Type="http://schemas.openxmlformats.org/officeDocument/2006/relationships/hyperlink" Target="https://advance.lexis.com/api/document?collection=cases-ca&amp;id=urn:contentItem:5F7T-S7D1-JXG3-X130-00000-00&amp;context=" TargetMode="External" /><Relationship Id="rId661" Type="http://schemas.openxmlformats.org/officeDocument/2006/relationships/hyperlink" Target="https://advance.lexis.com/api/document?collection=cases-ca&amp;id=urn:contentItem:5F7T-S711-F5KY-B14K-00000-00&amp;context=" TargetMode="External" /><Relationship Id="rId662" Type="http://schemas.openxmlformats.org/officeDocument/2006/relationships/hyperlink" Target="https://advance.lexis.com/api/document?collection=cases-ca&amp;id=urn:contentItem:5F7T-S741-FJM6-61PW-00000-00&amp;context=" TargetMode="External" /><Relationship Id="rId663" Type="http://schemas.openxmlformats.org/officeDocument/2006/relationships/hyperlink" Target="https://advance.lexis.com/api/document?collection=cases-ca&amp;id=urn:contentItem:5F7T-S6W1-JB7K-21C9-00000-00&amp;context=" TargetMode="External" /><Relationship Id="rId664" Type="http://schemas.openxmlformats.org/officeDocument/2006/relationships/hyperlink" Target="https://advance.lexis.com/api/document?collection=cases-ca&amp;id=urn:contentItem:5F7T-S771-JWBS-61F4-00000-00&amp;context=" TargetMode="External" /><Relationship Id="rId665" Type="http://schemas.openxmlformats.org/officeDocument/2006/relationships/header" Target="header112.xml" /><Relationship Id="rId666" Type="http://schemas.openxmlformats.org/officeDocument/2006/relationships/header" Target="header113.xml" /><Relationship Id="rId667" Type="http://schemas.openxmlformats.org/officeDocument/2006/relationships/footer" Target="footer112.xml" /><Relationship Id="rId668" Type="http://schemas.openxmlformats.org/officeDocument/2006/relationships/footer" Target="footer113.xml" /><Relationship Id="rId669" Type="http://schemas.openxmlformats.org/officeDocument/2006/relationships/header" Target="header114.xml" /><Relationship Id="rId67" Type="http://schemas.openxmlformats.org/officeDocument/2006/relationships/header" Target="header13.xml" /><Relationship Id="rId670" Type="http://schemas.openxmlformats.org/officeDocument/2006/relationships/footer" Target="footer114.xml" /><Relationship Id="rId671" Type="http://schemas.openxmlformats.org/officeDocument/2006/relationships/hyperlink" Target="https://advance.lexis.com/api/document?collection=cases-ca&amp;id=urn:contentItem:5F7T-S771-JN14-G27B-00000-00&amp;context=" TargetMode="External" /><Relationship Id="rId672" Type="http://schemas.openxmlformats.org/officeDocument/2006/relationships/hyperlink" Target="https://advance.lexis.com/api/document?collection=cases-ca&amp;id=urn:contentItem:5F7T-S6S1-JNY7-X1X5-00000-00&amp;context=" TargetMode="External" /><Relationship Id="rId673" Type="http://schemas.openxmlformats.org/officeDocument/2006/relationships/hyperlink" Target="https://advance.lexis.com/api/document?collection=cases-ca&amp;id=urn:contentItem:5F16-93C1-JWR6-S0BX-00000-00&amp;context=" TargetMode="External" /><Relationship Id="rId674" Type="http://schemas.openxmlformats.org/officeDocument/2006/relationships/hyperlink" Target="https://advance.lexis.com/api/document?collection=cases-ca&amp;id=urn:contentItem:5F7T-S6Y1-JSC5-M348-00000-00&amp;context=" TargetMode="External" /><Relationship Id="rId675" Type="http://schemas.openxmlformats.org/officeDocument/2006/relationships/header" Target="header115.xml" /><Relationship Id="rId676" Type="http://schemas.openxmlformats.org/officeDocument/2006/relationships/header" Target="header116.xml" /><Relationship Id="rId677" Type="http://schemas.openxmlformats.org/officeDocument/2006/relationships/footer" Target="footer115.xml" /><Relationship Id="rId678" Type="http://schemas.openxmlformats.org/officeDocument/2006/relationships/footer" Target="footer116.xml" /><Relationship Id="rId679" Type="http://schemas.openxmlformats.org/officeDocument/2006/relationships/header" Target="header117.xml" /><Relationship Id="rId68" Type="http://schemas.openxmlformats.org/officeDocument/2006/relationships/header" Target="header14.xml" /><Relationship Id="rId680" Type="http://schemas.openxmlformats.org/officeDocument/2006/relationships/footer" Target="footer117.xml" /><Relationship Id="rId681" Type="http://schemas.openxmlformats.org/officeDocument/2006/relationships/hyperlink" Target="https://advance.lexis.com/api/document?collection=cases-ca&amp;id=urn:contentItem:5F7T-S7D1-FCSB-S2N8-00000-00&amp;context=" TargetMode="External" /><Relationship Id="rId682" Type="http://schemas.openxmlformats.org/officeDocument/2006/relationships/hyperlink" Target="https://advance.lexis.com/api/document?collection=cases-ca&amp;id=urn:contentItem:5K6Y-81M1-JN6B-S1D4-00000-00&amp;context=" TargetMode="External" /><Relationship Id="rId683" Type="http://schemas.openxmlformats.org/officeDocument/2006/relationships/hyperlink" Target="https://advance.lexis.com/api/document?collection=legislation-ca&amp;id=urn:contentItem:5F41-1FG1-JJYN-B035-00000-00&amp;context=" TargetMode="External" /><Relationship Id="rId684" Type="http://schemas.openxmlformats.org/officeDocument/2006/relationships/hyperlink" Target="https://advance.lexis.com/api/document?collection=cases-ca&amp;id=urn:contentItem:5F7T-S6S1-FFTT-X05C-00000-00&amp;context=" TargetMode="External" /><Relationship Id="rId685" Type="http://schemas.openxmlformats.org/officeDocument/2006/relationships/header" Target="header118.xml" /><Relationship Id="rId686" Type="http://schemas.openxmlformats.org/officeDocument/2006/relationships/header" Target="header119.xml" /><Relationship Id="rId687" Type="http://schemas.openxmlformats.org/officeDocument/2006/relationships/footer" Target="footer118.xml" /><Relationship Id="rId688" Type="http://schemas.openxmlformats.org/officeDocument/2006/relationships/footer" Target="footer119.xml" /><Relationship Id="rId689" Type="http://schemas.openxmlformats.org/officeDocument/2006/relationships/header" Target="header120.xml" /><Relationship Id="rId69" Type="http://schemas.openxmlformats.org/officeDocument/2006/relationships/footer" Target="footer13.xml" /><Relationship Id="rId690" Type="http://schemas.openxmlformats.org/officeDocument/2006/relationships/footer" Target="footer120.xml" /><Relationship Id="rId691" Type="http://schemas.openxmlformats.org/officeDocument/2006/relationships/hyperlink" Target="https://advance.lexis.com/api/document?collection=cases-ca&amp;id=urn:contentItem:5F7T-S7B1-FH4C-X3K5-00000-00&amp;context=" TargetMode="External" /><Relationship Id="rId692" Type="http://schemas.openxmlformats.org/officeDocument/2006/relationships/hyperlink" Target="https://advance.lexis.com/api/document?collection=legislation-ca&amp;id=urn:contentItem:5XHX-X4V1-FGRY-B480-00000-00&amp;context=" TargetMode="External" /><Relationship Id="rId693" Type="http://schemas.openxmlformats.org/officeDocument/2006/relationships/hyperlink" Target="https://advance.lexis.com/api/document?collection=legislation-ca&amp;id=urn:contentItem:5VYK-WB61-JXG3-X3FH-00000-00&amp;context=" TargetMode="External" /><Relationship Id="rId694" Type="http://schemas.openxmlformats.org/officeDocument/2006/relationships/hyperlink" Target="https://advance.lexis.com/api/document?collection=cases-ca&amp;id=urn:contentItem:5F7F-5RH1-FJM6-6067-00000-00&amp;context=" TargetMode="External" /><Relationship Id="rId695" Type="http://schemas.openxmlformats.org/officeDocument/2006/relationships/hyperlink" Target="https://advance.lexis.com/api/document?collection=cases-ca&amp;id=urn:contentItem:5F8W-M451-F8KH-X1PK-00000-00&amp;context=" TargetMode="External" /><Relationship Id="rId696" Type="http://schemas.openxmlformats.org/officeDocument/2006/relationships/hyperlink" Target="https://advance.lexis.com/api/document?collection=cases-ca&amp;id=urn:contentItem:5F7T-S781-FH4C-X2S5-00000-00&amp;context=" TargetMode="External" /><Relationship Id="rId697" Type="http://schemas.openxmlformats.org/officeDocument/2006/relationships/hyperlink" Target="https://advance.lexis.com/api/document?collection=cases-ca&amp;id=urn:contentItem:5F7T-S781-F27X-61BF-00000-00&amp;context=" TargetMode="External" /><Relationship Id="rId698" Type="http://schemas.openxmlformats.org/officeDocument/2006/relationships/hyperlink" Target="https://advance.lexis.com/api/document?collection=cases-ca&amp;id=urn:contentItem:5F7F-5RG1-FCSB-S09V-00000-00&amp;context=" TargetMode="External" /><Relationship Id="rId699" Type="http://schemas.openxmlformats.org/officeDocument/2006/relationships/hyperlink" Target="https://advance.lexis.com/api/document?collection=cases-ca&amp;id=urn:contentItem:5F8T-N3V1-FC1F-M49J-00000-00&amp;context=" TargetMode="External" /><Relationship Id="rId7" Type="http://schemas.openxmlformats.org/officeDocument/2006/relationships/footer" Target="footer2.xml" /><Relationship Id="rId70" Type="http://schemas.openxmlformats.org/officeDocument/2006/relationships/footer" Target="footer14.xml" /><Relationship Id="rId700" Type="http://schemas.openxmlformats.org/officeDocument/2006/relationships/hyperlink" Target="https://advance.lexis.com/api/document?collection=cases-ca&amp;id=urn:contentItem:5F8T-N3T1-JFKM-652N-00000-00&amp;context=" TargetMode="External" /><Relationship Id="rId701" Type="http://schemas.openxmlformats.org/officeDocument/2006/relationships/hyperlink" Target="https://advance.lexis.com/api/document?collection=cases-ca&amp;id=urn:contentItem:5F7F-5RH1-FJM6-6006-00000-00&amp;context=" TargetMode="External" /><Relationship Id="rId702" Type="http://schemas.openxmlformats.org/officeDocument/2006/relationships/hyperlink" Target="https://advance.lexis.com/api/document?collection=cases-ca&amp;id=urn:contentItem:5F8T-N3V1-JF75-M3T4-00000-00&amp;context=" TargetMode="External" /><Relationship Id="rId703" Type="http://schemas.openxmlformats.org/officeDocument/2006/relationships/hyperlink" Target="https://advance.lexis.com/api/document?collection=cases-ca&amp;id=urn:contentItem:5F7T-S751-JCJ5-2498-00000-00&amp;context=" TargetMode="External" /><Relationship Id="rId704" Type="http://schemas.openxmlformats.org/officeDocument/2006/relationships/header" Target="header121.xml" /><Relationship Id="rId705" Type="http://schemas.openxmlformats.org/officeDocument/2006/relationships/header" Target="header122.xml" /><Relationship Id="rId706" Type="http://schemas.openxmlformats.org/officeDocument/2006/relationships/footer" Target="footer121.xml" /><Relationship Id="rId707" Type="http://schemas.openxmlformats.org/officeDocument/2006/relationships/footer" Target="footer122.xml" /><Relationship Id="rId708" Type="http://schemas.openxmlformats.org/officeDocument/2006/relationships/header" Target="header123.xml" /><Relationship Id="rId709" Type="http://schemas.openxmlformats.org/officeDocument/2006/relationships/footer" Target="footer123.xml" /><Relationship Id="rId71" Type="http://schemas.openxmlformats.org/officeDocument/2006/relationships/header" Target="header15.xml" /><Relationship Id="rId710" Type="http://schemas.openxmlformats.org/officeDocument/2006/relationships/hyperlink" Target="https://advance.lexis.com/api/document?collection=cases-ca&amp;id=urn:contentItem:5J82-HV31-JKB3-X27G-00000-00&amp;context=" TargetMode="External" /><Relationship Id="rId711" Type="http://schemas.openxmlformats.org/officeDocument/2006/relationships/hyperlink" Target="https://advance.lexis.com/api/document?collection=cases-ca&amp;id=urn:contentItem:5F7T-S751-JX3N-B185-00000-00&amp;context=" TargetMode="External" /><Relationship Id="rId712" Type="http://schemas.openxmlformats.org/officeDocument/2006/relationships/hyperlink" Target="https://advance.lexis.com/api/document?collection=cases-ca&amp;id=urn:contentItem:5F7T-S751-JCJ5-24PY-00000-00&amp;context=" TargetMode="External" /><Relationship Id="rId713" Type="http://schemas.openxmlformats.org/officeDocument/2006/relationships/hyperlink" Target="https://advance.lexis.com/api/document?collection=cases-ca&amp;id=urn:contentItem:5F7T-S711-F4W2-61JR-00000-00&amp;context=" TargetMode="External" /><Relationship Id="rId714" Type="http://schemas.openxmlformats.org/officeDocument/2006/relationships/hyperlink" Target="https://advance.lexis.com/api/document?collection=cases-ca&amp;id=urn:contentItem:5GCC-XVC1-F900-G4WH-00000-00&amp;context=" TargetMode="External" /><Relationship Id="rId715" Type="http://schemas.openxmlformats.org/officeDocument/2006/relationships/hyperlink" Target="https://advance.lexis.com/api/document?collection=cases-ca&amp;id=urn:contentItem:5F7T-S711-JC0G-62TK-00000-00&amp;context=" TargetMode="External" /><Relationship Id="rId716" Type="http://schemas.openxmlformats.org/officeDocument/2006/relationships/header" Target="header124.xml" /><Relationship Id="rId717" Type="http://schemas.openxmlformats.org/officeDocument/2006/relationships/header" Target="header125.xml" /><Relationship Id="rId718" Type="http://schemas.openxmlformats.org/officeDocument/2006/relationships/footer" Target="footer124.xml" /><Relationship Id="rId719" Type="http://schemas.openxmlformats.org/officeDocument/2006/relationships/footer" Target="footer125.xml" /><Relationship Id="rId72" Type="http://schemas.openxmlformats.org/officeDocument/2006/relationships/footer" Target="footer15.xml" /><Relationship Id="rId720" Type="http://schemas.openxmlformats.org/officeDocument/2006/relationships/header" Target="header126.xml" /><Relationship Id="rId721" Type="http://schemas.openxmlformats.org/officeDocument/2006/relationships/footer" Target="footer126.xml" /><Relationship Id="rId722" Type="http://schemas.openxmlformats.org/officeDocument/2006/relationships/hyperlink" Target="https://advance.lexis.com/api/document?collection=cases-ca&amp;id=urn:contentItem:5F7T-S791-JCJ5-24VW-00000-00&amp;context=" TargetMode="External" /><Relationship Id="rId723" Type="http://schemas.openxmlformats.org/officeDocument/2006/relationships/hyperlink" Target="https://advance.lexis.com/api/document?collection=legislation-ca&amp;id=urn:contentItem:5F41-1FH1-JSRM-60KK-00000-00&amp;context=" TargetMode="External" /><Relationship Id="rId724" Type="http://schemas.openxmlformats.org/officeDocument/2006/relationships/hyperlink" Target="https://advance.lexis.com/api/document?collection=cases-ca&amp;id=urn:contentItem:5F81-VJX1-F5KY-B45H-00000-00&amp;context=" TargetMode="External" /><Relationship Id="rId725" Type="http://schemas.openxmlformats.org/officeDocument/2006/relationships/hyperlink" Target="https://advance.lexis.com/api/document?collection=cases-ca&amp;id=urn:contentItem:5F7T-S761-JX8W-M2M2-00000-00&amp;context=" TargetMode="External" /><Relationship Id="rId726" Type="http://schemas.openxmlformats.org/officeDocument/2006/relationships/hyperlink" Target="https://advance.lexis.com/api/document?collection=cases-ca&amp;id=urn:contentItem:5F7H-KW51-JGHR-M0X3-00000-00&amp;context=" TargetMode="External" /><Relationship Id="rId727" Type="http://schemas.openxmlformats.org/officeDocument/2006/relationships/hyperlink" Target="https://advance.lexis.com/api/document?collection=cases-ca&amp;id=urn:contentItem:5F7T-S711-FJDY-X39R-00000-00&amp;context=" TargetMode="External" /><Relationship Id="rId728" Type="http://schemas.openxmlformats.org/officeDocument/2006/relationships/hyperlink" Target="https://advance.lexis.com/api/document?collection=cases-ca&amp;id=urn:contentItem:5F16-9301-FD4T-B1V5-00000-00&amp;context=" TargetMode="External" /><Relationship Id="rId729" Type="http://schemas.openxmlformats.org/officeDocument/2006/relationships/hyperlink" Target="https://advance.lexis.com/api/document?collection=cases-ca&amp;id=urn:contentItem:5F16-9301-JFDC-X21G-00000-00&amp;context=" TargetMode="External" /><Relationship Id="rId73" Type="http://schemas.openxmlformats.org/officeDocument/2006/relationships/hyperlink" Target="https://advance.lexis.com/api/document?collection=cases-ca&amp;id=urn:contentItem:5F7T-S791-JCJ5-2526-00000-00&amp;context=" TargetMode="External" /><Relationship Id="rId730" Type="http://schemas.openxmlformats.org/officeDocument/2006/relationships/hyperlink" Target="https://advance.lexis.com/api/document?collection=cases-ca&amp;id=urn:contentItem:5F7T-S7G1-JX3N-B1YN-00000-00&amp;context=" TargetMode="External" /><Relationship Id="rId731" Type="http://schemas.openxmlformats.org/officeDocument/2006/relationships/hyperlink" Target="https://advance.lexis.com/api/document?collection=cases-ca&amp;id=urn:contentItem:5F7T-S6T1-JK4W-M0CT-00000-00&amp;context=" TargetMode="External" /><Relationship Id="rId732" Type="http://schemas.openxmlformats.org/officeDocument/2006/relationships/header" Target="header127.xml" /><Relationship Id="rId733" Type="http://schemas.openxmlformats.org/officeDocument/2006/relationships/header" Target="header128.xml" /><Relationship Id="rId734" Type="http://schemas.openxmlformats.org/officeDocument/2006/relationships/footer" Target="footer127.xml" /><Relationship Id="rId735" Type="http://schemas.openxmlformats.org/officeDocument/2006/relationships/footer" Target="footer128.xml" /><Relationship Id="rId736" Type="http://schemas.openxmlformats.org/officeDocument/2006/relationships/header" Target="header129.xml" /><Relationship Id="rId737" Type="http://schemas.openxmlformats.org/officeDocument/2006/relationships/footer" Target="footer129.xml" /><Relationship Id="rId738" Type="http://schemas.openxmlformats.org/officeDocument/2006/relationships/hyperlink" Target="https://advance.lexis.com/api/document?collection=cases-ca&amp;id=urn:contentItem:5F7T-S7C1-JSRM-6173-00000-00&amp;context=" TargetMode="External" /><Relationship Id="rId739" Type="http://schemas.openxmlformats.org/officeDocument/2006/relationships/hyperlink" Target="https://advance.lexis.com/api/document?collection=cases-ca&amp;id=urn:contentItem:5F8T-N3T1-JGHR-M22V-00000-00&amp;context=" TargetMode="External" /><Relationship Id="rId74" Type="http://schemas.openxmlformats.org/officeDocument/2006/relationships/hyperlink" Target="https://advance.lexis.com/api/document?collection=cases-ca&amp;id=urn:contentItem:5F7T-S781-JC5P-G1RT-00000-00&amp;context=" TargetMode="External" /><Relationship Id="rId740" Type="http://schemas.openxmlformats.org/officeDocument/2006/relationships/hyperlink" Target="https://advance.lexis.com/api/document?collection=cases-ca&amp;id=urn:contentItem:5F7T-S6W1-JYYX-61S4-00000-00&amp;context=" TargetMode="External" /><Relationship Id="rId741" Type="http://schemas.openxmlformats.org/officeDocument/2006/relationships/hyperlink" Target="https://advance.lexis.com/api/document?collection=cases-ca&amp;id=urn:contentItem:5F7T-S721-F8D9-M170-00000-00&amp;context=" TargetMode="External" /><Relationship Id="rId742" Type="http://schemas.openxmlformats.org/officeDocument/2006/relationships/hyperlink" Target="https://advance.lexis.com/api/document?collection=cases-ca&amp;id=urn:contentItem:5F8T-N3V1-FC1F-M41W-00000-00&amp;context=" TargetMode="External" /><Relationship Id="rId743" Type="http://schemas.openxmlformats.org/officeDocument/2006/relationships/hyperlink" Target="https://advance.lexis.com/api/document?collection=cases-ca&amp;id=urn:contentItem:5F7T-S761-FGJR-22H9-00000-00&amp;context=" TargetMode="External" /><Relationship Id="rId744" Type="http://schemas.openxmlformats.org/officeDocument/2006/relationships/hyperlink" Target="https://advance.lexis.com/api/document?collection=cases-ca&amp;id=urn:contentItem:5F8T-N3V1-JF75-M3GD-00000-00&amp;context=" TargetMode="External" /><Relationship Id="rId745" Type="http://schemas.openxmlformats.org/officeDocument/2006/relationships/hyperlink" Target="https://advance.lexis.com/api/document?collection=cases-ca&amp;id=urn:contentItem:5F7T-S771-FG68-G0X6-00000-00&amp;context=" TargetMode="External" /><Relationship Id="rId746" Type="http://schemas.openxmlformats.org/officeDocument/2006/relationships/hyperlink" Target="https://advance.lexis.com/api/document?collection=cases-ca&amp;id=urn:contentItem:5F7T-S6Y1-F4GK-M1RM-00000-00&amp;context=" TargetMode="External" /><Relationship Id="rId747" Type="http://schemas.openxmlformats.org/officeDocument/2006/relationships/hyperlink" Target="https://advance.lexis.com/api/document?collection=cases-ca&amp;id=urn:contentItem:5F7T-S751-JBM1-M28K-00000-00&amp;context=" TargetMode="External" /><Relationship Id="rId748" Type="http://schemas.openxmlformats.org/officeDocument/2006/relationships/header" Target="header130.xml" /><Relationship Id="rId749" Type="http://schemas.openxmlformats.org/officeDocument/2006/relationships/header" Target="header131.xml" /><Relationship Id="rId75" Type="http://schemas.openxmlformats.org/officeDocument/2006/relationships/hyperlink" Target="https://advance.lexis.com/api/document?collection=cases-ca&amp;id=urn:contentItem:5F7T-S731-F1WF-M2C0-00000-00&amp;context=" TargetMode="External" /><Relationship Id="rId750" Type="http://schemas.openxmlformats.org/officeDocument/2006/relationships/footer" Target="footer130.xml" /><Relationship Id="rId751" Type="http://schemas.openxmlformats.org/officeDocument/2006/relationships/footer" Target="footer131.xml" /><Relationship Id="rId752" Type="http://schemas.openxmlformats.org/officeDocument/2006/relationships/header" Target="header132.xml" /><Relationship Id="rId753" Type="http://schemas.openxmlformats.org/officeDocument/2006/relationships/footer" Target="footer132.xml" /><Relationship Id="rId754" Type="http://schemas.openxmlformats.org/officeDocument/2006/relationships/hyperlink" Target="https://advance.lexis.com/api/document?collection=cases-ca&amp;id=urn:contentItem:5F7T-S7N1-JJ1H-X329-00000-00&amp;context=" TargetMode="External" /><Relationship Id="rId755" Type="http://schemas.openxmlformats.org/officeDocument/2006/relationships/hyperlink" Target="https://advance.lexis.com/api/document?collection=cases-ca&amp;id=urn:contentItem:5F7T-S6Y1-F65M-609V-00000-00&amp;context=" TargetMode="External" /><Relationship Id="rId756" Type="http://schemas.openxmlformats.org/officeDocument/2006/relationships/hyperlink" Target="https://advance.lexis.com/api/document?collection=cases-ca&amp;id=urn:contentItem:5F7T-S7G1-JPP5-222S-00000-00&amp;context=" TargetMode="External" /><Relationship Id="rId757" Type="http://schemas.openxmlformats.org/officeDocument/2006/relationships/hyperlink" Target="https://advance.lexis.com/api/document?collection=cases-ca&amp;id=urn:contentItem:5F81-VJY1-FBN1-22K6-00000-00&amp;context=" TargetMode="External" /><Relationship Id="rId758" Type="http://schemas.openxmlformats.org/officeDocument/2006/relationships/hyperlink" Target="https://advance.lexis.com/api/document?collection=cases-ca&amp;id=urn:contentItem:5F7T-S7D1-FFFC-B11T-00000-00&amp;context=" TargetMode="External" /><Relationship Id="rId759" Type="http://schemas.openxmlformats.org/officeDocument/2006/relationships/header" Target="header133.xml" /><Relationship Id="rId76" Type="http://schemas.openxmlformats.org/officeDocument/2006/relationships/hyperlink" Target="https://advance.lexis.com/api/document?collection=cases-ca&amp;id=urn:contentItem:5F7T-S7H1-FCSB-S3HX-00000-00&amp;context=" TargetMode="External" /><Relationship Id="rId760" Type="http://schemas.openxmlformats.org/officeDocument/2006/relationships/header" Target="header134.xml" /><Relationship Id="rId761" Type="http://schemas.openxmlformats.org/officeDocument/2006/relationships/footer" Target="footer133.xml" /><Relationship Id="rId762" Type="http://schemas.openxmlformats.org/officeDocument/2006/relationships/footer" Target="footer134.xml" /><Relationship Id="rId763" Type="http://schemas.openxmlformats.org/officeDocument/2006/relationships/header" Target="header135.xml" /><Relationship Id="rId764" Type="http://schemas.openxmlformats.org/officeDocument/2006/relationships/footer" Target="footer135.xml" /><Relationship Id="rId765" Type="http://schemas.openxmlformats.org/officeDocument/2006/relationships/hyperlink" Target="https://advance.lexis.com/api/document?collection=cases-ca&amp;id=urn:contentItem:5F7T-S771-JN14-G298-00000-00&amp;context=" TargetMode="External" /><Relationship Id="rId766" Type="http://schemas.openxmlformats.org/officeDocument/2006/relationships/hyperlink" Target="https://advance.lexis.com/api/document?collection=cases-ca&amp;id=urn:contentItem:5F7T-S6Y1-F4GK-M211-00000-00&amp;context=" TargetMode="External" /><Relationship Id="rId767" Type="http://schemas.openxmlformats.org/officeDocument/2006/relationships/hyperlink" Target="https://advance.lexis.com/api/document?collection=cases-ca&amp;id=urn:contentItem:5F7T-S741-F1H1-21W1-00000-00&amp;context=" TargetMode="External" /><Relationship Id="rId768" Type="http://schemas.openxmlformats.org/officeDocument/2006/relationships/hyperlink" Target="https://advance.lexis.com/api/document?collection=cases-ca&amp;id=urn:contentItem:5F8T-N3R1-JNS1-M0YX-00000-00&amp;context=" TargetMode="External" /><Relationship Id="rId769" Type="http://schemas.openxmlformats.org/officeDocument/2006/relationships/hyperlink" Target="https://advance.lexis.com/api/document?collection=cases-ca&amp;id=urn:contentItem:5F8T-N3V1-FC1F-M42M-00000-00&amp;context=" TargetMode="External" /><Relationship Id="rId77" Type="http://schemas.openxmlformats.org/officeDocument/2006/relationships/hyperlink" Target="https://advance.lexis.com/api/document?collection=cases-ca&amp;id=urn:contentItem:5F7T-S7G1-JWR6-S1XK-00000-00&amp;context=" TargetMode="External" /><Relationship Id="rId770" Type="http://schemas.openxmlformats.org/officeDocument/2006/relationships/hyperlink" Target="https://advance.lexis.com/api/document?collection=cases-ca&amp;id=urn:contentItem:5F7T-S6Y1-JNY7-X2NV-00000-00&amp;context=" TargetMode="External" /><Relationship Id="rId771" Type="http://schemas.openxmlformats.org/officeDocument/2006/relationships/header" Target="header136.xml" /><Relationship Id="rId772" Type="http://schemas.openxmlformats.org/officeDocument/2006/relationships/header" Target="header137.xml" /><Relationship Id="rId773" Type="http://schemas.openxmlformats.org/officeDocument/2006/relationships/footer" Target="footer136.xml" /><Relationship Id="rId774" Type="http://schemas.openxmlformats.org/officeDocument/2006/relationships/footer" Target="footer137.xml" /><Relationship Id="rId775" Type="http://schemas.openxmlformats.org/officeDocument/2006/relationships/header" Target="header138.xml" /><Relationship Id="rId776" Type="http://schemas.openxmlformats.org/officeDocument/2006/relationships/footer" Target="footer138.xml" /><Relationship Id="rId777" Type="http://schemas.openxmlformats.org/officeDocument/2006/relationships/hyperlink" Target="https://advance.lexis.com/api/document?collection=cases-ca&amp;id=urn:contentItem:5F7T-S7D1-JN6B-S153-00000-00&amp;context=" TargetMode="External" /><Relationship Id="rId778" Type="http://schemas.openxmlformats.org/officeDocument/2006/relationships/hyperlink" Target="https://advance.lexis.com/api/document?collection=cases-ca&amp;id=urn:contentItem:5F7T-S711-F4W2-61FW-00000-00&amp;context=" TargetMode="External" /><Relationship Id="rId779" Type="http://schemas.openxmlformats.org/officeDocument/2006/relationships/hyperlink" Target="https://advance.lexis.com/api/document?collection=cases-ca&amp;id=urn:contentItem:5F16-9361-F27X-613B-00000-00&amp;context=" TargetMode="External" /><Relationship Id="rId78" Type="http://schemas.openxmlformats.org/officeDocument/2006/relationships/hyperlink" Target="https://advance.lexis.com/api/document?collection=cases-ca&amp;id=urn:contentItem:5F7T-S6Y1-JNY7-X2NF-00000-00&amp;context=" TargetMode="External" /><Relationship Id="rId780" Type="http://schemas.openxmlformats.org/officeDocument/2006/relationships/hyperlink" Target="https://advance.lexis.com/api/document?collection=cases-ca&amp;id=urn:contentItem:5F81-VJX1-F5T5-M4HH-00000-00&amp;context=" TargetMode="External" /><Relationship Id="rId781" Type="http://schemas.openxmlformats.org/officeDocument/2006/relationships/hyperlink" Target="https://advance.lexis.com/api/document?collection=cases-ca&amp;id=urn:contentItem:5F8P-SCK1-JF75-M0GY-00000-00&amp;context=" TargetMode="External" /><Relationship Id="rId782" Type="http://schemas.openxmlformats.org/officeDocument/2006/relationships/hyperlink" Target="https://advance.lexis.com/api/document?collection=cases-ca&amp;id=urn:contentItem:5F81-VJX1-JX3N-B1CG-00000-00&amp;context=" TargetMode="External" /><Relationship Id="rId783" Type="http://schemas.openxmlformats.org/officeDocument/2006/relationships/hyperlink" Target="https://advance.lexis.com/api/document?collection=cases-ca&amp;id=urn:contentItem:5F8P-SCK1-JGHR-M35J-00000-00&amp;context=" TargetMode="External" /><Relationship Id="rId784" Type="http://schemas.openxmlformats.org/officeDocument/2006/relationships/hyperlink" Target="https://advance.lexis.com/api/document?collection=cases-ca&amp;id=urn:contentItem:5F7T-S781-F06F-2404-00000-00&amp;context=" TargetMode="External" /><Relationship Id="rId785" Type="http://schemas.openxmlformats.org/officeDocument/2006/relationships/hyperlink" Target="https://advance.lexis.com/api/document?collection=cases-ca&amp;id=urn:contentItem:5F8P-SCW1-F1WF-M0GK-00000-00&amp;context=" TargetMode="External" /><Relationship Id="rId786" Type="http://schemas.openxmlformats.org/officeDocument/2006/relationships/header" Target="header139.xml" /><Relationship Id="rId787" Type="http://schemas.openxmlformats.org/officeDocument/2006/relationships/header" Target="header140.xml" /><Relationship Id="rId788" Type="http://schemas.openxmlformats.org/officeDocument/2006/relationships/footer" Target="footer139.xml" /><Relationship Id="rId789" Type="http://schemas.openxmlformats.org/officeDocument/2006/relationships/footer" Target="footer140.xml" /><Relationship Id="rId79" Type="http://schemas.openxmlformats.org/officeDocument/2006/relationships/hyperlink" Target="https://advance.lexis.com/api/document?collection=cases-ca&amp;id=urn:contentItem:5F7T-S6W1-JB7K-212F-00000-00&amp;context=" TargetMode="External" /><Relationship Id="rId790" Type="http://schemas.openxmlformats.org/officeDocument/2006/relationships/header" Target="header141.xml" /><Relationship Id="rId791" Type="http://schemas.openxmlformats.org/officeDocument/2006/relationships/footer" Target="footer141.xml" /><Relationship Id="rId792" Type="http://schemas.openxmlformats.org/officeDocument/2006/relationships/hyperlink" Target="https://advance.lexis.com/api/document?collection=legislation-ca&amp;id=urn:contentItem:5F41-1FJ1-JBDT-B068-00000-00&amp;context=" TargetMode="External" /><Relationship Id="rId793" Type="http://schemas.openxmlformats.org/officeDocument/2006/relationships/hyperlink" Target="https://advance.lexis.com/api/document?collection=cases-ca&amp;id=urn:contentItem:5F7T-S711-JC0G-62KR-00000-00&amp;context=" TargetMode="External" /><Relationship Id="rId794" Type="http://schemas.openxmlformats.org/officeDocument/2006/relationships/hyperlink" Target="https://advance.lexis.com/api/document?collection=cases-ca&amp;id=urn:contentItem:5F7T-S761-JCBX-S0R8-00000-00&amp;context=" TargetMode="External" /><Relationship Id="rId795" Type="http://schemas.openxmlformats.org/officeDocument/2006/relationships/hyperlink" Target="https://advance.lexis.com/api/document?collection=cases-ca&amp;id=urn:contentItem:5F7T-S741-F1H1-21G4-00000-00&amp;context=" TargetMode="External" /><Relationship Id="rId796" Type="http://schemas.openxmlformats.org/officeDocument/2006/relationships/hyperlink" Target="https://advance.lexis.com/api/document?collection=cases-ca&amp;id=urn:contentItem:5F7T-S6T1-DY89-M32P-00000-00&amp;context=" TargetMode="External" /><Relationship Id="rId797" Type="http://schemas.openxmlformats.org/officeDocument/2006/relationships/hyperlink" Target="https://advance.lexis.com/api/document?collection=cases-ca&amp;id=urn:contentItem:5F7T-S6V1-JC0G-62GW-00000-00&amp;context=" TargetMode="External" /><Relationship Id="rId798" Type="http://schemas.openxmlformats.org/officeDocument/2006/relationships/hyperlink" Target="https://advance.lexis.com/api/document?collection=cases-ca&amp;id=urn:contentItem:5F7T-S781-F900-G0N5-00000-00&amp;context=" TargetMode="External" /><Relationship Id="rId799" Type="http://schemas.openxmlformats.org/officeDocument/2006/relationships/hyperlink" Target="https://advance.lexis.com/api/document?collection=cases-ca&amp;id=urn:contentItem:5F7T-S721-FD4T-B172-00000-00&amp;context=" TargetMode="External" /><Relationship Id="rId8" Type="http://schemas.openxmlformats.org/officeDocument/2006/relationships/header" Target="header3.xml" /><Relationship Id="rId80" Type="http://schemas.openxmlformats.org/officeDocument/2006/relationships/hyperlink" Target="https://advance.lexis.com/api/document?collection=cases-ca&amp;id=urn:contentItem:5F7T-S6Y1-DY33-B06C-00000-00&amp;context=" TargetMode="External" /><Relationship Id="rId800" Type="http://schemas.openxmlformats.org/officeDocument/2006/relationships/hyperlink" Target="https://advance.lexis.com/api/document?collection=cases-ca&amp;id=urn:contentItem:5F7T-S7F1-FFFC-B22B-00000-00&amp;context=" TargetMode="External" /><Relationship Id="rId801" Type="http://schemas.openxmlformats.org/officeDocument/2006/relationships/hyperlink" Target="https://advance.lexis.com/api/document?collection=cases-ca&amp;id=urn:contentItem:5F7T-S711-F4GK-M2GF-00000-00&amp;context=" TargetMode="External" /><Relationship Id="rId802" Type="http://schemas.openxmlformats.org/officeDocument/2006/relationships/hyperlink" Target="https://advance.lexis.com/api/document?collection=cases-ca&amp;id=urn:contentItem:5F7T-S7F1-F7VM-S46S-00000-00&amp;context=" TargetMode="External" /><Relationship Id="rId803" Type="http://schemas.openxmlformats.org/officeDocument/2006/relationships/hyperlink" Target="https://advance.lexis.com/api/document?collection=cases-ca&amp;id=urn:contentItem:5F7T-S751-JCJ5-24SB-00000-00&amp;context=" TargetMode="External" /><Relationship Id="rId804" Type="http://schemas.openxmlformats.org/officeDocument/2006/relationships/hyperlink" Target="https://advance.lexis.com/api/document?collection=cases-ca&amp;id=urn:contentItem:5F7T-S711-F4GK-M2VC-00000-00&amp;context=" TargetMode="External" /><Relationship Id="rId805" Type="http://schemas.openxmlformats.org/officeDocument/2006/relationships/hyperlink" Target="https://advance.lexis.com/api/document?collection=cases-ca&amp;id=urn:contentItem:5F7T-S711-JG02-S1DJ-00000-00&amp;context=" TargetMode="External" /><Relationship Id="rId806" Type="http://schemas.openxmlformats.org/officeDocument/2006/relationships/hyperlink" Target="https://advance.lexis.com/api/document?collection=cases-ca&amp;id=urn:contentItem:5F7T-S771-JW5H-X1S4-00000-00&amp;context=" TargetMode="External" /><Relationship Id="rId807" Type="http://schemas.openxmlformats.org/officeDocument/2006/relationships/hyperlink" Target="https://advance.lexis.com/api/document?collection=cases-ca&amp;id=urn:contentItem:5F7T-S7C1-JSRM-614G-00000-00&amp;context=" TargetMode="External" /><Relationship Id="rId808" Type="http://schemas.openxmlformats.org/officeDocument/2006/relationships/hyperlink" Target="https://advance.lexis.com/api/document?collection=cases-ca&amp;id=urn:contentItem:5F7T-S7D1-FCSB-S31X-00000-00&amp;context=" TargetMode="External" /><Relationship Id="rId809" Type="http://schemas.openxmlformats.org/officeDocument/2006/relationships/hyperlink" Target="https://advance.lexis.com/api/document?collection=cases-ca&amp;id=urn:contentItem:5F7T-S761-FFMK-M0WK-00000-00&amp;context=" TargetMode="External" /><Relationship Id="rId81" Type="http://schemas.openxmlformats.org/officeDocument/2006/relationships/hyperlink" Target="https://advance.lexis.com/api/document?collection=cases-ca&amp;id=urn:contentItem:5F7T-S721-F5T5-M236-00000-00&amp;context=" TargetMode="External" /><Relationship Id="rId810" Type="http://schemas.openxmlformats.org/officeDocument/2006/relationships/header" Target="header142.xml" /><Relationship Id="rId811" Type="http://schemas.openxmlformats.org/officeDocument/2006/relationships/header" Target="header143.xml" /><Relationship Id="rId812" Type="http://schemas.openxmlformats.org/officeDocument/2006/relationships/footer" Target="footer142.xml" /><Relationship Id="rId813" Type="http://schemas.openxmlformats.org/officeDocument/2006/relationships/footer" Target="footer143.xml" /><Relationship Id="rId814" Type="http://schemas.openxmlformats.org/officeDocument/2006/relationships/header" Target="header144.xml" /><Relationship Id="rId815" Type="http://schemas.openxmlformats.org/officeDocument/2006/relationships/footer" Target="footer144.xml" /><Relationship Id="rId816" Type="http://schemas.openxmlformats.org/officeDocument/2006/relationships/hyperlink" Target="https://advance.lexis.com/api/document?collection=cases-ca&amp;id=urn:contentItem:5F7T-S771-F81W-229W-00000-00&amp;context=" TargetMode="External" /><Relationship Id="rId817" Type="http://schemas.openxmlformats.org/officeDocument/2006/relationships/hyperlink" Target="https://advance.lexis.com/api/document?collection=legislation-ca&amp;id=urn:contentItem:5F41-1FJ1-F5DR-206Y-00000-00&amp;context=" TargetMode="External" /><Relationship Id="rId818" Type="http://schemas.openxmlformats.org/officeDocument/2006/relationships/header" Target="header145.xml" /><Relationship Id="rId819" Type="http://schemas.openxmlformats.org/officeDocument/2006/relationships/header" Target="header146.xml" /><Relationship Id="rId82" Type="http://schemas.openxmlformats.org/officeDocument/2006/relationships/hyperlink" Target="https://advance.lexis.com/api/document?collection=cases-ca&amp;id=urn:contentItem:5F7T-S751-JG02-S26M-00000-00&amp;context=" TargetMode="External" /><Relationship Id="rId820" Type="http://schemas.openxmlformats.org/officeDocument/2006/relationships/footer" Target="footer145.xml" /><Relationship Id="rId821" Type="http://schemas.openxmlformats.org/officeDocument/2006/relationships/footer" Target="footer146.xml" /><Relationship Id="rId822" Type="http://schemas.openxmlformats.org/officeDocument/2006/relationships/header" Target="header147.xml" /><Relationship Id="rId823" Type="http://schemas.openxmlformats.org/officeDocument/2006/relationships/footer" Target="footer147.xml" /><Relationship Id="rId824" Type="http://schemas.openxmlformats.org/officeDocument/2006/relationships/hyperlink" Target="https://advance.lexis.com/api/document?collection=cases-ca&amp;id=urn:contentItem:5F7T-S7G1-JNY7-X3X2-00000-00&amp;context=" TargetMode="External" /><Relationship Id="rId825" Type="http://schemas.openxmlformats.org/officeDocument/2006/relationships/hyperlink" Target="https://advance.lexis.com/api/document?collection=cases-ca&amp;id=urn:contentItem:5F7T-S7F1-FFFC-B1RP-00000-00&amp;context=" TargetMode="External" /><Relationship Id="rId826" Type="http://schemas.openxmlformats.org/officeDocument/2006/relationships/hyperlink" Target="https://advance.lexis.com/api/document?collection=cases-ca&amp;id=urn:contentItem:5F8T-N3P1-FC6N-X1MN-00000-00&amp;context=" TargetMode="External" /><Relationship Id="rId827" Type="http://schemas.openxmlformats.org/officeDocument/2006/relationships/hyperlink" Target="https://advance.lexis.com/api/document?collection=cases-ca&amp;id=urn:contentItem:5F7T-S761-FGJR-22SB-00000-00&amp;context=" TargetMode="External" /><Relationship Id="rId828" Type="http://schemas.openxmlformats.org/officeDocument/2006/relationships/hyperlink" Target="https://advance.lexis.com/api/document?collection=cases-ca&amp;id=urn:contentItem:5F7T-S7B1-JSRM-60CK-00000-00&amp;context=" TargetMode="External" /><Relationship Id="rId829" Type="http://schemas.openxmlformats.org/officeDocument/2006/relationships/hyperlink" Target="https://advance.lexis.com/api/document?collection=cases-ca&amp;id=urn:contentItem:5F81-VJX1-JKPJ-G1DF-00000-00&amp;context=" TargetMode="External" /><Relationship Id="rId83" Type="http://schemas.openxmlformats.org/officeDocument/2006/relationships/hyperlink" Target="https://advance.lexis.com/api/document?collection=legislation-ca&amp;id=urn:contentItem:5VYK-W9V1-F4NT-X507-00000-00&amp;context=" TargetMode="External" /><Relationship Id="rId830" Type="http://schemas.openxmlformats.org/officeDocument/2006/relationships/hyperlink" Target="https://advance.lexis.com/api/document?collection=cases-ca&amp;id=urn:contentItem:5F16-9391-JN14-G04S-00000-00&amp;context=" TargetMode="External" /><Relationship Id="rId831" Type="http://schemas.openxmlformats.org/officeDocument/2006/relationships/header" Target="header148.xml" /><Relationship Id="rId832" Type="http://schemas.openxmlformats.org/officeDocument/2006/relationships/header" Target="header149.xml" /><Relationship Id="rId833" Type="http://schemas.openxmlformats.org/officeDocument/2006/relationships/footer" Target="footer148.xml" /><Relationship Id="rId834" Type="http://schemas.openxmlformats.org/officeDocument/2006/relationships/footer" Target="footer149.xml" /><Relationship Id="rId835" Type="http://schemas.openxmlformats.org/officeDocument/2006/relationships/header" Target="header150.xml" /><Relationship Id="rId836" Type="http://schemas.openxmlformats.org/officeDocument/2006/relationships/footer" Target="footer150.xml" /><Relationship Id="rId837" Type="http://schemas.openxmlformats.org/officeDocument/2006/relationships/hyperlink" Target="https://advance.lexis.com/api/document?collection=cases-ca&amp;id=urn:contentItem:5F7T-S7D1-F7ND-G0CC-00000-00&amp;context=" TargetMode="External" /><Relationship Id="rId838" Type="http://schemas.openxmlformats.org/officeDocument/2006/relationships/numbering" Target="numbering.xml" /><Relationship Id="rId839" Type="http://schemas.openxmlformats.org/officeDocument/2006/relationships/styles" Target="styles.xml" /><Relationship Id="rId84" Type="http://schemas.openxmlformats.org/officeDocument/2006/relationships/header" Target="header16.xml" /><Relationship Id="rId85" Type="http://schemas.openxmlformats.org/officeDocument/2006/relationships/header" Target="header17.xml" /><Relationship Id="rId86" Type="http://schemas.openxmlformats.org/officeDocument/2006/relationships/footer" Target="footer16.xml" /><Relationship Id="rId87" Type="http://schemas.openxmlformats.org/officeDocument/2006/relationships/footer" Target="footer17.xml" /><Relationship Id="rId88" Type="http://schemas.openxmlformats.org/officeDocument/2006/relationships/header" Target="header18.xml" /><Relationship Id="rId89" Type="http://schemas.openxmlformats.org/officeDocument/2006/relationships/footer" Target="footer18.xml" /><Relationship Id="rId9" Type="http://schemas.openxmlformats.org/officeDocument/2006/relationships/footer" Target="footer3.xml" /><Relationship Id="rId90" Type="http://schemas.openxmlformats.org/officeDocument/2006/relationships/hyperlink" Target="https://advance.lexis.com/api/document?collection=cases-ca&amp;id=urn:contentItem:5F7T-S7C1-JXG3-X053-00000-00&amp;context=" TargetMode="External" /><Relationship Id="rId91" Type="http://schemas.openxmlformats.org/officeDocument/2006/relationships/hyperlink" Target="https://advance.lexis.com/api/document?collection=cases-ca&amp;id=urn:contentItem:5F7T-S771-JJD0-G1G1-00000-00&amp;context=" TargetMode="External" /><Relationship Id="rId92" Type="http://schemas.openxmlformats.org/officeDocument/2006/relationships/hyperlink" Target="https://advance.lexis.com/api/document?collection=cases-ca&amp;id=urn:contentItem:5F8T-N3V1-JF75-M3KJ-00000-00&amp;context=" TargetMode="External" /><Relationship Id="rId93" Type="http://schemas.openxmlformats.org/officeDocument/2006/relationships/hyperlink" Target="https://advance.lexis.com/api/document?collection=cases-ca&amp;id=urn:contentItem:5F81-VJV1-JSC5-M1C6-00000-00&amp;context=" TargetMode="External" /><Relationship Id="rId94" Type="http://schemas.openxmlformats.org/officeDocument/2006/relationships/hyperlink" Target="https://advance.lexis.com/api/document?collection=cases-ca&amp;id=urn:contentItem:5F8T-N3S1-JT99-24NF-00000-00&amp;context=" TargetMode="External" /><Relationship Id="rId95" Type="http://schemas.openxmlformats.org/officeDocument/2006/relationships/hyperlink" Target="https://advance.lexis.com/api/document?collection=cases-ca&amp;id=urn:contentItem:5F8T-N3T1-JGHR-M1Y2-00000-00&amp;context=" TargetMode="External" /><Relationship Id="rId96" Type="http://schemas.openxmlformats.org/officeDocument/2006/relationships/hyperlink" Target="https://advance.lexis.com/api/document?collection=cases-ca&amp;id=urn:contentItem:5F8T-N3R1-JNS1-M12J-00000-00&amp;context=" TargetMode="External" /><Relationship Id="rId97" Type="http://schemas.openxmlformats.org/officeDocument/2006/relationships/hyperlink" Target="https://advance.lexis.com/api/document?collection=cases-ca&amp;id=urn:contentItem:5F7T-S6Y1-JPP5-2188-00000-00&amp;context=" TargetMode="External" /><Relationship Id="rId98" Type="http://schemas.openxmlformats.org/officeDocument/2006/relationships/hyperlink" Target="https://advance.lexis.com/api/document?collection=cases-ca&amp;id=urn:contentItem:5F8T-N3T1-JFKM-655K-00000-00&amp;context=" TargetMode="External" /><Relationship Id="rId99" Type="http://schemas.openxmlformats.org/officeDocument/2006/relationships/hyperlink" Target="https://advance.lexis.com/api/document?collection=cases-ca&amp;id=urn:contentItem:5F7T-S741-F57G-S1KP-00000-00&amp;context=" TargetMode="Externa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 v. Wilson, [2004] B.C.J. No. 2315</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115047686</vt:lpwstr>
  </property>
  <property fmtid="{D5CDD505-2E9C-101B-9397-08002B2CF9AE}" pid="3" name="LADocCount">
    <vt:i4>50</vt:i4>
  </property>
  <property fmtid="{D5CDD505-2E9C-101B-9397-08002B2CF9AE}" pid="4" name="Language">
    <vt:lpwstr>en-CA</vt:lpwstr>
  </property>
  <property fmtid="{D5CDD505-2E9C-101B-9397-08002B2CF9AE}" pid="5" name="UserPermID">
    <vt:lpwstr>urn:user:PA187417739</vt:lpwstr>
  </property>
</Properties>
</file>